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Vasomotor Symptoms (hot flushes)</w:t>
      </w:r>
    </w:p>
    <w:p>
      <w:pPr>
        <w:spacing w:before="0" w:after="160"/>
      </w:pPr>
      <w:r>
        <w:rPr>
          <w:rFonts w:ascii="Calibri" w:hAnsi="Calibri"/>
          <w:b/>
          <w:i w:val="0"/>
          <w:color w:val="212121"/>
          <w:sz w:val="22"/>
        </w:rPr>
        <w:t xml:space="preserve">AKA </w:t>
      </w:r>
      <w:r>
        <w:rPr>
          <w:rFonts w:ascii="Calibri" w:hAnsi="Calibri"/>
          <w:b w:val="0"/>
          <w:i w:val="0"/>
          <w:color w:val="212121"/>
          <w:sz w:val="22"/>
        </w:rPr>
        <w:t>i.e., Hot flushes, Hot flashes, Night sweats, Menopausal flushing, Vasomotor symptoms of menopause (VMS)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Vasomotor symptoms (VMS) are the hot flushes and night sweats that are the hallmark of the menopause transition. A hot flush is a sudden, transient sensation of intense heat spreading over the face, neck and chest, accompanied by skin flushing, profuse sweating, palpitations and often a chill afterwards; when they occur at night with drenching sweats they are termed night sweats. VMS arise from oestrogen withdrawal destabilising the hypothalamic thermoregulatory centre, which narrows the body's thermoneutral zone so that small rises in core temperature trigger exaggerated heat-loss responses. Though benign, they are the commonest and most treatment-seeking symptom of menopause and can persist for years, substantially impairing sleep, mood, work and quality of life.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Menopause occurs at a mean age of about 46 years in Indian women, several years earlier than the 50-52 years typical of Western populations, so the symptomatic window begins earlier. Reported VMS prevalence in India varies widely by setting and method: a ten-centre Indian study of 1,765 women found vasomotor symptoms in 75.3%, whereas an International Menopause Society urban survey (IMS-CAT) recorded hot flushes and/or night sweats in about 34%. Globally most women experience VMS during the transition, and in the US SWAN cohort the median total duration of frequent VMS was 7.4 years, persisting a median of 4.5 years after the final menstrual period. With India's population ageing and women aged 50 and over now forming a growing share of the population, tens of millions of Indian women are in the menopausal age group at any time, making VMS a very common reason for gynaecology and primary-care consultation.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Vasomotor symptoms are a clinical diagnosis based on characteristic symptoms in a woman of appropriate age; laboratory tests are usually unnecessary and serve mainly to confirm menopausal status in atypical cases or to exclude mimics: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history: recurrent, sudden episodes of intense heat over the face, neck and chest with flushing and sweating, frequently with night sweats, in a woman aged over 45 with menstrual-cycle change or amenorrhoea.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women over 45, menopause and its VMS are diagnosed clinically without hormonal tests (NICE guidance): perimenopause on the basis of vasomotor symptoms plus irregular periods, and postmenopause after 12 months of amenorrhoea.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FSH is helpful only in selected cases, women aged 40-45 with symptoms, or under 40 with suspected premature ovarian insufficiency, where a raised FSH (typically &gt;= 25-40 IU/L on two occasions) supports the diagnosis; FSH is unreliable in women using hormonal contraception.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is graded by frequency and interference as mild, moderate or severe (broadly &lt; 7, 7-10, and &gt; 10 flushes per day), or by validated scores such as the Menopause Rating Scale, Greene Climacteric Scale or MENQOL.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secondary causes when features are atypical (unilateral flushing, symptoms without a menopausal context, associated weight loss, diarrhoea, sustained palpitations or paroxysmal hypertension): check thyroid function and consider phaeochromocytoma, carcinoid, and drug- or alcohol-related flushing.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Vasomotor symptoms can be classified by cause, by menopausal stage, by severity, and by longitudinal trajectory:</w:t>
      </w:r>
    </w:p>
    <w:p>
      <w:pPr>
        <w:spacing w:before="0" w:after="80"/>
      </w:pPr>
      <w:r>
        <w:rPr>
          <w:rFonts w:ascii="Calibri" w:hAnsi="Calibri"/>
          <w:b w:val="0"/>
          <w:i w:val="0"/>
          <w:color w:val="212121"/>
          <w:sz w:val="21"/>
        </w:rPr>
        <w:t>(1) Primary (menopausal) VMS, by far the commonest, due to oestrogen withdrawal during natural perimenopause and postmenopause; versus secondary/induced VMS from bilateral oophorectomy, chemotherapy, pelvic radiotherapy, GnRH agonists, or anti-oestrogen therapy (tamoxifen, aromatase inhibitors).</w:t>
      </w:r>
    </w:p>
    <w:p>
      <w:pPr>
        <w:spacing w:before="0" w:after="80"/>
      </w:pPr>
      <w:r>
        <w:rPr>
          <w:rFonts w:ascii="Calibri" w:hAnsi="Calibri"/>
          <w:b w:val="0"/>
          <w:i w:val="0"/>
          <w:color w:val="212121"/>
          <w:sz w:val="21"/>
        </w:rPr>
        <w:t>(2) By menopausal stage (STRAW+10): perimenopausal VMS, often beginning while cycles are still occurring, and postmenopausal VMS after the final menstrual period; early-transition onset predicts a longer overall duration.</w:t>
      </w:r>
    </w:p>
    <w:p>
      <w:pPr>
        <w:spacing w:before="0" w:after="80"/>
      </w:pPr>
      <w:r>
        <w:rPr>
          <w:rFonts w:ascii="Calibri" w:hAnsi="Calibri"/>
          <w:b w:val="0"/>
          <w:i w:val="0"/>
          <w:color w:val="212121"/>
          <w:sz w:val="21"/>
        </w:rPr>
        <w:t>(3) By severity: mild (sensation of heat without sweating, minimal interference), moderate (heat with sweating and some interference) and severe (intense heat with drenching sweat disrupting activity or sleep), graded by daily frequency and validated symptom scales.</w:t>
      </w:r>
    </w:p>
    <w:p>
      <w:pPr>
        <w:spacing w:before="0" w:after="80"/>
      </w:pPr>
      <w:r>
        <w:rPr>
          <w:rFonts w:ascii="Calibri" w:hAnsi="Calibri"/>
          <w:b w:val="0"/>
          <w:i w:val="0"/>
          <w:color w:val="212121"/>
          <w:sz w:val="21"/>
        </w:rPr>
        <w:t>(4) By longitudinal trajectory (as described in the SWAN cohort): an early-onset group with symptoms rising around the final menstrual period then declining, a late-onset group, a persistently high-frequency group with prolonged symptoms, and a low or flat group with few symptoms throughout.</w:t>
      </w:r>
    </w:p>
    <w:p>
      <w:pPr>
        <w:spacing w:before="0" w:after="80"/>
      </w:pPr>
      <w:r>
        <w:rPr>
          <w:rFonts w:ascii="Calibri" w:hAnsi="Calibri"/>
          <w:b w:val="0"/>
          <w:i w:val="0"/>
          <w:color w:val="212121"/>
          <w:sz w:val="21"/>
        </w:rPr>
        <w:t>(5) Non-menopausal causes of flushing to distinguish clinically: thyrotoxicosis, phaeochromocytoma, carcinoid syndrome, medications and alcohol, which are mimics rather than true menopausal VMS.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Oestrogen withdrawal: Declining and fluctuating ovarian oestrogen during the menopause transition is the fundamental trigger; it is the change (withdrawal), not merely the absolute level, that provokes symptoms.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Hypothalamic thermoregulatory dysfunction: Oestrogen loss narrows the thermoneutral zone in the preoptic hypothalamus, so trivial rises in core temperature trigger exaggerated heat-dissipation (cutaneous vasodilation, sweating) experienced as a flush.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KNDy-neuron / NK3 hyperactivity: Loss of oestrogen negative feedback causes hypertrophy and hyperactivity of kisspeptin/neurokinin B/dynorphin (KNDy) neurons that signal via neurokinin-3 (NK3) receptors to the thermoregulatory centre, the target of NK3-antagonist drugs (fezolinetant).</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Modifiable factors: Cigarette smoking (the strongest modifiable risk factor, dose-related) and higher adiposity increase the frequency and severity of flushes; alcohol, caffeine, spicy food and ambient heat act as acute triggers.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susceptibility: Timing of menopause and VMS liability are heritable; variants in TACR3 (the NK3-receptor gene) and related tachykinin pathway genes are associated with hot flushes.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 induced menopause: Bilateral oophorectomy, chemotherapy, GnRH agonists and anti-oestrogen breast-cancer therapy cause abrupt oestrogen loss and often severe VMS.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Psychosocial factors: High perceived stress, anxiety and depressive symptoms lower the flush threshold and are associated with more frequent, severe and longer-lasting VMS.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Perimenopausal women (approx 40-55 years)</w:t>
            </w:r>
          </w:p>
        </w:tc>
        <w:tc>
          <w:tcPr>
            <w:tcW w:type="dxa" w:w="4276"/>
            <w:vAlign w:val="top"/>
          </w:tcPr>
          <w:p>
            <w:pPr>
              <w:spacing w:after="60" w:line="259" w:lineRule="auto"/>
            </w:pPr>
            <w:r>
              <w:rPr>
                <w:rFonts w:ascii="Calibri" w:hAnsi="Calibri"/>
                <w:b w:val="0"/>
                <w:i w:val="0"/>
                <w:color w:val="212121"/>
                <w:sz w:val="19"/>
              </w:rPr>
              <w:t>VMS typically begin in the late perimenopause as fluctuating, declining ovarian oestrogen destabilises the hypothalamic thermoregulatory set-point; onset often precedes the final menstrual period.</w:t>
            </w:r>
          </w:p>
          <w:p>
            <w:pPr>
              <w:spacing w:after="40" w:before="60" w:line="259" w:lineRule="auto"/>
            </w:pPr>
            <w:r>
              <w:rPr>
                <w:rFonts w:ascii="Calibri" w:hAnsi="Calibri"/>
                <w:b w:val="0"/>
                <w:i w:val="0"/>
                <w:color w:val="212121"/>
                <w:sz w:val="19"/>
              </w:rPr>
              <w:t>WHO notes most women experience menopause between 45 and 55 years, and vasomotor symptoms commonly begin during the perimenopausal transition.</w:t>
            </w:r>
          </w:p>
          <w:p>
            <w:pPr>
              <w:spacing w:after="40" w:line="252" w:lineRule="auto"/>
            </w:pPr>
            <w:hyperlink r:id="rId9">
              <w:r>
                <w:rPr>
                  <w:rFonts w:ascii="Calibri" w:hAnsi="Calibri" w:cs="Calibri"/>
                  <w:sz w:val="18"/>
                  <w:color w:val="1155CC"/>
                  <w:u w:val="single"/>
                </w:rPr>
                <w:t xml:space="preserve">who.int - menopause fact sheet</w:t>
              </w:r>
            </w:hyperlink>
          </w:p>
          <w:p>
            <w:pPr>
              <w:spacing w:before="60" w:after="40"/>
            </w:pPr>
            <w:r>
              <w:rPr>
                <w:rFonts w:ascii="Calibri" w:hAnsi="Calibri"/>
                <w:b w:val="0"/>
                <w:i w:val="0"/>
                <w:color w:val="5A5A5A"/>
                <w:sz w:val="18"/>
              </w:rPr>
              <w:t>#perimenopause  #estrogenwithdrawal  #thermoregulation  #hotflush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Postmenopausal / elderly women (55+ years)</w:t>
            </w:r>
          </w:p>
        </w:tc>
        <w:tc>
          <w:tcPr>
            <w:tcW w:type="dxa" w:w="4276"/>
            <w:vAlign w:val="top"/>
          </w:tcPr>
          <w:p>
            <w:pPr>
              <w:spacing w:after="60" w:line="259" w:lineRule="auto"/>
            </w:pPr>
            <w:r>
              <w:rPr>
                <w:rFonts w:ascii="Calibri" w:hAnsi="Calibri"/>
                <w:b w:val="0"/>
                <w:i w:val="0"/>
                <w:color w:val="212121"/>
                <w:sz w:val="19"/>
              </w:rPr>
              <w:t>VMS can persist for many years after the final menstrual period; a substantial minority of women continue to have bothersome flushes into their sixties, so symptoms are not confined to the transition.</w:t>
            </w:r>
          </w:p>
          <w:p>
            <w:pPr>
              <w:spacing w:after="40" w:before="60" w:line="259" w:lineRule="auto"/>
            </w:pPr>
            <w:r>
              <w:rPr>
                <w:rFonts w:ascii="Calibri" w:hAnsi="Calibri"/>
                <w:b w:val="0"/>
                <w:i w:val="0"/>
                <w:color w:val="212121"/>
                <w:sz w:val="19"/>
              </w:rPr>
              <w:t>In the SWAN cohort the median total duration of frequent VMS was 7.4 years, persisting a median of 4.5 years after the final menstrual period.</w:t>
            </w:r>
          </w:p>
          <w:p>
            <w:pPr>
              <w:spacing w:after="40" w:line="252" w:lineRule="auto"/>
            </w:pPr>
            <w:hyperlink r:id="rId10">
              <w:r>
                <w:rPr>
                  <w:rFonts w:ascii="Calibri" w:hAnsi="Calibri" w:cs="Calibri"/>
                  <w:sz w:val="18"/>
                  <w:color w:val="1155CC"/>
                  <w:u w:val="single"/>
                </w:rPr>
                <w:t xml:space="preserve">pubmed.ncbi.nlm.nih.gov/25686030 - SWAN VMS duration</w:t>
              </w:r>
            </w:hyperlink>
          </w:p>
          <w:p>
            <w:pPr>
              <w:spacing w:before="60" w:after="40"/>
            </w:pPr>
            <w:r>
              <w:rPr>
                <w:rFonts w:ascii="Calibri" w:hAnsi="Calibri"/>
                <w:b w:val="0"/>
                <w:i w:val="0"/>
                <w:color w:val="5A5A5A"/>
                <w:sz w:val="18"/>
              </w:rPr>
              <w:t>#postmenopause  #persistentVMS  #duration  #ageing</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(natural menopause)</w:t>
            </w:r>
          </w:p>
        </w:tc>
        <w:tc>
          <w:tcPr>
            <w:tcW w:type="dxa" w:w="4276"/>
            <w:vAlign w:val="top"/>
          </w:tcPr>
          <w:p>
            <w:pPr>
              <w:spacing w:after="60" w:line="259" w:lineRule="auto"/>
            </w:pPr>
            <w:r>
              <w:rPr>
                <w:rFonts w:ascii="Calibri" w:hAnsi="Calibri"/>
                <w:b w:val="0"/>
                <w:i w:val="0"/>
                <w:color w:val="212121"/>
                <w:sz w:val="19"/>
              </w:rPr>
              <w:t>VMS are overwhelmingly a female, oestrogen-withdrawal phenomenon of the menopause transition and are the commonest reason midlife women seek menopause care.</w:t>
            </w:r>
          </w:p>
          <w:p>
            <w:pPr>
              <w:spacing w:after="40" w:before="60" w:line="259" w:lineRule="auto"/>
            </w:pPr>
            <w:r>
              <w:rPr>
                <w:rFonts w:ascii="Calibri" w:hAnsi="Calibri"/>
                <w:b w:val="0"/>
                <w:i w:val="0"/>
                <w:color w:val="212121"/>
                <w:sz w:val="19"/>
              </w:rPr>
              <w:t>In a ten-centre Indian study of 1,765 women (mean menopause age 46 years) vasomotor symptoms were reported by 75.3%.</w:t>
            </w:r>
          </w:p>
          <w:p>
            <w:pPr>
              <w:spacing w:after="40" w:line="252" w:lineRule="auto"/>
            </w:pPr>
            <w:hyperlink r:id="rId11">
              <w:r>
                <w:rPr>
                  <w:rFonts w:ascii="Calibri" w:hAnsi="Calibri" w:cs="Calibri"/>
                  <w:sz w:val="18"/>
                  <w:color w:val="1155CC"/>
                  <w:u w:val="single"/>
                </w:rPr>
                <w:t xml:space="preserve">pubmed.ncbi.nlm.nih.gov/22339416 - Indian menopause study</w:t>
              </w:r>
            </w:hyperlink>
          </w:p>
          <w:p>
            <w:pPr>
              <w:spacing w:before="60" w:after="40"/>
            </w:pPr>
            <w:r>
              <w:rPr>
                <w:rFonts w:ascii="Calibri" w:hAnsi="Calibri"/>
                <w:b w:val="0"/>
                <w:i w:val="0"/>
                <w:color w:val="5A5A5A"/>
                <w:sz w:val="18"/>
              </w:rPr>
              <w:t>#womenshealth  #menopause  #Indianwomen  #VMS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Men on androgen-deprivation therapy</w:t>
            </w:r>
          </w:p>
        </w:tc>
        <w:tc>
          <w:tcPr>
            <w:tcW w:type="dxa" w:w="4276"/>
            <w:vAlign w:val="top"/>
          </w:tcPr>
          <w:p>
            <w:pPr>
              <w:spacing w:after="60" w:line="259" w:lineRule="auto"/>
            </w:pPr>
            <w:r>
              <w:rPr>
                <w:rFonts w:ascii="Calibri" w:hAnsi="Calibri"/>
                <w:b w:val="0"/>
                <w:i w:val="0"/>
                <w:color w:val="212121"/>
                <w:sz w:val="19"/>
              </w:rPr>
              <w:t>Men treated with GnRH agonists or orchiectomy for prostate cancer develop hot flushes through an analogous sex-steroid withdrawal mechanism, showing VMS are not exclusively an oestrogen phenomenon.</w:t>
            </w:r>
          </w:p>
          <w:p>
            <w:pPr>
              <w:spacing w:after="40" w:before="60" w:line="259" w:lineRule="auto"/>
            </w:pPr>
            <w:r>
              <w:rPr>
                <w:rFonts w:ascii="Calibri" w:hAnsi="Calibri"/>
                <w:b w:val="0"/>
                <w:i w:val="0"/>
                <w:color w:val="212121"/>
                <w:sz w:val="19"/>
              </w:rPr>
              <w:t>Hot flushes are among the most common and troublesome side effects reported by men on androgen-deprivation therapy for prostate cancer.</w:t>
            </w:r>
          </w:p>
          <w:p>
            <w:pPr>
              <w:spacing w:before="60" w:after="40"/>
            </w:pPr>
            <w:r>
              <w:rPr>
                <w:rFonts w:ascii="Calibri" w:hAnsi="Calibri"/>
                <w:b w:val="0"/>
                <w:i w:val="0"/>
                <w:color w:val="5A5A5A"/>
                <w:sz w:val="18"/>
              </w:rPr>
              <w:t>#androgendeprivation  #prostatecancer  #malehotflush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education / higher-stress women</w:t>
            </w:r>
          </w:p>
        </w:tc>
        <w:tc>
          <w:tcPr>
            <w:tcW w:type="dxa" w:w="4276"/>
            <w:vAlign w:val="top"/>
          </w:tcPr>
          <w:p>
            <w:pPr>
              <w:spacing w:after="60" w:line="259" w:lineRule="auto"/>
            </w:pPr>
            <w:r>
              <w:rPr>
                <w:rFonts w:ascii="Calibri" w:hAnsi="Calibri"/>
                <w:b w:val="0"/>
                <w:i w:val="0"/>
                <w:color w:val="212121"/>
                <w:sz w:val="19"/>
              </w:rPr>
              <w:t>Lower educational attainment and higher perceived stress are associated with more bothersome and longer-lasting VMS, reflecting psychosocial modulation of the flush threshold.</w:t>
            </w:r>
          </w:p>
          <w:p>
            <w:pPr>
              <w:spacing w:after="40" w:before="60" w:line="259" w:lineRule="auto"/>
            </w:pPr>
            <w:r>
              <w:rPr>
                <w:rFonts w:ascii="Calibri" w:hAnsi="Calibri"/>
                <w:b w:val="0"/>
                <w:i w:val="0"/>
                <w:color w:val="212121"/>
                <w:sz w:val="19"/>
              </w:rPr>
              <w:t>In SWAN, lower educational level, greater perceived stress, symptom sensitivity, and depressive and anxiety symptoms all predicted a longer total duration of VMS.</w:t>
            </w:r>
          </w:p>
          <w:p>
            <w:pPr>
              <w:spacing w:after="40" w:line="252" w:lineRule="auto"/>
            </w:pPr>
            <w:hyperlink r:id="rId10">
              <w:r>
                <w:rPr>
                  <w:rFonts w:ascii="Calibri" w:hAnsi="Calibri" w:cs="Calibri"/>
                  <w:sz w:val="18"/>
                  <w:color w:val="1155CC"/>
                  <w:u w:val="single"/>
                </w:rPr>
                <w:t xml:space="preserve">pubmed.ncbi.nlm.nih.gov/25686030 - SWAN predictors</w:t>
              </w:r>
            </w:hyperlink>
          </w:p>
          <w:p>
            <w:pPr>
              <w:spacing w:before="60" w:after="40"/>
            </w:pPr>
            <w:r>
              <w:rPr>
                <w:rFonts w:ascii="Calibri" w:hAnsi="Calibri"/>
                <w:b w:val="0"/>
                <w:i w:val="0"/>
                <w:color w:val="5A5A5A"/>
                <w:sz w:val="18"/>
              </w:rPr>
              <w:t>#socioeconomic  #perceivedstress  #healthdisparities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African American women (global comparison)</w:t>
            </w:r>
          </w:p>
        </w:tc>
        <w:tc>
          <w:tcPr>
            <w:tcW w:type="dxa" w:w="4276"/>
            <w:vAlign w:val="top"/>
          </w:tcPr>
          <w:p>
            <w:pPr>
              <w:spacing w:after="60" w:line="259" w:lineRule="auto"/>
            </w:pPr>
            <w:r>
              <w:rPr>
                <w:rFonts w:ascii="Calibri" w:hAnsi="Calibri"/>
                <w:b w:val="0"/>
                <w:i w:val="0"/>
                <w:color w:val="212121"/>
                <w:sz w:val="19"/>
              </w:rPr>
              <w:t>Marked ethnic variation exists in VMS burden; African American women report the most frequent, most severe and longest-lasting hot flushes among groups studied.</w:t>
            </w:r>
          </w:p>
          <w:p>
            <w:pPr>
              <w:spacing w:after="40" w:before="60" w:line="259" w:lineRule="auto"/>
            </w:pPr>
            <w:r>
              <w:rPr>
                <w:rFonts w:ascii="Calibri" w:hAnsi="Calibri"/>
                <w:b w:val="0"/>
                <w:i w:val="0"/>
                <w:color w:val="212121"/>
                <w:sz w:val="19"/>
              </w:rPr>
              <w:t>African American women reported the longest total VMS duration in SWAN, at a median of 10.1 years.</w:t>
            </w:r>
          </w:p>
          <w:p>
            <w:pPr>
              <w:spacing w:after="40" w:line="252" w:lineRule="auto"/>
            </w:pPr>
            <w:hyperlink r:id="rId10">
              <w:r>
                <w:rPr>
                  <w:rFonts w:ascii="Calibri" w:hAnsi="Calibri" w:cs="Calibri"/>
                  <w:sz w:val="18"/>
                  <w:color w:val="1155CC"/>
                  <w:u w:val="single"/>
                </w:rPr>
                <w:t xml:space="preserve">pubmed.ncbi.nlm.nih.gov/25686030 - ethnic variation</w:t>
              </w:r>
            </w:hyperlink>
          </w:p>
          <w:p>
            <w:pPr>
              <w:spacing w:before="60" w:after="40"/>
            </w:pPr>
            <w:r>
              <w:rPr>
                <w:rFonts w:ascii="Calibri" w:hAnsi="Calibri"/>
                <w:b w:val="0"/>
                <w:i w:val="0"/>
                <w:color w:val="5A5A5A"/>
                <w:sz w:val="18"/>
              </w:rPr>
              <w:t>#ethnicity  #SWAN  #disparities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Asian Indian / South Asian women</w:t>
            </w:r>
          </w:p>
        </w:tc>
        <w:tc>
          <w:tcPr>
            <w:tcW w:type="dxa" w:w="4276"/>
            <w:vAlign w:val="top"/>
          </w:tcPr>
          <w:p>
            <w:pPr>
              <w:spacing w:after="60" w:line="259" w:lineRule="auto"/>
            </w:pPr>
            <w:r>
              <w:rPr>
                <w:rFonts w:ascii="Calibri" w:hAnsi="Calibri"/>
                <w:b w:val="0"/>
                <w:i w:val="0"/>
                <w:color w:val="212121"/>
                <w:sz w:val="19"/>
              </w:rPr>
              <w:t>Reported VMS prevalence in Indian women ranges widely by setting and methodology, and earlier menopause (mean about 46 years) shifts the symptomatic window earlier than in Western women.</w:t>
            </w:r>
          </w:p>
          <w:p>
            <w:pPr>
              <w:spacing w:after="40" w:before="60" w:line="259" w:lineRule="auto"/>
            </w:pPr>
            <w:r>
              <w:rPr>
                <w:rFonts w:ascii="Calibri" w:hAnsi="Calibri"/>
                <w:b w:val="0"/>
                <w:i w:val="0"/>
                <w:color w:val="212121"/>
                <w:sz w:val="19"/>
              </w:rPr>
              <w:t>The IMS-CAT urban Indian study reported hot flushes and/or night sweats in about 34% of women, while a ten-centre clinic-based Indian study reported 75.3%.</w:t>
            </w:r>
          </w:p>
          <w:p>
            <w:pPr>
              <w:spacing w:after="40" w:line="252" w:lineRule="auto"/>
            </w:pPr>
            <w:hyperlink r:id="rId12">
              <w:r>
                <w:rPr>
                  <w:rFonts w:ascii="Calibri" w:hAnsi="Calibri" w:cs="Calibri"/>
                  <w:sz w:val="18"/>
                  <w:color w:val="1155CC"/>
                  <w:u w:val="single"/>
                </w:rPr>
                <w:t xml:space="preserve">pubmed.ncbi.nlm.nih.gov/24099134 - IMS-CAT urban India</w:t>
              </w:r>
            </w:hyperlink>
          </w:p>
          <w:p>
            <w:pPr>
              <w:spacing w:before="60" w:after="40"/>
            </w:pPr>
            <w:r>
              <w:rPr>
                <w:rFonts w:ascii="Calibri" w:hAnsi="Calibri"/>
                <w:b w:val="0"/>
                <w:i w:val="0"/>
                <w:color w:val="5A5A5A"/>
                <w:sz w:val="18"/>
              </w:rPr>
              <w:t>#Indianwomen  #SouthAsian  #earlymenopause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Hot-climate and urban Indian regions</w:t>
            </w:r>
          </w:p>
        </w:tc>
        <w:tc>
          <w:tcPr>
            <w:tcW w:type="dxa" w:w="4276"/>
            <w:vAlign w:val="top"/>
          </w:tcPr>
          <w:p>
            <w:pPr>
              <w:spacing w:after="60" w:line="259" w:lineRule="auto"/>
            </w:pPr>
            <w:r>
              <w:rPr>
                <w:rFonts w:ascii="Calibri" w:hAnsi="Calibri"/>
                <w:b w:val="0"/>
                <w:i w:val="0"/>
                <w:color w:val="212121"/>
                <w:sz w:val="19"/>
              </w:rPr>
              <w:t>Ambient heat is a recognised acute trigger and may modulate reported VMS burden, while urbanisation, adiposity and lifestyle change alter symptom patterns across Indian regions.</w:t>
            </w:r>
          </w:p>
          <w:p>
            <w:pPr>
              <w:spacing w:after="40" w:before="60" w:line="259" w:lineRule="auto"/>
            </w:pPr>
            <w:r>
              <w:rPr>
                <w:rFonts w:ascii="Calibri" w:hAnsi="Calibri"/>
                <w:b w:val="0"/>
                <w:i w:val="0"/>
                <w:color w:val="212121"/>
                <w:sz w:val="19"/>
              </w:rPr>
              <w:t>The International Menopause Society IMS-CAT study specifically examined climate, altitude and temperature in relation to vasomotor symptoms across urban Indian regions.</w:t>
            </w:r>
          </w:p>
          <w:p>
            <w:pPr>
              <w:spacing w:after="40" w:line="252" w:lineRule="auto"/>
            </w:pPr>
            <w:hyperlink r:id="rId12">
              <w:r>
                <w:rPr>
                  <w:rFonts w:ascii="Calibri" w:hAnsi="Calibri" w:cs="Calibri"/>
                  <w:sz w:val="18"/>
                  <w:color w:val="1155CC"/>
                  <w:u w:val="single"/>
                </w:rPr>
                <w:t xml:space="preserve">pubmed.ncbi.nlm.nih.gov/24099134 - climate/altitude/temperature</w:t>
              </w:r>
            </w:hyperlink>
          </w:p>
          <w:p>
            <w:pPr>
              <w:spacing w:before="60" w:after="40"/>
            </w:pPr>
            <w:r>
              <w:rPr>
                <w:rFonts w:ascii="Calibri" w:hAnsi="Calibri"/>
                <w:b w:val="0"/>
                <w:i w:val="0"/>
                <w:color w:val="5A5A5A"/>
                <w:sz w:val="18"/>
              </w:rPr>
              <w:t>#climate  #heat  #urbanIndia  #trigger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 sedentary women</w:t>
            </w:r>
          </w:p>
        </w:tc>
        <w:tc>
          <w:tcPr>
            <w:tcW w:type="dxa" w:w="4276"/>
            <w:vAlign w:val="top"/>
          </w:tcPr>
          <w:p>
            <w:pPr>
              <w:spacing w:after="60" w:line="259" w:lineRule="auto"/>
            </w:pPr>
            <w:r>
              <w:rPr>
                <w:rFonts w:ascii="Calibri" w:hAnsi="Calibri"/>
                <w:b w:val="0"/>
                <w:i w:val="0"/>
                <w:color w:val="212121"/>
                <w:sz w:val="19"/>
              </w:rPr>
              <w:t>Physical inactivity and higher adiposity are associated with more frequent VMS and worse sleep and mood; regular activity and weight loss improve overall menopausal wellbeing even where direct flush reduction is modest.</w:t>
            </w:r>
          </w:p>
          <w:p>
            <w:pPr>
              <w:spacing w:after="40" w:before="60" w:line="259" w:lineRule="auto"/>
            </w:pPr>
            <w:r>
              <w:rPr>
                <w:rFonts w:ascii="Calibri" w:hAnsi="Calibri"/>
                <w:b w:val="0"/>
                <w:i w:val="0"/>
                <w:color w:val="212121"/>
                <w:sz w:val="19"/>
              </w:rPr>
              <w:t>Higher body weight and inactivity are linked with greater hot-flush burden, whereas weight loss and regular exercise improve sleep, mood and cardiometabolic health in the transition.</w:t>
            </w:r>
          </w:p>
          <w:p>
            <w:pPr>
              <w:spacing w:before="60" w:after="40"/>
            </w:pPr>
            <w:r>
              <w:rPr>
                <w:rFonts w:ascii="Calibri" w:hAnsi="Calibri"/>
                <w:b w:val="0"/>
                <w:i w:val="0"/>
                <w:color w:val="5A5A5A"/>
                <w:sz w:val="18"/>
              </w:rPr>
              <w:t>#sedentary  #adiposity  #inactivity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former smokers</w:t>
            </w:r>
          </w:p>
        </w:tc>
        <w:tc>
          <w:tcPr>
            <w:tcW w:type="dxa" w:w="4276"/>
            <w:vAlign w:val="top"/>
          </w:tcPr>
          <w:p>
            <w:pPr>
              <w:spacing w:after="60" w:line="259" w:lineRule="auto"/>
            </w:pPr>
            <w:r>
              <w:rPr>
                <w:rFonts w:ascii="Calibri" w:hAnsi="Calibri"/>
                <w:b w:val="0"/>
                <w:i w:val="0"/>
                <w:color w:val="212121"/>
                <w:sz w:val="19"/>
              </w:rPr>
              <w:t>Smoking is the strongest modifiable risk factor for hot flushes, with a dose-response relationship, and it also lowers the age at menopause through anti-oestrogenic effects and altered oestrogen metabolism.</w:t>
            </w:r>
          </w:p>
          <w:p>
            <w:pPr>
              <w:spacing w:after="40" w:before="60" w:line="259" w:lineRule="auto"/>
            </w:pPr>
            <w:r>
              <w:rPr>
                <w:rFonts w:ascii="Calibri" w:hAnsi="Calibri"/>
                <w:b w:val="0"/>
                <w:i w:val="0"/>
                <w:color w:val="212121"/>
                <w:sz w:val="19"/>
              </w:rPr>
              <w:t>Smoking is identified as a major risk factor that increases the occurrence and severity of hot flushes.</w:t>
            </w:r>
          </w:p>
          <w:p>
            <w:pPr>
              <w:spacing w:after="40" w:line="252" w:lineRule="auto"/>
            </w:pPr>
            <w:hyperlink r:id="rId13">
              <w:r>
                <w:rPr>
                  <w:rFonts w:ascii="Calibri" w:hAnsi="Calibri" w:cs="Calibri"/>
                  <w:sz w:val="18"/>
                  <w:color w:val="1155CC"/>
                  <w:u w:val="single"/>
                </w:rPr>
                <w:t xml:space="preserve">en.wikipedia.org - Hot flash (risk factors)</w:t>
              </w:r>
            </w:hyperlink>
          </w:p>
          <w:p>
            <w:pPr>
              <w:spacing w:before="60" w:after="40"/>
            </w:pPr>
            <w:r>
              <w:rPr>
                <w:rFonts w:ascii="Calibri" w:hAnsi="Calibri"/>
                <w:b w:val="0"/>
                <w:i w:val="0"/>
                <w:color w:val="5A5A5A"/>
                <w:sz w:val="18"/>
              </w:rPr>
              <w:t>#smoking  #tobacco  #doseresponse  #earlymenopause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alcohol consumers</w:t>
            </w:r>
          </w:p>
        </w:tc>
        <w:tc>
          <w:tcPr>
            <w:tcW w:type="dxa" w:w="4276"/>
            <w:vAlign w:val="top"/>
          </w:tcPr>
          <w:p>
            <w:pPr>
              <w:spacing w:after="60" w:line="259" w:lineRule="auto"/>
            </w:pPr>
            <w:r>
              <w:rPr>
                <w:rFonts w:ascii="Calibri" w:hAnsi="Calibri"/>
                <w:b w:val="0"/>
                <w:i w:val="0"/>
                <w:color w:val="212121"/>
                <w:sz w:val="19"/>
              </w:rPr>
              <w:t>Alcohol causes cutaneous vasodilation and is a common acute trigger of flushing, and by disturbing sleep and mood it can increase overall VMS burden.</w:t>
            </w:r>
          </w:p>
          <w:p>
            <w:pPr>
              <w:spacing w:after="40" w:before="60" w:line="259" w:lineRule="auto"/>
            </w:pPr>
            <w:r>
              <w:rPr>
                <w:rFonts w:ascii="Calibri" w:hAnsi="Calibri"/>
                <w:b w:val="0"/>
                <w:i w:val="0"/>
                <w:color w:val="212121"/>
                <w:sz w:val="19"/>
              </w:rPr>
              <w:t>Alcohol is a recognised acute precipitant of flushing and a common self-reported trigger of hot flushes and night sweats.</w:t>
            </w:r>
          </w:p>
          <w:p>
            <w:pPr>
              <w:spacing w:before="60" w:after="40"/>
            </w:pPr>
            <w:r>
              <w:rPr>
                <w:rFonts w:ascii="Calibri" w:hAnsi="Calibri"/>
                <w:b w:val="0"/>
                <w:i w:val="0"/>
                <w:color w:val="5A5A5A"/>
                <w:sz w:val="18"/>
              </w:rPr>
              <w:t>#alcohol  #vasodilation  #trigger  #sleep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women (Asian-Indian BMI &gt;= 23)</w:t>
            </w:r>
          </w:p>
        </w:tc>
        <w:tc>
          <w:tcPr>
            <w:tcW w:type="dxa" w:w="4276"/>
            <w:vAlign w:val="top"/>
          </w:tcPr>
          <w:p>
            <w:pPr>
              <w:spacing w:after="60" w:line="259" w:lineRule="auto"/>
            </w:pPr>
            <w:r>
              <w:rPr>
                <w:rFonts w:ascii="Calibri" w:hAnsi="Calibri"/>
                <w:b w:val="0"/>
                <w:i w:val="0"/>
                <w:color w:val="212121"/>
                <w:sz w:val="19"/>
              </w:rPr>
              <w:t>Higher BMI increases flush frequency and severity, particularly during the transition; subcutaneous fat acts as insulation impairing heat dissipation, and adipose tissue alters sex-steroid and thermoregulatory signalling.</w:t>
            </w:r>
          </w:p>
          <w:p>
            <w:pPr>
              <w:spacing w:after="40" w:before="60" w:line="259" w:lineRule="auto"/>
            </w:pPr>
            <w:r>
              <w:rPr>
                <w:rFonts w:ascii="Calibri" w:hAnsi="Calibri"/>
                <w:b w:val="0"/>
                <w:i w:val="0"/>
                <w:color w:val="212121"/>
                <w:sz w:val="19"/>
              </w:rPr>
              <w:t>Obesity is identified as a major risk factor for hot flushes, and higher body weight is associated with greater vasomotor symptom burden.</w:t>
            </w:r>
          </w:p>
          <w:p>
            <w:pPr>
              <w:spacing w:after="40" w:line="252" w:lineRule="auto"/>
            </w:pPr>
            <w:hyperlink r:id="rId13">
              <w:r>
                <w:rPr>
                  <w:rFonts w:ascii="Calibri" w:hAnsi="Calibri" w:cs="Calibri"/>
                  <w:sz w:val="18"/>
                  <w:color w:val="1155CC"/>
                  <w:u w:val="single"/>
                </w:rPr>
                <w:t xml:space="preserve">en.wikipedia.org - Hot flash (obesity risk)</w:t>
              </w:r>
            </w:hyperlink>
          </w:p>
          <w:p>
            <w:pPr>
              <w:spacing w:before="60" w:after="40"/>
            </w:pPr>
            <w:r>
              <w:rPr>
                <w:rFonts w:ascii="Calibri" w:hAnsi="Calibri"/>
                <w:b w:val="0"/>
                <w:i w:val="0"/>
                <w:color w:val="5A5A5A"/>
                <w:sz w:val="18"/>
              </w:rPr>
              <w:t>#overweight  #BMI  #insulation  #asianBMI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women (BMI &gt;= 25, Asian-Indian cut-off)</w:t>
            </w:r>
          </w:p>
        </w:tc>
        <w:tc>
          <w:tcPr>
            <w:tcW w:type="dxa" w:w="4276"/>
            <w:vAlign w:val="top"/>
          </w:tcPr>
          <w:p>
            <w:pPr>
              <w:spacing w:after="60" w:line="259" w:lineRule="auto"/>
            </w:pPr>
            <w:r>
              <w:rPr>
                <w:rFonts w:ascii="Calibri" w:hAnsi="Calibri"/>
                <w:b w:val="0"/>
                <w:i w:val="0"/>
                <w:color w:val="212121"/>
                <w:sz w:val="19"/>
              </w:rPr>
              <w:t>Central adiposity is associated with more bothersome VMS during perimenopause; intentional weight loss can reduce flush frequency and improves associated cardiometabolic and sleep problems.</w:t>
            </w:r>
          </w:p>
          <w:p>
            <w:pPr>
              <w:spacing w:after="40" w:before="60" w:line="259" w:lineRule="auto"/>
            </w:pPr>
            <w:r>
              <w:rPr>
                <w:rFonts w:ascii="Calibri" w:hAnsi="Calibri"/>
                <w:b w:val="0"/>
                <w:i w:val="0"/>
                <w:color w:val="212121"/>
                <w:sz w:val="19"/>
              </w:rPr>
              <w:t>Obese women tend to report more frequent and severe hot flushes, and weight reduction is associated with improvement in vasomotor symptoms.</w:t>
            </w:r>
          </w:p>
          <w:p>
            <w:pPr>
              <w:spacing w:before="60" w:after="40"/>
            </w:pPr>
            <w:r>
              <w:rPr>
                <w:rFonts w:ascii="Calibri" w:hAnsi="Calibri"/>
                <w:b w:val="0"/>
                <w:i w:val="0"/>
                <w:color w:val="5A5A5A"/>
                <w:sz w:val="18"/>
              </w:rPr>
              <w:t>#obesity  #centraladiposity  #weightloss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Spicy food, hot beverages and caffeine users</w:t>
            </w:r>
          </w:p>
        </w:tc>
        <w:tc>
          <w:tcPr>
            <w:tcW w:type="dxa" w:w="4276"/>
            <w:vAlign w:val="top"/>
          </w:tcPr>
          <w:p>
            <w:pPr>
              <w:spacing w:after="60" w:line="259" w:lineRule="auto"/>
            </w:pPr>
            <w:r>
              <w:rPr>
                <w:rFonts w:ascii="Calibri" w:hAnsi="Calibri"/>
                <w:b w:val="0"/>
                <w:i w:val="0"/>
                <w:color w:val="212121"/>
                <w:sz w:val="19"/>
              </w:rPr>
              <w:t>Spicy foods, very hot drinks, caffeine and large heavy meals are common dietary precipitants that provoke acute flushing via thermogenic and vasomotor stimulation, especially in the evening.</w:t>
            </w:r>
          </w:p>
          <w:p>
            <w:pPr>
              <w:spacing w:after="40" w:before="60" w:line="259" w:lineRule="auto"/>
            </w:pPr>
            <w:r>
              <w:rPr>
                <w:rFonts w:ascii="Calibri" w:hAnsi="Calibri"/>
                <w:b w:val="0"/>
                <w:i w:val="0"/>
                <w:color w:val="212121"/>
                <w:sz w:val="19"/>
              </w:rPr>
              <w:t>Spicy foods, hot drinks and caffeine are among the most frequently reported dietary triggers of hot flushes and are a focus of self-management advice.</w:t>
            </w:r>
          </w:p>
          <w:p>
            <w:pPr>
              <w:spacing w:before="60" w:after="40"/>
            </w:pPr>
            <w:r>
              <w:rPr>
                <w:rFonts w:ascii="Calibri" w:hAnsi="Calibri"/>
                <w:b w:val="0"/>
                <w:i w:val="0"/>
                <w:color w:val="5A5A5A"/>
                <w:sz w:val="18"/>
              </w:rPr>
              <w:t>#spicyfood  #caffeine  #hotdrinks  #trigger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early/symptomatic menopause; TACR3 variants</w:t>
            </w:r>
          </w:p>
        </w:tc>
        <w:tc>
          <w:tcPr>
            <w:tcW w:type="dxa" w:w="4276"/>
            <w:vAlign w:val="top"/>
          </w:tcPr>
          <w:p>
            <w:pPr>
              <w:spacing w:after="60" w:line="259" w:lineRule="auto"/>
            </w:pPr>
            <w:r>
              <w:rPr>
                <w:rFonts w:ascii="Calibri" w:hAnsi="Calibri"/>
                <w:b w:val="0"/>
                <w:i w:val="0"/>
                <w:color w:val="212121"/>
                <w:sz w:val="19"/>
              </w:rPr>
              <w:t>The timing of menopause and susceptibility to VMS are heritable; variants in the tachykinin receptor 3 gene (TACR3, the NK3 receptor), central to KNDy-neuron signalling, are associated with hot flushes.</w:t>
            </w:r>
          </w:p>
          <w:p>
            <w:pPr>
              <w:spacing w:after="40" w:before="60" w:line="259" w:lineRule="auto"/>
            </w:pPr>
            <w:r>
              <w:rPr>
                <w:rFonts w:ascii="Calibri" w:hAnsi="Calibri"/>
                <w:b w:val="0"/>
                <w:i w:val="0"/>
                <w:color w:val="212121"/>
                <w:sz w:val="19"/>
              </w:rPr>
              <w:t>Genetic studies link the NK3 receptor / TACR3 pathway to vasomotor symptoms, the biological basis now targeted by NK3-antagonist therapy (fezolinetant).</w:t>
            </w:r>
          </w:p>
          <w:p>
            <w:pPr>
              <w:spacing w:before="60" w:after="40"/>
            </w:pPr>
            <w:r>
              <w:rPr>
                <w:rFonts w:ascii="Calibri" w:hAnsi="Calibri"/>
                <w:b w:val="0"/>
                <w:i w:val="0"/>
                <w:color w:val="5A5A5A"/>
                <w:sz w:val="18"/>
              </w:rPr>
              <w:t>#TACR3  #NK3  #KNDy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Induced / surgical menopause</w:t>
            </w:r>
          </w:p>
        </w:tc>
        <w:tc>
          <w:tcPr>
            <w:tcW w:type="dxa" w:w="2160"/>
            <w:vAlign w:val="top"/>
          </w:tcPr>
          <w:p>
            <w:pPr>
              <w:spacing w:after="40" w:before="0" w:line="259" w:lineRule="auto"/>
            </w:pPr>
            <w:r>
              <w:rPr>
                <w:rFonts w:ascii="Calibri" w:hAnsi="Calibri"/>
                <w:b w:val="0"/>
                <w:i w:val="0"/>
                <w:color w:val="212121"/>
                <w:sz w:val="19"/>
              </w:rPr>
              <w:t>Bilateral oophorectomy, chemotherapy or GnRH-agonist therapy</w:t>
            </w:r>
          </w:p>
        </w:tc>
        <w:tc>
          <w:tcPr>
            <w:tcW w:type="dxa" w:w="4276"/>
            <w:vAlign w:val="top"/>
          </w:tcPr>
          <w:p>
            <w:pPr>
              <w:spacing w:after="60" w:line="259" w:lineRule="auto"/>
            </w:pPr>
            <w:r>
              <w:rPr>
                <w:rFonts w:ascii="Calibri" w:hAnsi="Calibri"/>
                <w:b w:val="0"/>
                <w:i w:val="0"/>
                <w:color w:val="212121"/>
                <w:sz w:val="19"/>
              </w:rPr>
              <w:t>Abrupt surgical or medical loss of ovarian oestrogen (oophorectomy, chemotherapy, GnRH agonists) precipitates sudden, often severe VMS, typically more intense and immediate than in natural menopause.</w:t>
            </w:r>
          </w:p>
          <w:p>
            <w:pPr>
              <w:spacing w:after="40" w:before="60" w:line="259" w:lineRule="auto"/>
            </w:pPr>
            <w:r>
              <w:rPr>
                <w:rFonts w:ascii="Calibri" w:hAnsi="Calibri"/>
                <w:b w:val="0"/>
                <w:i w:val="0"/>
                <w:color w:val="212121"/>
                <w:sz w:val="19"/>
              </w:rPr>
              <w:t>NICE recommends systemic hormone therapy as first-line treatment for vasomotor symptoms, including for women with surgical or premature/early menopause, who often have severe symptoms.</w:t>
            </w:r>
          </w:p>
          <w:p>
            <w:pPr>
              <w:spacing w:after="40" w:line="252" w:lineRule="auto"/>
            </w:pPr>
            <w:hyperlink r:id="rId14">
              <w:r>
                <w:rPr>
                  <w:rFonts w:ascii="Calibri" w:hAnsi="Calibri" w:cs="Calibri"/>
                  <w:sz w:val="18"/>
                  <w:color w:val="1155CC"/>
                  <w:u w:val="single"/>
                </w:rPr>
                <w:t xml:space="preserve">nice.org.uk/guidance/ng23 - menopause management</w:t>
              </w:r>
            </w:hyperlink>
          </w:p>
          <w:p>
            <w:pPr>
              <w:spacing w:before="60" w:after="40"/>
            </w:pPr>
            <w:r>
              <w:rPr>
                <w:rFonts w:ascii="Calibri" w:hAnsi="Calibri"/>
                <w:b w:val="0"/>
                <w:i w:val="0"/>
                <w:color w:val="5A5A5A"/>
                <w:sz w:val="18"/>
              </w:rPr>
              <w:t>#surgicalmenopause  #oophorectomy  #inducedmenopause  #severeVMS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Breast cancer / endocrine therapy</w:t>
            </w:r>
          </w:p>
        </w:tc>
        <w:tc>
          <w:tcPr>
            <w:tcW w:type="dxa" w:w="2160"/>
            <w:vAlign w:val="top"/>
          </w:tcPr>
          <w:p>
            <w:pPr>
              <w:spacing w:after="40" w:before="0" w:line="259" w:lineRule="auto"/>
            </w:pPr>
            <w:r>
              <w:rPr>
                <w:rFonts w:ascii="Calibri" w:hAnsi="Calibri"/>
                <w:b w:val="0"/>
                <w:i w:val="0"/>
                <w:color w:val="212121"/>
                <w:sz w:val="19"/>
              </w:rPr>
              <w:t>Women on tamoxifen or aromatase inhibitors</w:t>
            </w:r>
          </w:p>
        </w:tc>
        <w:tc>
          <w:tcPr>
            <w:tcW w:type="dxa" w:w="4276"/>
            <w:vAlign w:val="top"/>
          </w:tcPr>
          <w:p>
            <w:pPr>
              <w:spacing w:after="60" w:line="259" w:lineRule="auto"/>
            </w:pPr>
            <w:r>
              <w:rPr>
                <w:rFonts w:ascii="Calibri" w:hAnsi="Calibri"/>
                <w:b w:val="0"/>
                <w:i w:val="0"/>
                <w:color w:val="212121"/>
                <w:sz w:val="19"/>
              </w:rPr>
              <w:t>Endocrine therapies for breast cancer (tamoxifen, aromatase inhibitors) commonly induce hot flushes; because systemic oestrogen is contraindicated, non-hormonal options are required for these women.</w:t>
            </w:r>
          </w:p>
          <w:p>
            <w:pPr>
              <w:spacing w:after="40" w:before="60" w:line="259" w:lineRule="auto"/>
            </w:pPr>
            <w:r>
              <w:rPr>
                <w:rFonts w:ascii="Calibri" w:hAnsi="Calibri"/>
                <w:b w:val="0"/>
                <w:i w:val="0"/>
                <w:color w:val="212121"/>
                <w:sz w:val="19"/>
              </w:rPr>
              <w:t>Hot flushes are among the most common adverse effects of tamoxifen and aromatase inhibitors and a frequent reason for treatment distress and non-adherence.</w:t>
            </w:r>
          </w:p>
          <w:p>
            <w:pPr>
              <w:spacing w:before="60" w:after="40"/>
            </w:pPr>
            <w:r>
              <w:rPr>
                <w:rFonts w:ascii="Calibri" w:hAnsi="Calibri"/>
                <w:b w:val="0"/>
                <w:i w:val="0"/>
                <w:color w:val="5A5A5A"/>
                <w:sz w:val="18"/>
              </w:rPr>
              <w:t>#breastcancer  #tamoxifen  #aromataseinhibitor  #nonhormonal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Women with mood or anxiety disorders</w:t>
            </w:r>
          </w:p>
        </w:tc>
        <w:tc>
          <w:tcPr>
            <w:tcW w:type="dxa" w:w="4276"/>
            <w:vAlign w:val="top"/>
          </w:tcPr>
          <w:p>
            <w:pPr>
              <w:spacing w:after="60" w:line="259" w:lineRule="auto"/>
            </w:pPr>
            <w:r>
              <w:rPr>
                <w:rFonts w:ascii="Calibri" w:hAnsi="Calibri"/>
                <w:b w:val="0"/>
                <w:i w:val="0"/>
                <w:color w:val="212121"/>
                <w:sz w:val="19"/>
              </w:rPr>
              <w:t>Depression, anxiety and high perceived stress are bidirectionally linked with VMS: they predict more frequent, severe and longer-lasting flushes, and VMS-related sleep loss in turn worsens mood.</w:t>
            </w:r>
          </w:p>
          <w:p>
            <w:pPr>
              <w:spacing w:after="40" w:before="60" w:line="259" w:lineRule="auto"/>
            </w:pPr>
            <w:r>
              <w:rPr>
                <w:rFonts w:ascii="Calibri" w:hAnsi="Calibri"/>
                <w:b w:val="0"/>
                <w:i w:val="0"/>
                <w:color w:val="212121"/>
                <w:sz w:val="19"/>
              </w:rPr>
              <w:t>In SWAN, elevated depressive symptoms and anxiety independently predicted a longer total duration of vasomotor symptoms.</w:t>
            </w:r>
          </w:p>
          <w:p>
            <w:pPr>
              <w:spacing w:after="40" w:line="252" w:lineRule="auto"/>
            </w:pPr>
            <w:hyperlink r:id="rId10">
              <w:r>
                <w:rPr>
                  <w:rFonts w:ascii="Calibri" w:hAnsi="Calibri" w:cs="Calibri"/>
                  <w:sz w:val="18"/>
                  <w:color w:val="1155CC"/>
                  <w:u w:val="single"/>
                </w:rPr>
                <w:t xml:space="preserve">pubmed.ncbi.nlm.nih.gov/25686030 - mood and VMS duration</w:t>
              </w:r>
            </w:hyperlink>
          </w:p>
          <w:p>
            <w:pPr>
              <w:spacing w:before="60" w:after="40"/>
            </w:pPr>
            <w:r>
              <w:rPr>
                <w:rFonts w:ascii="Calibri" w:hAnsi="Calibri"/>
                <w:b w:val="0"/>
                <w:i w:val="0"/>
                <w:color w:val="5A5A5A"/>
                <w:sz w:val="18"/>
              </w:rPr>
              <w:t>#depression  #anxiety  #bidirectional  #stress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Higher adiposity and physical inactivity are associated with more frequent and severe hot flushes; regular activity and weight loss improve sleep, mood and cardiometabolic health, though direct reduction of flush frequency by exercise alone is modest.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Spicy foods, very hot beverages, large meals and high sugar/refined-carbohydrate intake can provoke or worsen flushes, while soy/isoflavone-rich diets show a small and inconsistent reduction in VMS.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Night sweats fragment sleep and cause insomnia, while poor sleep lowers the flush threshold and worsens daytime symptoms, a bidirectional relationship central to VMS-related quality-of-life loss.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Cigarette smoking is the strongest modifiable risk factor for hot flushes, with a dose-response effect, and also lowers the age at menopause; risk persists in former smokers but improves after cessation.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causes cutaneous vasodilation and is a common acute trigger of flushing, and by disturbing sleep and mood it can increase overall VMS burden.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depressive symptoms and high perceived stress predict more frequent, severe and longer-lasting VMS, and VMS-related sleep loss in turn worsens mood, a strong bidirectional link.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Staying cool and sipping cold water can abort or ease an individual flush, but hydration has no established effect on the underlying frequency of VMS.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is associated with more bothersome vasomotor symptoms in menopausal women and can act as both an acute trigger and a sleep disruptor.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has little direct role; practical measures such as breathable cotton clothing, layered dressing and frequent changes help manage sweating and night sweats.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acute triggers, including warm environments and hot weather, hot or spicy food and drinks, caffeine, alcohol, stress and emotional arousal, can precipitate individual flushes and are a key focus of self-management.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Perimenopausal &amp; postmenopausal women</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Higher BMI increases flush frequency/severity and impairs heat dissipation</w:t>
            </w:r>
          </w:p>
          <w:p>
            <w:pPr>
              <w:spacing w:after="40" w:line="252" w:lineRule="auto"/>
            </w:pPr>
            <w:hyperlink r:id="rId13">
              <w:r>
                <w:rPr>
                  <w:rFonts w:ascii="Calibri" w:hAnsi="Calibri" w:cs="Calibri"/>
                  <w:sz w:val="18"/>
                  <w:color w:val="1155CC"/>
                  <w:u w:val="single"/>
                </w:rPr>
                <w:t xml:space="preserve">https://en.wikipedia.org/wiki/Hot_flash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&lt; 80 cm</w:t>
            </w:r>
          </w:p>
        </w:tc>
        <w:tc>
          <w:tcPr>
            <w:tcW w:type="dxa" w:w="1512"/>
            <w:vAlign w:val="top"/>
          </w:tcPr>
          <w:p>
            <w:pPr>
              <w:spacing w:after="40" w:before="0" w:line="259" w:lineRule="auto"/>
            </w:pPr>
            <w:r>
              <w:rPr>
                <w:rFonts w:ascii="Calibri" w:hAnsi="Calibri"/>
                <w:b w:val="0"/>
                <w:i w:val="0"/>
                <w:color w:val="212121"/>
                <w:sz w:val="19"/>
              </w:rPr>
              <w:t>&gt;= 80 cm</w:t>
            </w:r>
          </w:p>
        </w:tc>
        <w:tc>
          <w:tcPr>
            <w:tcW w:type="dxa" w:w="1468"/>
            <w:vAlign w:val="top"/>
          </w:tcPr>
          <w:p>
            <w:pPr>
              <w:spacing w:after="40" w:before="0" w:line="259" w:lineRule="auto"/>
            </w:pPr>
            <w:r>
              <w:rPr>
                <w:rFonts w:ascii="Calibri" w:hAnsi="Calibri"/>
                <w:b w:val="0"/>
                <w:i w:val="0"/>
                <w:color w:val="212121"/>
                <w:sz w:val="19"/>
              </w:rPr>
              <w:t>Central adiposity is linked with more bothersome VMS and cardiometabolic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(minutes/week)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Supports weight, sleep and mood during the menopause transition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Strongest modifiable risk factor for hot flushes; dose-response</w:t>
            </w:r>
          </w:p>
          <w:p>
            <w:pPr>
              <w:spacing w:after="40" w:line="252" w:lineRule="auto"/>
            </w:pPr>
            <w:hyperlink r:id="rId13">
              <w:r>
                <w:rPr>
                  <w:rFonts w:ascii="Calibri" w:hAnsi="Calibri" w:cs="Calibri"/>
                  <w:sz w:val="18"/>
                  <w:color w:val="1155CC"/>
                  <w:u w:val="single"/>
                </w:rPr>
                <w:t xml:space="preserve">https://en.wikipedia.org/wiki/Hot_flash</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(drinks/week)</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Regular or binge intake</w:t>
            </w:r>
          </w:p>
        </w:tc>
        <w:tc>
          <w:tcPr>
            <w:tcW w:type="dxa" w:w="1468"/>
            <w:vAlign w:val="top"/>
          </w:tcPr>
          <w:p>
            <w:pPr>
              <w:spacing w:after="40" w:before="0" w:line="259" w:lineRule="auto"/>
            </w:pPr>
            <w:r>
              <w:rPr>
                <w:rFonts w:ascii="Calibri" w:hAnsi="Calibri"/>
                <w:b w:val="0"/>
                <w:i w:val="0"/>
                <w:color w:val="212121"/>
                <w:sz w:val="19"/>
              </w:rPr>
              <w:t>Vasodilatory acute trigger that also disturbs sleep</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Night sweats fragment sleep; poor sleep worsens VMS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Caffeinated drinks per day</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&lt;= 2 per day</w:t>
            </w:r>
          </w:p>
        </w:tc>
        <w:tc>
          <w:tcPr>
            <w:tcW w:type="dxa" w:w="1512"/>
            <w:vAlign w:val="top"/>
          </w:tcPr>
          <w:p>
            <w:pPr>
              <w:spacing w:after="40" w:before="0" w:line="259" w:lineRule="auto"/>
            </w:pPr>
            <w:r>
              <w:rPr>
                <w:rFonts w:ascii="Calibri" w:hAnsi="Calibri"/>
                <w:b w:val="0"/>
                <w:i w:val="0"/>
                <w:color w:val="212121"/>
                <w:sz w:val="19"/>
              </w:rPr>
              <w:t>&gt; 2 per day</w:t>
            </w:r>
          </w:p>
        </w:tc>
        <w:tc>
          <w:tcPr>
            <w:tcW w:type="dxa" w:w="1468"/>
            <w:vAlign w:val="top"/>
          </w:tcPr>
          <w:p>
            <w:pPr>
              <w:spacing w:after="40" w:before="0" w:line="259" w:lineRule="auto"/>
            </w:pPr>
            <w:r>
              <w:rPr>
                <w:rFonts w:ascii="Calibri" w:hAnsi="Calibri"/>
                <w:b w:val="0"/>
                <w:i w:val="0"/>
                <w:color w:val="212121"/>
                <w:sz w:val="19"/>
              </w:rPr>
              <w:t>Associated with more bothersome vasomotor symptoms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Bedroom / ambient temperature</w:t>
            </w:r>
          </w:p>
        </w:tc>
        <w:tc>
          <w:tcPr>
            <w:tcW w:type="dxa" w:w="1655"/>
            <w:vAlign w:val="top"/>
          </w:tcPr>
          <w:p>
            <w:pPr>
              <w:spacing w:after="40" w:before="0" w:line="259" w:lineRule="auto"/>
            </w:pPr>
            <w:r>
              <w:rPr>
                <w:rFonts w:ascii="Calibri" w:hAnsi="Calibri"/>
                <w:b w:val="0"/>
                <w:i w:val="0"/>
                <w:color w:val="212121"/>
                <w:sz w:val="19"/>
              </w:rPr>
              <w:t>Women with night sweats</w:t>
            </w:r>
          </w:p>
        </w:tc>
        <w:tc>
          <w:tcPr>
            <w:tcW w:type="dxa" w:w="1512"/>
            <w:vAlign w:val="top"/>
          </w:tcPr>
          <w:p>
            <w:pPr>
              <w:spacing w:after="40" w:before="0" w:line="259" w:lineRule="auto"/>
            </w:pPr>
            <w:r>
              <w:rPr>
                <w:rFonts w:ascii="Calibri" w:hAnsi="Calibri"/>
                <w:b w:val="0"/>
                <w:i w:val="0"/>
                <w:color w:val="212121"/>
                <w:sz w:val="19"/>
              </w:rPr>
              <w:t>Cool (~18-20 C)</w:t>
            </w:r>
          </w:p>
        </w:tc>
        <w:tc>
          <w:tcPr>
            <w:tcW w:type="dxa" w:w="1512"/>
            <w:vAlign w:val="top"/>
          </w:tcPr>
          <w:p>
            <w:pPr>
              <w:spacing w:after="40" w:before="0" w:line="259" w:lineRule="auto"/>
            </w:pPr>
            <w:r>
              <w:rPr>
                <w:rFonts w:ascii="Calibri" w:hAnsi="Calibri"/>
                <w:b w:val="0"/>
                <w:i w:val="0"/>
                <w:color w:val="212121"/>
                <w:sz w:val="19"/>
              </w:rPr>
              <w:t>Warm rooms, hot weather</w:t>
            </w:r>
          </w:p>
        </w:tc>
        <w:tc>
          <w:tcPr>
            <w:tcW w:type="dxa" w:w="1468"/>
            <w:vAlign w:val="top"/>
          </w:tcPr>
          <w:p>
            <w:pPr>
              <w:spacing w:after="40" w:before="0" w:line="259" w:lineRule="auto"/>
            </w:pPr>
            <w:r>
              <w:rPr>
                <w:rFonts w:ascii="Calibri" w:hAnsi="Calibri"/>
                <w:b w:val="0"/>
                <w:i w:val="0"/>
                <w:color w:val="212121"/>
                <w:sz w:val="19"/>
              </w:rPr>
              <w:t>Heat is a potent acute trigger; keep the sleeping area cool</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anxiety level</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Low</w:t>
            </w:r>
          </w:p>
        </w:tc>
        <w:tc>
          <w:tcPr>
            <w:tcW w:type="dxa" w:w="1512"/>
            <w:vAlign w:val="top"/>
          </w:tcPr>
          <w:p>
            <w:pPr>
              <w:spacing w:after="40" w:before="0" w:line="259" w:lineRule="auto"/>
            </w:pPr>
            <w:r>
              <w:rPr>
                <w:rFonts w:ascii="Calibri" w:hAnsi="Calibri"/>
                <w:b w:val="0"/>
                <w:i w:val="0"/>
                <w:color w:val="212121"/>
                <w:sz w:val="19"/>
              </w:rPr>
              <w:t>High perceived stress or anxiety</w:t>
            </w:r>
          </w:p>
        </w:tc>
        <w:tc>
          <w:tcPr>
            <w:tcW w:type="dxa" w:w="1468"/>
            <w:vAlign w:val="top"/>
          </w:tcPr>
          <w:p>
            <w:pPr>
              <w:spacing w:after="60" w:line="259" w:lineRule="auto"/>
            </w:pPr>
            <w:r>
              <w:rPr>
                <w:rFonts w:ascii="Calibri" w:hAnsi="Calibri"/>
                <w:b w:val="0"/>
                <w:i w:val="0"/>
                <w:color w:val="212121"/>
                <w:sz w:val="19"/>
              </w:rPr>
              <w:t>Higher stress/anxiety predicts more frequent and longer-lasting VMS</w:t>
            </w:r>
          </w:p>
          <w:p>
            <w:pPr>
              <w:spacing w:after="40" w:line="252" w:lineRule="auto"/>
            </w:pPr>
            <w:hyperlink r:id="rId10">
              <w:r>
                <w:rPr>
                  <w:rFonts w:ascii="Calibri" w:hAnsi="Calibri" w:cs="Calibri"/>
                  <w:sz w:val="18"/>
                  <w:color w:val="1155CC"/>
                  <w:u w:val="single"/>
                </w:rPr>
                <w:t xml:space="preserve">https://pubmed.ncbi.nlm.nih.gov/25686030/</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triggers (spicy food, hot drinks)</w:t>
            </w:r>
          </w:p>
        </w:tc>
        <w:tc>
          <w:tcPr>
            <w:tcW w:type="dxa" w:w="1655"/>
            <w:vAlign w:val="top"/>
          </w:tcPr>
          <w:p>
            <w:pPr>
              <w:spacing w:after="40" w:before="0" w:line="259" w:lineRule="auto"/>
            </w:pPr>
            <w:r>
              <w:rPr>
                <w:rFonts w:ascii="Calibri" w:hAnsi="Calibri"/>
                <w:b w:val="0"/>
                <w:i w:val="0"/>
                <w:color w:val="212121"/>
                <w:sz w:val="19"/>
              </w:rPr>
              <w:t>Women</w:t>
            </w:r>
          </w:p>
        </w:tc>
        <w:tc>
          <w:tcPr>
            <w:tcW w:type="dxa" w:w="1512"/>
            <w:vAlign w:val="top"/>
          </w:tcPr>
          <w:p>
            <w:pPr>
              <w:spacing w:after="40" w:before="0" w:line="259" w:lineRule="auto"/>
            </w:pPr>
            <w:r>
              <w:rPr>
                <w:rFonts w:ascii="Calibri" w:hAnsi="Calibri"/>
                <w:b w:val="0"/>
                <w:i w:val="0"/>
                <w:color w:val="212121"/>
                <w:sz w:val="19"/>
              </w:rPr>
              <w:t>Minimal</w:t>
            </w:r>
          </w:p>
        </w:tc>
        <w:tc>
          <w:tcPr>
            <w:tcW w:type="dxa" w:w="1512"/>
            <w:vAlign w:val="top"/>
          </w:tcPr>
          <w:p>
            <w:pPr>
              <w:spacing w:after="40" w:before="0" w:line="259" w:lineRule="auto"/>
            </w:pPr>
            <w:r>
              <w:rPr>
                <w:rFonts w:ascii="Calibri" w:hAnsi="Calibri"/>
                <w:b w:val="0"/>
                <w:i w:val="0"/>
                <w:color w:val="212121"/>
                <w:sz w:val="19"/>
              </w:rPr>
              <w:t>Frequent spicy/hot intake</w:t>
            </w:r>
          </w:p>
        </w:tc>
        <w:tc>
          <w:tcPr>
            <w:tcW w:type="dxa" w:w="1468"/>
            <w:vAlign w:val="top"/>
          </w:tcPr>
          <w:p>
            <w:pPr>
              <w:spacing w:after="40" w:before="0" w:line="259" w:lineRule="auto"/>
            </w:pPr>
            <w:r>
              <w:rPr>
                <w:rFonts w:ascii="Calibri" w:hAnsi="Calibri"/>
                <w:b w:val="0"/>
                <w:i w:val="0"/>
                <w:color w:val="212121"/>
                <w:sz w:val="19"/>
              </w:rPr>
              <w:t>Common dietary precipitants of flushes, especially in the evening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Hot-flush frequency (per day)</w:t>
            </w:r>
          </w:p>
        </w:tc>
        <w:tc>
          <w:tcPr>
            <w:tcW w:type="dxa" w:w="1655"/>
            <w:vAlign w:val="top"/>
          </w:tcPr>
          <w:p>
            <w:pPr>
              <w:spacing w:after="40" w:before="0" w:line="259" w:lineRule="auto"/>
            </w:pPr>
            <w:r>
              <w:rPr>
                <w:rFonts w:ascii="Calibri" w:hAnsi="Calibri"/>
                <w:b w:val="0"/>
                <w:i w:val="0"/>
                <w:color w:val="212121"/>
                <w:sz w:val="19"/>
              </w:rPr>
              <w:t>Symptomatic women</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7-10 per day (moderate-severe)</w:t>
            </w:r>
          </w:p>
        </w:tc>
        <w:tc>
          <w:tcPr>
            <w:tcW w:type="dxa" w:w="1468"/>
            <w:vAlign w:val="top"/>
          </w:tcPr>
          <w:p>
            <w:pPr>
              <w:spacing w:after="40" w:before="0" w:line="259" w:lineRule="auto"/>
            </w:pPr>
            <w:r>
              <w:rPr>
                <w:rFonts w:ascii="Calibri" w:hAnsi="Calibri"/>
                <w:b w:val="0"/>
                <w:i w:val="0"/>
                <w:color w:val="212121"/>
                <w:sz w:val="19"/>
              </w:rPr>
              <w:t>Used to grade severity and monitor treatment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Follicle-Stimulating Hormone (FSH)</w:t>
            </w:r>
          </w:p>
        </w:tc>
        <w:tc>
          <w:tcPr>
            <w:tcW w:type="dxa" w:w="892"/>
            <w:vAlign w:val="top"/>
          </w:tcPr>
          <w:p>
            <w:pPr>
              <w:spacing w:after="40" w:before="0" w:line="259" w:lineRule="auto"/>
            </w:pPr>
            <w:r>
              <w:rPr>
                <w:rFonts w:ascii="Calibri" w:hAnsi="Calibri"/>
                <w:b w:val="0"/>
                <w:i w:val="0"/>
                <w:color w:val="212121"/>
                <w:sz w:val="16"/>
              </w:rPr>
              <w:t>Serum FSH</w:t>
            </w:r>
          </w:p>
        </w:tc>
        <w:tc>
          <w:tcPr>
            <w:tcW w:type="dxa" w:w="950"/>
            <w:vAlign w:val="top"/>
          </w:tcPr>
          <w:p>
            <w:pPr>
              <w:spacing w:after="40" w:before="0" w:line="259" w:lineRule="auto"/>
            </w:pPr>
            <w:r>
              <w:rPr>
                <w:rFonts w:ascii="Calibri" w:hAnsi="Calibri"/>
                <w:b w:val="0"/>
                <w:i w:val="0"/>
                <w:color w:val="212121"/>
                <w:sz w:val="16"/>
              </w:rPr>
              <w:t>Premenopausal &lt; 10 IU/L</w:t>
            </w:r>
          </w:p>
        </w:tc>
        <w:tc>
          <w:tcPr>
            <w:tcW w:type="dxa" w:w="950"/>
            <w:vAlign w:val="top"/>
          </w:tcPr>
          <w:p>
            <w:pPr>
              <w:spacing w:after="40" w:before="0" w:line="259" w:lineRule="auto"/>
            </w:pPr>
            <w:r>
              <w:rPr>
                <w:rFonts w:ascii="Calibri" w:hAnsi="Calibri"/>
                <w:b w:val="0"/>
                <w:i w:val="0"/>
                <w:color w:val="212121"/>
                <w:sz w:val="16"/>
              </w:rPr>
              <w:t>&gt;= 25-40 IU/L (menopausal range)</w:t>
            </w:r>
          </w:p>
        </w:tc>
        <w:tc>
          <w:tcPr>
            <w:tcW w:type="dxa" w:w="1036"/>
            <w:vAlign w:val="top"/>
          </w:tcPr>
          <w:p>
            <w:pPr>
              <w:spacing w:after="40" w:before="0" w:line="259" w:lineRule="auto"/>
            </w:pPr>
            <w:r>
              <w:rPr>
                <w:rFonts w:ascii="Calibri" w:hAnsi="Calibri"/>
                <w:b w:val="0"/>
                <w:i w:val="0"/>
                <w:color w:val="212121"/>
                <w:sz w:val="16"/>
              </w:rPr>
              <w:t>Supports menopausal status; not required in women over 45 with typical symptoms</w:t>
            </w:r>
          </w:p>
        </w:tc>
        <w:tc>
          <w:tcPr>
            <w:tcW w:type="dxa" w:w="1036"/>
            <w:vAlign w:val="top"/>
          </w:tcPr>
          <w:p>
            <w:pPr>
              <w:spacing w:after="40" w:before="0" w:line="259" w:lineRule="auto"/>
            </w:pPr>
            <w:r>
              <w:rPr>
                <w:rFonts w:ascii="Calibri" w:hAnsi="Calibri"/>
                <w:b w:val="0"/>
                <w:i w:val="0"/>
                <w:color w:val="212121"/>
                <w:sz w:val="16"/>
              </w:rPr>
              <w:t>Women 40-45 with symptoms; suspected premature ovarian insufficiency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Diagnose clinically without FSH in women over 45 (NICE); unreliable on hormonal contraception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Estradiol (E2)</w:t>
            </w:r>
          </w:p>
        </w:tc>
        <w:tc>
          <w:tcPr>
            <w:tcW w:type="dxa" w:w="892"/>
            <w:vAlign w:val="top"/>
          </w:tcPr>
          <w:p>
            <w:pPr>
              <w:spacing w:after="40" w:before="0" w:line="259" w:lineRule="auto"/>
            </w:pPr>
            <w:r>
              <w:rPr>
                <w:rFonts w:ascii="Calibri" w:hAnsi="Calibri"/>
                <w:b w:val="0"/>
                <w:i w:val="0"/>
                <w:color w:val="212121"/>
                <w:sz w:val="16"/>
              </w:rPr>
              <w:t>Serum estradiol</w:t>
            </w:r>
          </w:p>
        </w:tc>
        <w:tc>
          <w:tcPr>
            <w:tcW w:type="dxa" w:w="950"/>
            <w:vAlign w:val="top"/>
          </w:tcPr>
          <w:p>
            <w:pPr>
              <w:spacing w:after="40" w:before="0" w:line="259" w:lineRule="auto"/>
            </w:pPr>
            <w:r>
              <w:rPr>
                <w:rFonts w:ascii="Calibri" w:hAnsi="Calibri"/>
                <w:b w:val="0"/>
                <w:i w:val="0"/>
                <w:color w:val="212121"/>
                <w:sz w:val="16"/>
              </w:rPr>
              <w:t>Premenopausal cyclical</w:t>
            </w:r>
          </w:p>
        </w:tc>
        <w:tc>
          <w:tcPr>
            <w:tcW w:type="dxa" w:w="950"/>
            <w:vAlign w:val="top"/>
          </w:tcPr>
          <w:p>
            <w:pPr>
              <w:spacing w:after="40" w:before="0" w:line="259" w:lineRule="auto"/>
            </w:pPr>
            <w:r>
              <w:rPr>
                <w:rFonts w:ascii="Calibri" w:hAnsi="Calibri"/>
                <w:b w:val="0"/>
                <w:i w:val="0"/>
                <w:color w:val="212121"/>
                <w:sz w:val="16"/>
              </w:rPr>
              <w:t>Low (&lt; 20-30 pg/mL) postmenopausal</w:t>
            </w:r>
          </w:p>
        </w:tc>
        <w:tc>
          <w:tcPr>
            <w:tcW w:type="dxa" w:w="1036"/>
            <w:vAlign w:val="top"/>
          </w:tcPr>
          <w:p>
            <w:pPr>
              <w:spacing w:after="40" w:before="0" w:line="259" w:lineRule="auto"/>
            </w:pPr>
            <w:r>
              <w:rPr>
                <w:rFonts w:ascii="Calibri" w:hAnsi="Calibri"/>
                <w:b w:val="0"/>
                <w:i w:val="0"/>
                <w:color w:val="212121"/>
                <w:sz w:val="16"/>
              </w:rPr>
              <w:t>Confirms oestrogen deficiency but correlates poorly with symptom severity</w:t>
            </w:r>
          </w:p>
        </w:tc>
        <w:tc>
          <w:tcPr>
            <w:tcW w:type="dxa" w:w="1036"/>
            <w:vAlign w:val="top"/>
          </w:tcPr>
          <w:p>
            <w:pPr>
              <w:spacing w:after="40" w:before="0" w:line="259" w:lineRule="auto"/>
            </w:pPr>
            <w:r>
              <w:rPr>
                <w:rFonts w:ascii="Calibri" w:hAnsi="Calibri"/>
                <w:b w:val="0"/>
                <w:i w:val="0"/>
                <w:color w:val="212121"/>
                <w:sz w:val="16"/>
              </w:rPr>
              <w:t>Premature ovarian insufficiency, 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Circulating levels do not predict who develops flushes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 +/- free T4)</w:t>
            </w:r>
          </w:p>
        </w:tc>
        <w:tc>
          <w:tcPr>
            <w:tcW w:type="dxa" w:w="892"/>
            <w:vAlign w:val="top"/>
          </w:tcPr>
          <w:p>
            <w:pPr>
              <w:spacing w:after="40" w:before="0" w:line="259" w:lineRule="auto"/>
            </w:pPr>
            <w:r>
              <w:rPr>
                <w:rFonts w:ascii="Calibri" w:hAnsi="Calibri"/>
                <w:b w:val="0"/>
                <w:i w:val="0"/>
                <w:color w:val="212121"/>
                <w:sz w:val="16"/>
              </w:rPr>
              <w:t>Thyroid panel</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Low TSH / high free T4 (thyrotoxicosis)</w:t>
            </w:r>
          </w:p>
        </w:tc>
        <w:tc>
          <w:tcPr>
            <w:tcW w:type="dxa" w:w="1036"/>
            <w:vAlign w:val="top"/>
          </w:tcPr>
          <w:p>
            <w:pPr>
              <w:spacing w:after="40" w:before="0" w:line="259" w:lineRule="auto"/>
            </w:pPr>
            <w:r>
              <w:rPr>
                <w:rFonts w:ascii="Calibri" w:hAnsi="Calibri"/>
                <w:b w:val="0"/>
                <w:i w:val="0"/>
                <w:color w:val="212121"/>
                <w:sz w:val="16"/>
              </w:rPr>
              <w:t>Excludes hyperthyroidism, a key mimic of flushing and sweats</w:t>
            </w:r>
          </w:p>
        </w:tc>
        <w:tc>
          <w:tcPr>
            <w:tcW w:type="dxa" w:w="1036"/>
            <w:vAlign w:val="top"/>
          </w:tcPr>
          <w:p>
            <w:pPr>
              <w:spacing w:after="40" w:before="0" w:line="259" w:lineRule="auto"/>
            </w:pPr>
            <w:r>
              <w:rPr>
                <w:rFonts w:ascii="Calibri" w:hAnsi="Calibri"/>
                <w:b w:val="0"/>
                <w:i w:val="0"/>
                <w:color w:val="212121"/>
                <w:sz w:val="16"/>
              </w:rPr>
              <w:t>All with atypical, severe or new-onset sweats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Thyroid disease is common in midlife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 and lipid profile</w:t>
            </w:r>
          </w:p>
        </w:tc>
        <w:tc>
          <w:tcPr>
            <w:tcW w:type="dxa" w:w="892"/>
            <w:vAlign w:val="top"/>
          </w:tcPr>
          <w:p>
            <w:pPr>
              <w:spacing w:after="40" w:before="0" w:line="259" w:lineRule="auto"/>
            </w:pPr>
            <w:r>
              <w:rPr>
                <w:rFonts w:ascii="Calibri" w:hAnsi="Calibri"/>
                <w:b w:val="0"/>
                <w:i w:val="0"/>
                <w:color w:val="212121"/>
                <w:sz w:val="16"/>
              </w:rPr>
              <w:t>Cardiometabolic risk panel</w:t>
            </w:r>
          </w:p>
        </w:tc>
        <w:tc>
          <w:tcPr>
            <w:tcW w:type="dxa" w:w="950"/>
            <w:vAlign w:val="top"/>
          </w:tcPr>
          <w:p>
            <w:pPr>
              <w:spacing w:after="40" w:before="0" w:line="259" w:lineRule="auto"/>
            </w:pPr>
            <w:r>
              <w:rPr>
                <w:rFonts w:ascii="Calibri" w:hAnsi="Calibri"/>
                <w:b w:val="0"/>
                <w:i w:val="0"/>
                <w:color w:val="212121"/>
                <w:sz w:val="16"/>
              </w:rPr>
              <w:t>FPG &lt; 100 mg/dL; HbA1c &lt; 5.7%; normal lipids</w:t>
            </w:r>
          </w:p>
        </w:tc>
        <w:tc>
          <w:tcPr>
            <w:tcW w:type="dxa" w:w="950"/>
            <w:vAlign w:val="top"/>
          </w:tcPr>
          <w:p>
            <w:pPr>
              <w:spacing w:after="40" w:before="0" w:line="259" w:lineRule="auto"/>
            </w:pPr>
            <w:r>
              <w:rPr>
                <w:rFonts w:ascii="Calibri" w:hAnsi="Calibri"/>
                <w:b w:val="0"/>
                <w:i w:val="0"/>
                <w:color w:val="212121"/>
                <w:sz w:val="16"/>
              </w:rPr>
              <w:t>Dysglycaemia / dyslipidaemia</w:t>
            </w:r>
          </w:p>
        </w:tc>
        <w:tc>
          <w:tcPr>
            <w:tcW w:type="dxa" w:w="1036"/>
            <w:vAlign w:val="top"/>
          </w:tcPr>
          <w:p>
            <w:pPr>
              <w:spacing w:after="40" w:before="0" w:line="259" w:lineRule="auto"/>
            </w:pPr>
            <w:r>
              <w:rPr>
                <w:rFonts w:ascii="Calibri" w:hAnsi="Calibri"/>
                <w:b w:val="0"/>
                <w:i w:val="0"/>
                <w:color w:val="212121"/>
                <w:sz w:val="16"/>
              </w:rPr>
              <w:t>Baseline cardiometabolic risk before MHT and because VMS associate with cardiovascular risk</w:t>
            </w:r>
          </w:p>
        </w:tc>
        <w:tc>
          <w:tcPr>
            <w:tcW w:type="dxa" w:w="1036"/>
            <w:vAlign w:val="top"/>
          </w:tcPr>
          <w:p>
            <w:pPr>
              <w:spacing w:after="40" w:before="0" w:line="259" w:lineRule="auto"/>
            </w:pPr>
            <w:r>
              <w:rPr>
                <w:rFonts w:ascii="Calibri" w:hAnsi="Calibri"/>
                <w:b w:val="0"/>
                <w:i w:val="0"/>
                <w:color w:val="212121"/>
                <w:sz w:val="16"/>
              </w:rPr>
              <w:t>Perimenopausal women, MHT candidates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MHT safety and cardiovascular prevention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Bone mineral density (DEXA)</w:t>
            </w:r>
          </w:p>
        </w:tc>
        <w:tc>
          <w:tcPr>
            <w:tcW w:type="dxa" w:w="892"/>
            <w:vAlign w:val="top"/>
          </w:tcPr>
          <w:p>
            <w:pPr>
              <w:spacing w:after="40" w:before="0" w:line="259" w:lineRule="auto"/>
            </w:pPr>
            <w:r>
              <w:rPr>
                <w:rFonts w:ascii="Calibri" w:hAnsi="Calibri"/>
                <w:b w:val="0"/>
                <w:i w:val="0"/>
                <w:color w:val="212121"/>
                <w:sz w:val="16"/>
              </w:rPr>
              <w:t>DXA scan</w:t>
            </w:r>
          </w:p>
        </w:tc>
        <w:tc>
          <w:tcPr>
            <w:tcW w:type="dxa" w:w="950"/>
            <w:vAlign w:val="top"/>
          </w:tcPr>
          <w:p>
            <w:pPr>
              <w:spacing w:after="40" w:before="0" w:line="259" w:lineRule="auto"/>
            </w:pPr>
            <w:r>
              <w:rPr>
                <w:rFonts w:ascii="Calibri" w:hAnsi="Calibri"/>
                <w:b w:val="0"/>
                <w:i w:val="0"/>
                <w:color w:val="212121"/>
                <w:sz w:val="16"/>
              </w:rPr>
              <w:t>T-score &gt;= -1.0</w:t>
            </w:r>
          </w:p>
        </w:tc>
        <w:tc>
          <w:tcPr>
            <w:tcW w:type="dxa" w:w="950"/>
            <w:vAlign w:val="top"/>
          </w:tcPr>
          <w:p>
            <w:pPr>
              <w:spacing w:after="40" w:before="0" w:line="259" w:lineRule="auto"/>
            </w:pPr>
            <w:r>
              <w:rPr>
                <w:rFonts w:ascii="Calibri" w:hAnsi="Calibri"/>
                <w:b w:val="0"/>
                <w:i w:val="0"/>
                <w:color w:val="212121"/>
                <w:sz w:val="16"/>
              </w:rPr>
              <w:t>Osteopenia -1 to -2.5; osteoporosis &lt;= -2.5</w:t>
            </w:r>
          </w:p>
        </w:tc>
        <w:tc>
          <w:tcPr>
            <w:tcW w:type="dxa" w:w="1036"/>
            <w:vAlign w:val="top"/>
          </w:tcPr>
          <w:p>
            <w:pPr>
              <w:spacing w:after="40" w:before="0" w:line="259" w:lineRule="auto"/>
            </w:pPr>
            <w:r>
              <w:rPr>
                <w:rFonts w:ascii="Calibri" w:hAnsi="Calibri"/>
                <w:b w:val="0"/>
                <w:i w:val="0"/>
                <w:color w:val="212121"/>
                <w:sz w:val="16"/>
              </w:rPr>
              <w:t>Oestrogen deficiency accelerates bone loss and frequent VMS associate with lower bone density</w:t>
            </w:r>
          </w:p>
        </w:tc>
        <w:tc>
          <w:tcPr>
            <w:tcW w:type="dxa" w:w="1036"/>
            <w:vAlign w:val="top"/>
          </w:tcPr>
          <w:p>
            <w:pPr>
              <w:spacing w:after="40" w:before="0" w:line="259" w:lineRule="auto"/>
            </w:pPr>
            <w:r>
              <w:rPr>
                <w:rFonts w:ascii="Calibri" w:hAnsi="Calibri"/>
                <w:b w:val="0"/>
                <w:i w:val="0"/>
                <w:color w:val="212121"/>
                <w:sz w:val="16"/>
              </w:rPr>
              <w:t>Postmenopausal, early or surgical menopause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Informs bone protection and MHT decisions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24-hour urinary metanephrines / 5-HIAA</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Excludes phaeochromocytoma or carcinoid when flushing is atypical</w:t>
            </w:r>
          </w:p>
        </w:tc>
        <w:tc>
          <w:tcPr>
            <w:tcW w:type="dxa" w:w="1036"/>
            <w:vAlign w:val="top"/>
          </w:tcPr>
          <w:p>
            <w:pPr>
              <w:spacing w:after="40" w:before="0" w:line="259" w:lineRule="auto"/>
            </w:pPr>
            <w:r>
              <w:rPr>
                <w:rFonts w:ascii="Calibri" w:hAnsi="Calibri"/>
                <w:b w:val="0"/>
                <w:i w:val="0"/>
                <w:color w:val="212121"/>
                <w:sz w:val="16"/>
              </w:rPr>
              <w:t>Paroxysmal hypertension, weight loss, diarrhoea, syncope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if red-flag features suggest a secondary cause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menopausal history</w:t>
            </w:r>
          </w:p>
        </w:tc>
        <w:tc>
          <w:tcPr>
            <w:tcW w:type="dxa" w:w="979"/>
            <w:vAlign w:val="top"/>
          </w:tcPr>
          <w:p>
            <w:pPr>
              <w:spacing w:after="40" w:before="0" w:line="259" w:lineRule="auto"/>
            </w:pPr>
            <w:r>
              <w:rPr>
                <w:rFonts w:ascii="Calibri" w:hAnsi="Calibri"/>
                <w:b w:val="0"/>
                <w:i w:val="0"/>
                <w:color w:val="212121"/>
                <w:sz w:val="16"/>
              </w:rPr>
              <w:t>LMP, cycle regularity, STRAW+10 stage, months of amenorrhoea</w:t>
            </w:r>
          </w:p>
        </w:tc>
        <w:tc>
          <w:tcPr>
            <w:tcW w:type="dxa" w:w="950"/>
            <w:vAlign w:val="top"/>
          </w:tcPr>
          <w:p>
            <w:pPr>
              <w:spacing w:after="40" w:before="0" w:line="259" w:lineRule="auto"/>
            </w:pPr>
            <w:r>
              <w:rPr>
                <w:rFonts w:ascii="Calibri" w:hAnsi="Calibri"/>
                <w:b w:val="0"/>
                <w:i w:val="0"/>
                <w:color w:val="212121"/>
                <w:sz w:val="16"/>
              </w:rPr>
              <w:t>Regular cycles</w:t>
            </w:r>
          </w:p>
        </w:tc>
        <w:tc>
          <w:tcPr>
            <w:tcW w:type="dxa" w:w="950"/>
            <w:vAlign w:val="top"/>
          </w:tcPr>
          <w:p>
            <w:pPr>
              <w:spacing w:after="40" w:before="0" w:line="259" w:lineRule="auto"/>
            </w:pPr>
            <w:r>
              <w:rPr>
                <w:rFonts w:ascii="Calibri" w:hAnsi="Calibri"/>
                <w:b w:val="0"/>
                <w:i w:val="0"/>
                <w:color w:val="212121"/>
                <w:sz w:val="16"/>
              </w:rPr>
              <w:t>Cycle irregularity or &gt;= 12 months amenorrhoea</w:t>
            </w:r>
          </w:p>
        </w:tc>
        <w:tc>
          <w:tcPr>
            <w:tcW w:type="dxa" w:w="1036"/>
            <w:vAlign w:val="top"/>
          </w:tcPr>
          <w:p>
            <w:pPr>
              <w:spacing w:after="40" w:before="0" w:line="259" w:lineRule="auto"/>
            </w:pPr>
            <w:r>
              <w:rPr>
                <w:rFonts w:ascii="Calibri" w:hAnsi="Calibri"/>
                <w:b w:val="0"/>
                <w:i w:val="0"/>
                <w:color w:val="212121"/>
                <w:sz w:val="16"/>
              </w:rPr>
              <w:t>Establishes menopausal stage and underpins the clinical diagnosis</w:t>
            </w:r>
          </w:p>
        </w:tc>
        <w:tc>
          <w:tcPr>
            <w:tcW w:type="dxa" w:w="1036"/>
            <w:vAlign w:val="top"/>
          </w:tcPr>
          <w:p>
            <w:pPr>
              <w:spacing w:after="40" w:before="0" w:line="259" w:lineRule="auto"/>
            </w:pPr>
            <w:r>
              <w:rPr>
                <w:rFonts w:ascii="Calibri" w:hAnsi="Calibri"/>
                <w:b w:val="0"/>
                <w:i w:val="0"/>
                <w:color w:val="212121"/>
                <w:sz w:val="16"/>
              </w:rPr>
              <w:t>All midlife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Basis of clinical diagnosis in women over 45</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characterisation &amp; diary</w:t>
            </w:r>
          </w:p>
        </w:tc>
        <w:tc>
          <w:tcPr>
            <w:tcW w:type="dxa" w:w="979"/>
            <w:vAlign w:val="top"/>
          </w:tcPr>
          <w:p>
            <w:pPr>
              <w:spacing w:after="40" w:before="0" w:line="259" w:lineRule="auto"/>
            </w:pPr>
            <w:r>
              <w:rPr>
                <w:rFonts w:ascii="Calibri" w:hAnsi="Calibri"/>
                <w:b w:val="0"/>
                <w:i w:val="0"/>
                <w:color w:val="212121"/>
                <w:sz w:val="16"/>
              </w:rPr>
              <w:t>Flush frequency, severity, night sweats, triggers, interference</w:t>
            </w:r>
          </w:p>
        </w:tc>
        <w:tc>
          <w:tcPr>
            <w:tcW w:type="dxa" w:w="950"/>
            <w:vAlign w:val="top"/>
          </w:tcPr>
          <w:p>
            <w:pPr>
              <w:spacing w:after="40" w:before="0" w:line="259" w:lineRule="auto"/>
            </w:pPr>
            <w:r>
              <w:rPr>
                <w:rFonts w:ascii="Calibri" w:hAnsi="Calibri"/>
                <w:b w:val="0"/>
                <w:i w:val="0"/>
                <w:color w:val="212121"/>
                <w:sz w:val="16"/>
              </w:rPr>
              <w:t>None or minimal</w:t>
            </w:r>
          </w:p>
        </w:tc>
        <w:tc>
          <w:tcPr>
            <w:tcW w:type="dxa" w:w="950"/>
            <w:vAlign w:val="top"/>
          </w:tcPr>
          <w:p>
            <w:pPr>
              <w:spacing w:after="40" w:before="0" w:line="259" w:lineRule="auto"/>
            </w:pPr>
            <w:r>
              <w:rPr>
                <w:rFonts w:ascii="Calibri" w:hAnsi="Calibri"/>
                <w:b w:val="0"/>
                <w:i w:val="0"/>
                <w:color w:val="212121"/>
                <w:sz w:val="16"/>
              </w:rPr>
              <w:t>Frequent, severe or sleep-disturbing flushes</w:t>
            </w:r>
          </w:p>
        </w:tc>
        <w:tc>
          <w:tcPr>
            <w:tcW w:type="dxa" w:w="1036"/>
            <w:vAlign w:val="top"/>
          </w:tcPr>
          <w:p>
            <w:pPr>
              <w:spacing w:after="40" w:before="0" w:line="259" w:lineRule="auto"/>
            </w:pPr>
            <w:r>
              <w:rPr>
                <w:rFonts w:ascii="Calibri" w:hAnsi="Calibri"/>
                <w:b w:val="0"/>
                <w:i w:val="0"/>
                <w:color w:val="212121"/>
                <w:sz w:val="16"/>
              </w:rPr>
              <w:t>Quantifies burden and grades severity</w:t>
            </w:r>
          </w:p>
        </w:tc>
        <w:tc>
          <w:tcPr>
            <w:tcW w:type="dxa" w:w="1036"/>
            <w:vAlign w:val="top"/>
          </w:tcPr>
          <w:p>
            <w:pPr>
              <w:spacing w:after="40" w:before="0" w:line="259" w:lineRule="auto"/>
            </w:pPr>
            <w:r>
              <w:rPr>
                <w:rFonts w:ascii="Calibri" w:hAnsi="Calibri"/>
                <w:b w:val="0"/>
                <w:i w:val="0"/>
                <w:color w:val="212121"/>
                <w:sz w:val="16"/>
              </w:rPr>
              <w:t>Symptomatic women</w:t>
            </w:r>
          </w:p>
        </w:tc>
        <w:tc>
          <w:tcPr>
            <w:tcW w:type="dxa" w:w="720"/>
            <w:vAlign w:val="top"/>
          </w:tcPr>
          <w:p>
            <w:pPr>
              <w:spacing w:after="40" w:before="0" w:line="259" w:lineRule="auto"/>
            </w:pPr>
            <w:r>
              <w:rPr>
                <w:rFonts w:ascii="Calibri" w:hAnsi="Calibri"/>
                <w:b w:val="0"/>
                <w:i w:val="0"/>
                <w:color w:val="212121"/>
                <w:sz w:val="16"/>
              </w:rPr>
              <w:t>Sleep;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treatment and monitors response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Validated symptom scales</w:t>
            </w:r>
          </w:p>
        </w:tc>
        <w:tc>
          <w:tcPr>
            <w:tcW w:type="dxa" w:w="979"/>
            <w:vAlign w:val="top"/>
          </w:tcPr>
          <w:p>
            <w:pPr>
              <w:spacing w:after="40" w:before="0" w:line="259" w:lineRule="auto"/>
            </w:pPr>
            <w:r>
              <w:rPr>
                <w:rFonts w:ascii="Calibri" w:hAnsi="Calibri"/>
                <w:b w:val="0"/>
                <w:i w:val="0"/>
                <w:color w:val="212121"/>
                <w:sz w:val="16"/>
              </w:rPr>
              <w:t>Menopause Rating Scale, Greene Climacteric Scale, MENQOL</w:t>
            </w:r>
          </w:p>
        </w:tc>
        <w:tc>
          <w:tcPr>
            <w:tcW w:type="dxa" w:w="950"/>
            <w:vAlign w:val="top"/>
          </w:tcPr>
          <w:p>
            <w:pPr>
              <w:spacing w:after="40" w:before="0" w:line="259" w:lineRule="auto"/>
            </w:pPr>
            <w:r>
              <w:rPr>
                <w:rFonts w:ascii="Calibri" w:hAnsi="Calibri"/>
                <w:b w:val="0"/>
                <w:i w:val="0"/>
                <w:color w:val="212121"/>
                <w:sz w:val="16"/>
              </w:rPr>
              <w:t>Low scores</w:t>
            </w:r>
          </w:p>
        </w:tc>
        <w:tc>
          <w:tcPr>
            <w:tcW w:type="dxa" w:w="950"/>
            <w:vAlign w:val="top"/>
          </w:tcPr>
          <w:p>
            <w:pPr>
              <w:spacing w:after="40" w:before="0" w:line="259" w:lineRule="auto"/>
            </w:pPr>
            <w:r>
              <w:rPr>
                <w:rFonts w:ascii="Calibri" w:hAnsi="Calibri"/>
                <w:b w:val="0"/>
                <w:i w:val="0"/>
                <w:color w:val="212121"/>
                <w:sz w:val="16"/>
              </w:rPr>
              <w:t>High symptom / quality-of-life scores</w:t>
            </w:r>
          </w:p>
        </w:tc>
        <w:tc>
          <w:tcPr>
            <w:tcW w:type="dxa" w:w="1036"/>
            <w:vAlign w:val="top"/>
          </w:tcPr>
          <w:p>
            <w:pPr>
              <w:spacing w:after="40" w:before="0" w:line="259" w:lineRule="auto"/>
            </w:pPr>
            <w:r>
              <w:rPr>
                <w:rFonts w:ascii="Calibri" w:hAnsi="Calibri"/>
                <w:b w:val="0"/>
                <w:i w:val="0"/>
                <w:color w:val="212121"/>
                <w:sz w:val="16"/>
              </w:rPr>
              <w:t>Standardised measurement of VMS and their impact</w:t>
            </w:r>
          </w:p>
        </w:tc>
        <w:tc>
          <w:tcPr>
            <w:tcW w:type="dxa" w:w="1036"/>
            <w:vAlign w:val="top"/>
          </w:tcPr>
          <w:p>
            <w:pPr>
              <w:spacing w:after="40" w:before="0" w:line="259" w:lineRule="auto"/>
            </w:pPr>
            <w:r>
              <w:rPr>
                <w:rFonts w:ascii="Calibri" w:hAnsi="Calibri"/>
                <w:b w:val="0"/>
                <w:i w:val="0"/>
                <w:color w:val="212121"/>
                <w:sz w:val="16"/>
              </w:rPr>
              <w:t>Clinic and research settings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Useful for tracking change over time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oncologic history</w:t>
            </w:r>
          </w:p>
        </w:tc>
        <w:tc>
          <w:tcPr>
            <w:tcW w:type="dxa" w:w="979"/>
            <w:vAlign w:val="top"/>
          </w:tcPr>
          <w:p>
            <w:pPr>
              <w:spacing w:after="40" w:before="0" w:line="259" w:lineRule="auto"/>
            </w:pPr>
            <w:r>
              <w:rPr>
                <w:rFonts w:ascii="Calibri" w:hAnsi="Calibri"/>
                <w:b w:val="0"/>
                <w:i w:val="0"/>
                <w:color w:val="212121"/>
                <w:sz w:val="16"/>
              </w:rPr>
              <w:t>Tamoxifen, aromatase inhibitors, GnRH agonists, SSRIs; prior oophorectomy/chemotherapy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 anti-oestrogen or GnRH therapy</w:t>
            </w:r>
          </w:p>
        </w:tc>
        <w:tc>
          <w:tcPr>
            <w:tcW w:type="dxa" w:w="1036"/>
            <w:vAlign w:val="top"/>
          </w:tcPr>
          <w:p>
            <w:pPr>
              <w:spacing w:after="40" w:before="0" w:line="259" w:lineRule="auto"/>
            </w:pPr>
            <w:r>
              <w:rPr>
                <w:rFonts w:ascii="Calibri" w:hAnsi="Calibri"/>
                <w:b w:val="0"/>
                <w:i w:val="0"/>
                <w:color w:val="212121"/>
                <w:sz w:val="16"/>
              </w:rPr>
              <w:t>Identifies induced VMS and constrains hormonal treatment</w:t>
            </w:r>
          </w:p>
        </w:tc>
        <w:tc>
          <w:tcPr>
            <w:tcW w:type="dxa" w:w="1036"/>
            <w:vAlign w:val="top"/>
          </w:tcPr>
          <w:p>
            <w:pPr>
              <w:spacing w:after="40" w:before="0" w:line="259" w:lineRule="auto"/>
            </w:pPr>
            <w:r>
              <w:rPr>
                <w:rFonts w:ascii="Calibri" w:hAnsi="Calibri"/>
                <w:b w:val="0"/>
                <w:i w:val="0"/>
                <w:color w:val="212121"/>
                <w:sz w:val="16"/>
              </w:rPr>
              <w:t>Breast-cancer survivors, surgical menopause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Directs non-hormonal options where MHT is contraindicated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 secondary-cause screen</w:t>
            </w:r>
          </w:p>
        </w:tc>
        <w:tc>
          <w:tcPr>
            <w:tcW w:type="dxa" w:w="979"/>
            <w:vAlign w:val="top"/>
          </w:tcPr>
          <w:p>
            <w:pPr>
              <w:spacing w:after="40" w:before="0" w:line="259" w:lineRule="auto"/>
            </w:pPr>
            <w:r>
              <w:rPr>
                <w:rFonts w:ascii="Calibri" w:hAnsi="Calibri"/>
                <w:b w:val="0"/>
                <w:i w:val="0"/>
                <w:color w:val="212121"/>
                <w:sz w:val="16"/>
              </w:rPr>
              <w:t>Unilateral flushing, weight loss, diarrhoea, palpitations, syncope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Points to thyroid, phaeochromocytoma or carcinoid rather than menopausal VMS</w:t>
            </w:r>
          </w:p>
        </w:tc>
        <w:tc>
          <w:tcPr>
            <w:tcW w:type="dxa" w:w="1036"/>
            <w:vAlign w:val="top"/>
          </w:tcPr>
          <w:p>
            <w:pPr>
              <w:spacing w:after="40" w:before="0" w:line="259" w:lineRule="auto"/>
            </w:pPr>
            <w:r>
              <w:rPr>
                <w:rFonts w:ascii="Calibri" w:hAnsi="Calibri"/>
                <w:b w:val="0"/>
                <w:i w:val="0"/>
                <w:color w:val="212121"/>
                <w:sz w:val="16"/>
              </w:rPr>
              <w:t>Atypical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Triggers targeted investigation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Vitals &amp; anthropometry</w:t>
            </w:r>
          </w:p>
        </w:tc>
        <w:tc>
          <w:tcPr>
            <w:tcW w:type="dxa" w:w="979"/>
            <w:vAlign w:val="top"/>
          </w:tcPr>
          <w:p>
            <w:pPr>
              <w:spacing w:after="40" w:before="0" w:line="259" w:lineRule="auto"/>
            </w:pPr>
            <w:r>
              <w:rPr>
                <w:rFonts w:ascii="Calibri" w:hAnsi="Calibri"/>
                <w:b w:val="0"/>
                <w:i w:val="0"/>
                <w:color w:val="212121"/>
                <w:sz w:val="16"/>
              </w:rPr>
              <w:t>BP, heart rate, BMI, waist circumference</w:t>
            </w:r>
          </w:p>
        </w:tc>
        <w:tc>
          <w:tcPr>
            <w:tcW w:type="dxa" w:w="950"/>
            <w:vAlign w:val="top"/>
          </w:tcPr>
          <w:p>
            <w:pPr>
              <w:spacing w:after="40" w:before="0" w:line="259" w:lineRule="auto"/>
            </w:pPr>
            <w:r>
              <w:rPr>
                <w:rFonts w:ascii="Calibri" w:hAnsi="Calibri"/>
                <w:b w:val="0"/>
                <w:i w:val="0"/>
                <w:color w:val="212121"/>
                <w:sz w:val="16"/>
              </w:rPr>
              <w:t>Normal BP/HR; BMI &lt; 23; waist &lt; 80 cm</w:t>
            </w:r>
          </w:p>
        </w:tc>
        <w:tc>
          <w:tcPr>
            <w:tcW w:type="dxa" w:w="950"/>
            <w:vAlign w:val="top"/>
          </w:tcPr>
          <w:p>
            <w:pPr>
              <w:spacing w:after="40" w:before="0" w:line="259" w:lineRule="auto"/>
            </w:pPr>
            <w:r>
              <w:rPr>
                <w:rFonts w:ascii="Calibri" w:hAnsi="Calibri"/>
                <w:b w:val="0"/>
                <w:i w:val="0"/>
                <w:color w:val="212121"/>
                <w:sz w:val="16"/>
              </w:rPr>
              <w:t>Hypertension; BMI &gt;= 23; waist &gt;= 80 cm</w:t>
            </w:r>
          </w:p>
        </w:tc>
        <w:tc>
          <w:tcPr>
            <w:tcW w:type="dxa" w:w="1036"/>
            <w:vAlign w:val="top"/>
          </w:tcPr>
          <w:p>
            <w:pPr>
              <w:spacing w:after="40" w:before="0" w:line="259" w:lineRule="auto"/>
            </w:pPr>
            <w:r>
              <w:rPr>
                <w:rFonts w:ascii="Calibri" w:hAnsi="Calibri"/>
                <w:b w:val="0"/>
                <w:i w:val="0"/>
                <w:color w:val="212121"/>
                <w:sz w:val="16"/>
              </w:rPr>
              <w:t>Higher adiposity and blood pressure add cardiometabolic risk and worsen VMS</w:t>
            </w:r>
          </w:p>
        </w:tc>
        <w:tc>
          <w:tcPr>
            <w:tcW w:type="dxa" w:w="1036"/>
            <w:vAlign w:val="top"/>
          </w:tcPr>
          <w:p>
            <w:pPr>
              <w:spacing w:after="40" w:before="0" w:line="259" w:lineRule="auto"/>
            </w:pPr>
            <w:r>
              <w:rPr>
                <w:rFonts w:ascii="Calibri" w:hAnsi="Calibri"/>
                <w:b w:val="0"/>
                <w:i w:val="0"/>
                <w:color w:val="212121"/>
                <w:sz w:val="16"/>
              </w:rPr>
              <w:t>Overweight/obese, hypertensive women</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Thyroid &amp; general examination</w:t>
            </w:r>
          </w:p>
        </w:tc>
        <w:tc>
          <w:tcPr>
            <w:tcW w:type="dxa" w:w="979"/>
            <w:vAlign w:val="top"/>
          </w:tcPr>
          <w:p>
            <w:pPr>
              <w:spacing w:after="40" w:before="0" w:line="259" w:lineRule="auto"/>
            </w:pPr>
            <w:r>
              <w:rPr>
                <w:rFonts w:ascii="Calibri" w:hAnsi="Calibri"/>
                <w:b w:val="0"/>
                <w:i w:val="0"/>
                <w:color w:val="212121"/>
                <w:sz w:val="16"/>
              </w:rPr>
              <w:t>Thyroid palpation, tremor, eye signs; general survey</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Goitre/tremor (thyrotoxicosis) or signs of a secondary cause</w:t>
            </w:r>
          </w:p>
        </w:tc>
        <w:tc>
          <w:tcPr>
            <w:tcW w:type="dxa" w:w="1036"/>
            <w:vAlign w:val="top"/>
          </w:tcPr>
          <w:p>
            <w:pPr>
              <w:spacing w:after="40" w:before="0" w:line="259" w:lineRule="auto"/>
            </w:pPr>
            <w:r>
              <w:rPr>
                <w:rFonts w:ascii="Calibri" w:hAnsi="Calibri"/>
                <w:b w:val="0"/>
                <w:i w:val="0"/>
                <w:color w:val="212121"/>
                <w:sz w:val="16"/>
              </w:rPr>
              <w:t>Screens for mimics of menopausal flushing</w:t>
            </w:r>
          </w:p>
        </w:tc>
        <w:tc>
          <w:tcPr>
            <w:tcW w:type="dxa" w:w="1036"/>
            <w:vAlign w:val="top"/>
          </w:tcPr>
          <w:p>
            <w:pPr>
              <w:spacing w:after="40" w:before="0" w:line="259" w:lineRule="auto"/>
            </w:pPr>
            <w:r>
              <w:rPr>
                <w:rFonts w:ascii="Calibri" w:hAnsi="Calibri"/>
                <w:b w:val="0"/>
                <w:i w:val="0"/>
                <w:color w:val="212121"/>
                <w:sz w:val="16"/>
              </w:rPr>
              <w:t>Atypical or severe sweats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Complements thyroid function testing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Hot flush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sensation of intense heat over the face, neck and chest, often with visible flushing, lasting 1-5 minutes.</w:t>
            </w:r>
          </w:p>
        </w:tc>
      </w:tr>
      <w:tr>
        <w:trPr>
          <w:cantSplit/>
        </w:trPr>
        <w:tc>
          <w:tcPr>
            <w:tcW w:type="dxa" w:w="2304"/>
            <w:vAlign w:val="top"/>
          </w:tcPr>
          <w:p>
            <w:pPr>
              <w:spacing w:after="40" w:before="0" w:line="259" w:lineRule="auto"/>
            </w:pPr>
            <w:r>
              <w:rPr>
                <w:rFonts w:ascii="Calibri" w:hAnsi="Calibri"/>
                <w:b/>
                <w:i w:val="0"/>
                <w:color w:val="212121"/>
                <w:sz w:val="19"/>
              </w:rPr>
              <w:t>Night sweats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Nocturnal hot flushes with profuse sweating that soak nightwear and bedding and disrupt sleep.</w:t>
            </w:r>
          </w:p>
        </w:tc>
      </w:tr>
      <w:tr>
        <w:trPr>
          <w:cantSplit/>
        </w:trPr>
        <w:tc>
          <w:tcPr>
            <w:tcW w:type="dxa" w:w="2304"/>
            <w:vAlign w:val="top"/>
          </w:tcPr>
          <w:p>
            <w:pPr>
              <w:spacing w:after="40" w:before="0" w:line="259" w:lineRule="auto"/>
            </w:pPr>
            <w:r>
              <w:rPr>
                <w:rFonts w:ascii="Calibri" w:hAnsi="Calibri"/>
                <w:b/>
                <w:i w:val="0"/>
                <w:color w:val="212121"/>
                <w:sz w:val="19"/>
              </w:rPr>
              <w:t>Profuse sweating (diaphoresis)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Heat-dissipation sweating accompanying the flush, sometimes drenching.</w:t>
            </w:r>
          </w:p>
        </w:tc>
      </w:tr>
      <w:tr>
        <w:trPr>
          <w:cantSplit/>
        </w:trPr>
        <w:tc>
          <w:tcPr>
            <w:tcW w:type="dxa" w:w="2304"/>
            <w:vAlign w:val="top"/>
          </w:tcPr>
          <w:p>
            <w:pPr>
              <w:spacing w:after="40" w:before="0" w:line="259" w:lineRule="auto"/>
            </w:pPr>
            <w:r>
              <w:rPr>
                <w:rFonts w:ascii="Calibri" w:hAnsi="Calibri"/>
                <w:b/>
                <w:i w:val="0"/>
                <w:color w:val="212121"/>
                <w:sz w:val="19"/>
              </w:rPr>
              <w:t>Facial and neck flushing (redness)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Cutaneous vasodilation producing visible erythema of the upper body during an episode.</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Awareness of a rapid or forceful heartbeat during a flush.</w:t>
            </w:r>
          </w:p>
        </w:tc>
      </w:tr>
      <w:tr>
        <w:trPr>
          <w:cantSplit/>
        </w:trPr>
        <w:tc>
          <w:tcPr>
            <w:tcW w:type="dxa" w:w="2304"/>
            <w:vAlign w:val="top"/>
          </w:tcPr>
          <w:p>
            <w:pPr>
              <w:spacing w:after="40" w:before="0" w:line="259" w:lineRule="auto"/>
            </w:pPr>
            <w:r>
              <w:rPr>
                <w:rFonts w:ascii="Calibri" w:hAnsi="Calibri"/>
                <w:b/>
                <w:i w:val="0"/>
                <w:color w:val="212121"/>
                <w:sz w:val="19"/>
              </w:rPr>
              <w:t>Chills / shivering after a flush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Rebound heat loss produces a cold, shivery sensation once the flush subsides.</w:t>
            </w:r>
          </w:p>
        </w:tc>
      </w:tr>
      <w:tr>
        <w:trPr>
          <w:cantSplit/>
        </w:trPr>
        <w:tc>
          <w:tcPr>
            <w:tcW w:type="dxa" w:w="2304"/>
            <w:vAlign w:val="top"/>
          </w:tcPr>
          <w:p>
            <w:pPr>
              <w:spacing w:after="40" w:before="0" w:line="259" w:lineRule="auto"/>
            </w:pPr>
            <w:r>
              <w:rPr>
                <w:rFonts w:ascii="Calibri" w:hAnsi="Calibri"/>
                <w:b/>
                <w:i w:val="0"/>
                <w:color w:val="212121"/>
                <w:sz w:val="19"/>
              </w:rPr>
              <w:t>Sleep disturbance / insomnia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Night sweats and arousals fragment sleep, causing difficulty staying asleep.</w:t>
            </w:r>
          </w:p>
        </w:tc>
      </w:tr>
      <w:tr>
        <w:trPr>
          <w:cantSplit/>
        </w:trPr>
        <w:tc>
          <w:tcPr>
            <w:tcW w:type="dxa" w:w="2304"/>
            <w:vAlign w:val="top"/>
          </w:tcPr>
          <w:p>
            <w:pPr>
              <w:spacing w:after="40" w:before="0" w:line="259" w:lineRule="auto"/>
            </w:pPr>
            <w:r>
              <w:rPr>
                <w:rFonts w:ascii="Calibri" w:hAnsi="Calibri"/>
                <w:b/>
                <w:i w:val="0"/>
                <w:color w:val="212121"/>
                <w:sz w:val="19"/>
              </w:rPr>
              <w:t>Irritability / anxiety around episodes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Emotional arousal both triggers and accompanies flushes.</w:t>
            </w:r>
          </w:p>
        </w:tc>
      </w:tr>
      <w:tr>
        <w:trPr>
          <w:cantSplit/>
        </w:trPr>
        <w:tc>
          <w:tcPr>
            <w:tcW w:type="dxa" w:w="2304"/>
            <w:vAlign w:val="top"/>
          </w:tcPr>
          <w:p>
            <w:pPr>
              <w:spacing w:after="40" w:before="0" w:line="259" w:lineRule="auto"/>
            </w:pPr>
            <w:r>
              <w:rPr>
                <w:rFonts w:ascii="Calibri" w:hAnsi="Calibri"/>
                <w:b/>
                <w:i w:val="0"/>
                <w:color w:val="212121"/>
                <w:sz w:val="19"/>
              </w:rPr>
              <w:t>Fatigue / daytime sleepiness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Consequence of disturbed and unrefreshing sleep from night sweats.</w:t>
            </w:r>
          </w:p>
        </w:tc>
      </w:tr>
      <w:tr>
        <w:trPr>
          <w:cantSplit/>
        </w:trPr>
        <w:tc>
          <w:tcPr>
            <w:tcW w:type="dxa" w:w="2304"/>
            <w:vAlign w:val="top"/>
          </w:tcPr>
          <w:p>
            <w:pPr>
              <w:spacing w:after="40" w:before="0" w:line="259" w:lineRule="auto"/>
            </w:pPr>
            <w:r>
              <w:rPr>
                <w:rFonts w:ascii="Calibri" w:hAnsi="Calibri"/>
                <w:b/>
                <w:i w:val="0"/>
                <w:color w:val="212121"/>
                <w:sz w:val="19"/>
              </w:rPr>
              <w:t>Difficulty concentrating /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Cognitive complaints linked to poor sleep and menopausal changes.</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the vasomotor episode.</w:t>
            </w:r>
          </w:p>
        </w:tc>
      </w:tr>
      <w:tr>
        <w:trPr>
          <w:cantSplit/>
        </w:trPr>
        <w:tc>
          <w:tcPr>
            <w:tcW w:type="dxa" w:w="2304"/>
            <w:vAlign w:val="top"/>
          </w:tcPr>
          <w:p>
            <w:pPr>
              <w:spacing w:after="40" w:before="0" w:line="259" w:lineRule="auto"/>
            </w:pPr>
            <w:r>
              <w:rPr>
                <w:rFonts w:ascii="Calibri" w:hAnsi="Calibri"/>
                <w:b/>
                <w:i w:val="0"/>
                <w:color w:val="212121"/>
                <w:sz w:val="19"/>
              </w:rPr>
              <w:t>Prodromal aura before a flush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women sense an oncoming flush moments before it starts.</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around flush episodes or from disturbed sleep.</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Visible facial and upper-chest flushing during an episode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cutaneous vasodilation observable when a flush occurs.</w:t>
            </w:r>
          </w:p>
        </w:tc>
      </w:tr>
      <w:tr>
        <w:trPr>
          <w:cantSplit/>
        </w:trPr>
        <w:tc>
          <w:tcPr>
            <w:tcW w:type="dxa" w:w="3456"/>
            <w:vAlign w:val="top"/>
          </w:tcPr>
          <w:p>
            <w:pPr>
              <w:spacing w:after="40" w:before="0" w:line="259" w:lineRule="auto"/>
            </w:pPr>
            <w:r>
              <w:rPr>
                <w:rFonts w:ascii="Calibri" w:hAnsi="Calibri"/>
                <w:b/>
                <w:i w:val="0"/>
                <w:color w:val="212121"/>
                <w:sz w:val="19"/>
              </w:rPr>
              <w:t>Diaphoresis / beads of sweat during an episode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sweating, particularly over the face, neck and upper chest.</w:t>
            </w:r>
          </w:p>
        </w:tc>
      </w:tr>
      <w:tr>
        <w:trPr>
          <w:cantSplit/>
        </w:trPr>
        <w:tc>
          <w:tcPr>
            <w:tcW w:type="dxa" w:w="3456"/>
            <w:vAlign w:val="top"/>
          </w:tcPr>
          <w:p>
            <w:pPr>
              <w:spacing w:after="40" w:before="0" w:line="259" w:lineRule="auto"/>
            </w:pPr>
            <w:r>
              <w:rPr>
                <w:rFonts w:ascii="Calibri" w:hAnsi="Calibri"/>
                <w:b/>
                <w:i w:val="0"/>
                <w:color w:val="212121"/>
                <w:sz w:val="19"/>
              </w:rPr>
              <w:t>Transient rise in peripheral skin temperature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Peripheral vasodilation measurably warms the skin during a flush.</w:t>
            </w:r>
          </w:p>
        </w:tc>
      </w:tr>
      <w:tr>
        <w:trPr>
          <w:cantSplit/>
        </w:trPr>
        <w:tc>
          <w:tcPr>
            <w:tcW w:type="dxa" w:w="3456"/>
            <w:vAlign w:val="top"/>
          </w:tcPr>
          <w:p>
            <w:pPr>
              <w:spacing w:after="40" w:before="0" w:line="259" w:lineRule="auto"/>
            </w:pPr>
            <w:r>
              <w:rPr>
                <w:rFonts w:ascii="Calibri" w:hAnsi="Calibri"/>
                <w:b/>
                <w:i w:val="0"/>
                <w:color w:val="212121"/>
                <w:sz w:val="19"/>
              </w:rPr>
              <w:t>Tachycardia during a flush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Transient increase in heart rate accompanying the vasomotor episode.</w:t>
            </w:r>
          </w:p>
        </w:tc>
      </w:tr>
      <w:tr>
        <w:trPr>
          <w:cantSplit/>
        </w:trPr>
        <w:tc>
          <w:tcPr>
            <w:tcW w:type="dxa" w:w="3456"/>
            <w:vAlign w:val="top"/>
          </w:tcPr>
          <w:p>
            <w:pPr>
              <w:spacing w:after="40" w:before="0" w:line="259" w:lineRule="auto"/>
            </w:pPr>
            <w:r>
              <w:rPr>
                <w:rFonts w:ascii="Calibri" w:hAnsi="Calibri"/>
                <w:b/>
                <w:i w:val="0"/>
                <w:color w:val="212121"/>
                <w:sz w:val="19"/>
              </w:rPr>
              <w:t>Cool, clammy skin following an episode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Post-flush heat loss leaves the skin cool and moist.</w:t>
            </w:r>
          </w:p>
        </w:tc>
      </w:tr>
      <w:tr>
        <w:trPr>
          <w:cantSplit/>
        </w:trPr>
        <w:tc>
          <w:tcPr>
            <w:tcW w:type="dxa" w:w="3456"/>
            <w:vAlign w:val="top"/>
          </w:tcPr>
          <w:p>
            <w:pPr>
              <w:spacing w:after="40" w:before="0" w:line="259" w:lineRule="auto"/>
            </w:pPr>
            <w:r>
              <w:rPr>
                <w:rFonts w:ascii="Calibri" w:hAnsi="Calibri"/>
                <w:b/>
                <w:i w:val="0"/>
                <w:color w:val="212121"/>
                <w:sz w:val="19"/>
              </w:rPr>
              <w:t>Elevated BMI / central adiposity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Risk marker associated with more frequent and severe VMS.</w:t>
            </w:r>
          </w:p>
        </w:tc>
      </w:tr>
      <w:tr>
        <w:trPr>
          <w:cantSplit/>
        </w:trPr>
        <w:tc>
          <w:tcPr>
            <w:tcW w:type="dxa" w:w="3456"/>
            <w:vAlign w:val="top"/>
          </w:tcPr>
          <w:p>
            <w:pPr>
              <w:spacing w:after="40" w:before="0" w:line="259" w:lineRule="auto"/>
            </w:pPr>
            <w:r>
              <w:rPr>
                <w:rFonts w:ascii="Calibri" w:hAnsi="Calibri"/>
                <w:b/>
                <w:i w:val="0"/>
                <w:color w:val="212121"/>
                <w:sz w:val="19"/>
              </w:rPr>
              <w:t>Normal thyroid on palpation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Helps distinguish menopausal VMS from thyrotoxicosis.</w:t>
            </w:r>
          </w:p>
        </w:tc>
      </w:tr>
      <w:tr>
        <w:trPr>
          <w:cantSplit/>
        </w:trPr>
        <w:tc>
          <w:tcPr>
            <w:tcW w:type="dxa" w:w="3456"/>
            <w:vAlign w:val="top"/>
          </w:tcPr>
          <w:p>
            <w:pPr>
              <w:spacing w:after="40" w:before="0" w:line="259" w:lineRule="auto"/>
            </w:pPr>
            <w:r>
              <w:rPr>
                <w:rFonts w:ascii="Calibri" w:hAnsi="Calibri"/>
                <w:b/>
                <w:i w:val="0"/>
                <w:color w:val="212121"/>
                <w:sz w:val="19"/>
              </w:rPr>
              <w:t>Vulvovaginal atrophy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oestrogen deficiency when genitourinary syndrome of menopause coexists.</w:t>
            </w:r>
          </w:p>
        </w:tc>
      </w:tr>
      <w:tr>
        <w:trPr>
          <w:cantSplit/>
        </w:trPr>
        <w:tc>
          <w:tcPr>
            <w:tcW w:type="dxa" w:w="3456"/>
            <w:vAlign w:val="top"/>
          </w:tcPr>
          <w:p>
            <w:pPr>
              <w:spacing w:after="40" w:before="0" w:line="259" w:lineRule="auto"/>
            </w:pPr>
            <w:r>
              <w:rPr>
                <w:rFonts w:ascii="Calibri" w:hAnsi="Calibri"/>
                <w:b/>
                <w:i w:val="0"/>
                <w:color w:val="212121"/>
                <w:sz w:val="19"/>
              </w:rPr>
              <w:t>Signs of sleep deprivation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Periorbital fatigue and tiredness reflecting night-sweat-related sleep loss.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sleep disruption and insomnia from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Daytime fatigue and reduced energy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concentration and work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social withdrawal</w:t>
            </w:r>
          </w:p>
        </w:tc>
        <w:tc>
          <w:tcPr>
            <w:tcW w:type="dxa" w:w="2980"/>
            <w:vAlign w:val="top"/>
          </w:tcPr>
          <w:p>
            <w:pPr>
              <w:spacing w:after="40" w:before="0" w:line="259" w:lineRule="auto"/>
            </w:pPr>
            <w:r>
              <w:rPr>
                <w:rFonts w:ascii="Calibri" w:hAnsi="Calibri"/>
                <w:b w:val="0"/>
                <w:i w:val="0"/>
                <w:color w:val="212121"/>
                <w:sz w:val="19"/>
              </w:rPr>
              <w:t>Direct consequences of frequent, sleep-disturbing vasomotor episodes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Subclinical cardiovascular changes (endothelial dysfunction, greater carotid intima-media thickness)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bone loss and low bone mineral density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Weight gain and adverse cardiometabolic profile</w:t>
            </w:r>
          </w:p>
        </w:tc>
        <w:tc>
          <w:tcPr>
            <w:tcW w:type="dxa" w:w="2980"/>
            <w:vAlign w:val="top"/>
          </w:tcPr>
          <w:p>
            <w:pPr>
              <w:spacing w:after="40" w:before="0" w:line="259" w:lineRule="auto"/>
            </w:pPr>
            <w:r>
              <w:rPr>
                <w:rFonts w:ascii="Calibri" w:hAnsi="Calibri"/>
                <w:b w:val="0"/>
                <w:i w:val="0"/>
                <w:color w:val="212121"/>
                <w:sz w:val="19"/>
              </w:rPr>
              <w:t>Downstream effects of persistent VMS, disturbed sleep and the wider oestrogen-deficient state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depressive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Clinical cardiovascular events (coronary artery disease,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Osteoporotic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occupational impairment and disability</w:t>
            </w:r>
          </w:p>
        </w:tc>
        <w:tc>
          <w:tcPr>
            <w:tcW w:type="dxa" w:w="2980"/>
            <w:vAlign w:val="top"/>
          </w:tcPr>
          <w:p>
            <w:pPr>
              <w:spacing w:after="40" w:before="0" w:line="259" w:lineRule="auto"/>
            </w:pPr>
            <w:r>
              <w:rPr>
                <w:rFonts w:ascii="Calibri" w:hAnsi="Calibri"/>
                <w:b w:val="0"/>
                <w:i w:val="0"/>
                <w:color w:val="212121"/>
                <w:sz w:val="19"/>
              </w:rPr>
              <w:t>Serious, sometimes irreversible outcomes of untreated symptoms and associated menopausal risks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Sleep disturbance / insomnia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Night sweats and nocturnal arousals fragment sleep, and poor sleep in turn lowers the flush threshold; a core driver of VMS-related quality-of-life loss.</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Depressive symptoms predict more frequent, severe and longer-lasting VMS, while VMS-related sleep loss worsens mood; both share oestrogen and monoamine pathways.</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Anxiety and emotional arousal both trigger and accompany flushes, and high anxiety predicts greater symptom burden.</w:t>
            </w:r>
          </w:p>
        </w:tc>
      </w:tr>
      <w:tr>
        <w:trPr>
          <w:cantSplit/>
        </w:trPr>
        <w:tc>
          <w:tcPr>
            <w:tcW w:type="dxa" w:w="2232"/>
            <w:vAlign w:val="top"/>
          </w:tcPr>
          <w:p>
            <w:pPr>
              <w:spacing w:after="40" w:before="0" w:line="259" w:lineRule="auto"/>
            </w:pPr>
            <w:r>
              <w:rPr>
                <w:rFonts w:ascii="Calibri" w:hAnsi="Calibri"/>
                <w:b/>
                <w:i w:val="0"/>
                <w:color w:val="212121"/>
                <w:sz w:val="19"/>
              </w:rPr>
              <w:t>Cardiovascular disease / subclinical atherosclerosis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and persistent VMS are associated with endothelial dysfunction, greater carotid intima-media thickness and higher cardiovascular risk, marking women who warrant risk assessment.</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oestrogen deficiency drives both; women with frequent VMS tend to have lower bone density and higher fracture risk.</w:t>
            </w:r>
          </w:p>
        </w:tc>
      </w:tr>
      <w:tr>
        <w:trPr>
          <w:cantSplit/>
        </w:trPr>
        <w:tc>
          <w:tcPr>
            <w:tcW w:type="dxa" w:w="2232"/>
            <w:vAlign w:val="top"/>
          </w:tcPr>
          <w:p>
            <w:pPr>
              <w:spacing w:after="40" w:before="0" w:line="259" w:lineRule="auto"/>
            </w:pPr>
            <w:r>
              <w:rPr>
                <w:rFonts w:ascii="Calibri" w:hAnsi="Calibri"/>
                <w:b/>
                <w:i w:val="0"/>
                <w:color w:val="212121"/>
                <w:sz w:val="19"/>
              </w:rPr>
              <w:t>Genitourinary syndrome of menopause (GSM)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Commonly coexists as another manifestation of oestrogen deficiency, though driven by local rather than thermoregulatory mechanisms; both influence treatment choice.</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Hormonal fluctuation in the transition can worsen migraine, which frequently coexists with VMS and affects treatment selection.</w:t>
            </w:r>
          </w:p>
        </w:tc>
      </w:tr>
      <w:tr>
        <w:trPr>
          <w:cantSplit/>
        </w:trPr>
        <w:tc>
          <w:tcPr>
            <w:tcW w:type="dxa" w:w="2232"/>
            <w:vAlign w:val="top"/>
          </w:tcPr>
          <w:p>
            <w:pPr>
              <w:spacing w:after="40" w:before="0" w:line="259" w:lineRule="auto"/>
            </w:pPr>
            <w:r>
              <w:rPr>
                <w:rFonts w:ascii="Calibri" w:hAnsi="Calibri"/>
                <w:b/>
                <w:i w:val="0"/>
                <w:color w:val="212121"/>
                <w:sz w:val="19"/>
              </w:rPr>
              <w:t>Type 2 diabetes / insulin resistance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VMS are associated with greater insulin resistance and incident diabetes risk, and dysglycaemia can worsen symptom burden.</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vascular and autonomic mechanisms with VMS and clusters with the postmenopausal cardiometabolic risk profile, influencing MHT decisions.</w:t>
            </w:r>
          </w:p>
        </w:tc>
      </w:tr>
      <w:tr>
        <w:trPr>
          <w:cantSplit/>
        </w:trPr>
        <w:tc>
          <w:tcPr>
            <w:tcW w:type="dxa" w:w="2232"/>
            <w:vAlign w:val="top"/>
          </w:tcPr>
          <w:p>
            <w:pPr>
              <w:spacing w:after="40" w:before="0" w:line="259" w:lineRule="auto"/>
            </w:pPr>
            <w:r>
              <w:rPr>
                <w:rFonts w:ascii="Calibri" w:hAnsi="Calibri"/>
                <w:b/>
                <w:i w:val="0"/>
                <w:color w:val="212121"/>
                <w:sz w:val="19"/>
              </w:rPr>
              <w:t>Breast cancer (on endocrine therapy)</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Tamoxifen and aromatase inhibitors commonly induce hot flushes; systemic oestrogen is contraindicated, so non-hormonal treatment is required.</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Higher adiposity increases flush frequency and severity through impaired heat dissipation and altered signalling, while weight loss can improve symptoms.</w:t>
            </w:r>
          </w:p>
        </w:tc>
      </w:tr>
      <w:tr>
        <w:trPr>
          <w:cantSplit/>
        </w:trPr>
        <w:tc>
          <w:tcPr>
            <w:tcW w:type="dxa" w:w="2232"/>
            <w:vAlign w:val="top"/>
          </w:tcPr>
          <w:p>
            <w:pPr>
              <w:spacing w:after="40" w:before="0" w:line="259" w:lineRule="auto"/>
            </w:pPr>
            <w:r>
              <w:rPr>
                <w:rFonts w:ascii="Calibri" w:hAnsi="Calibri"/>
                <w:b/>
                <w:i w:val="0"/>
                <w:color w:val="212121"/>
                <w:sz w:val="19"/>
              </w:rPr>
              <w:t>Cognitive complaints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Brain fog and memory complaints frequently accompany VMS, mediated partly by disturbed sleep and mood as well as oestrogen changes.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hot flushes and night sweats are a normal, benign part of the menopause transition caused by oestrogen changes, not a disease of the heart or thyroid, but seek review if flushing is one-sided or comes with weight loss, diarrhoea or fainting.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personal triggers (heat, hot or spicy food and drinks, caffeine, alcohol, stress) and how to avoid or manage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treatment options: menopausal hormone therapy (MHT) is the most effective for VMS, and effective non-hormonal medicines exist for women who cannot take hormones.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VMS can last several years (median about 7 years), so plan for medium-term management rather than expecting rapid spontaneous resolution.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menopause or primary-care review for blood pressure, weight, bone and cardiovascular risk assessment, as these needs rise after menopause.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midlife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Breast-cancer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 early menopause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swimming) to improve sleep, mood, weight and cardiometabolic health during menopause.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and weight-bearing exercise 2-3 days/week to protect bone and muscle as oestrogen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(Asian-Indian BMI &gt;= 23), as lower adiposity can reduce flush frequency and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paced, slow abdominal breathing and yoga, which many women find helpful for symptom coping and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in hot environments; keep cool and hydrated to prevent activity-triggered flushes.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limit dietary triggers such as spicy foods, very hot drinks, caffeine and large heavy meals, especially in the evening.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fibre-rich diet with whole grains and millets, pulses, vegetables and fruit to support weight and cardiometabolic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soy/isoflavone foods (soybean, tofu) and flaxseed if desired; benefits for flushes are modest and inconsistent but the diet is heart-healthy.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intake for bone protection after menopause.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Sip cool water and dress in light layers to ease individual flushes.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at bone or cardiovascular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cool (around 18-20 C), use light cotton bedding and nightwear, and keep water at the bedside for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sleep-wake schedule and good sleep hygiene; limit screens, caffeine and alcohol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layered bedding that can be pushed off quickly during a night sweat.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 behavioural therapy for insomnia (CBT-I) and for menopausal symptoms, which has evidence for VMS-related sleep and bother.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significant VMS medically if night sweats repeatedly disrupt sleep despite these measures.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smoking is the strongest modifiable risk factor for hot flushes and also brings menopause and bone loss forward.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medicines)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affects symptoms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activity and diet to limit any post-quit weight gain.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severe VMS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causes flushing through vasodilation and disturbs sleep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whether alcohol or specific drinks reliably trigger your flushes and avoid those.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the evening to reduce night sweats and improve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within low-risk drinking limits for general and cardiovascular health after menopause.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drink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night sweats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(paced breathing, mindfulness, yoga, relaxation), which reduce the bother of flushes and improve coping.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bidirectionally linked with VMS and worsen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 behavioural therapy (CBT), which has good evidence for reducing the impact of hot flushes and night sweats.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social and peer support and seek counselling for the psychosocial aspects of the menopause transition.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Where mood and VMS coexist, SSRIs/SNRIs (for example venlafaxine, paroxetine, escitalopram) can treat both.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cannot take hormones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menopause" TargetMode="External"/><Relationship Id="rId10" Type="http://schemas.openxmlformats.org/officeDocument/2006/relationships/hyperlink" Target="https://pubmed.ncbi.nlm.nih.gov/25686030/" TargetMode="External"/><Relationship Id="rId11" Type="http://schemas.openxmlformats.org/officeDocument/2006/relationships/hyperlink" Target="https://pubmed.ncbi.nlm.nih.gov/22339416/" TargetMode="External"/><Relationship Id="rId12" Type="http://schemas.openxmlformats.org/officeDocument/2006/relationships/hyperlink" Target="https://pubmed.ncbi.nlm.nih.gov/24099134/" TargetMode="External"/><Relationship Id="rId13" Type="http://schemas.openxmlformats.org/officeDocument/2006/relationships/hyperlink" Target="https://en.wikipedia.org/wiki/Hot_flash" TargetMode="External"/><Relationship Id="rId14" Type="http://schemas.openxmlformats.org/officeDocument/2006/relationships/hyperlink" Target="https://www.nice.org.uk/guidance/ng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