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Fibroadenoma of Breast</w:t>
      </w:r>
    </w:p>
    <w:p>
      <w:pPr>
        <w:spacing w:before="0" w:after="160"/>
      </w:pPr>
      <w:r>
        <w:rPr>
          <w:rFonts w:ascii="Calibri" w:hAnsi="Calibri"/>
          <w:b/>
          <w:i w:val="0"/>
          <w:color w:val="212121"/>
          <w:sz w:val="22"/>
        </w:rPr>
        <w:t xml:space="preserve">AKA </w:t>
      </w:r>
      <w:r>
        <w:rPr>
          <w:rFonts w:ascii="Calibri" w:hAnsi="Calibri"/>
          <w:b w:val="0"/>
          <w:i w:val="0"/>
          <w:color w:val="212121"/>
          <w:sz w:val="22"/>
        </w:rPr>
        <w:t>i.e., Breast fibroadenoma (FA), Benign fibroepithelial tumour of the breast, “Breast mouse”, Breast lump (lay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Fibroadenoma is the most common benign (non-cancerous) tumour of the female breast. It is a fibroepithelial lesion made up of both glandular (epithelial) and stromal (fibrous/connective) tissue that arises from an exaggerated, oestrogen-dependent response of a single breast lobule. It typically presents as a painless, firm, smooth, freely mobile lump in a young woman, does not invade or spread, and often stays stable or regresses over time. The large majority are harmless; only a minority (“complex” fibroadenomas) carry a modestly increased long-term breast-cancer risk.</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Fibroadenoma is the single most common benign breast disease (BBD) in Indian women and a leading reason young women present to breast and surgery clinics. In a chart review of 5,965 patients from North Western India, fibroadenoma accounted for 59.19% of all benign breast disease, and about 70% of benign breast lumps occurred in women under 30 years of age. In a tertiary-care histopathology series of 153 surgically excised benign breast lesions, fibroadenoma made up 66% of cases, with a mean patient age of about 30 years and a peak in the 21–30 year group. Globally it is estimated to affect roughly 1 in 10 women at some point in life, with peak incidence between 15 and 35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Fibroadenoma is diagnosed by “triple assessment” — the combination of clinical breast examination, imaging, and (where indicated) needle biopsy — which together confirm a benign fibroepithelial lump and, crucially, exclude phyllodes tumour and breast cancer: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breast examination: a solitary, well-defined, firm-to-rubbery, smooth, non-tender, freely mobile lump (the classic “breast mouse” that slips under the fingers), usually 1–3 cm, most often in the upper outer quadrant, with no skin tethering, nipple change or axillary lymphadenopathy;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Ultrasound (first-line in women under about 35–40 years): a well-circumscribed, oval, homogeneously hypoechoic mass with parallel (“wider-than-tall”) orientation, gentle macrolobulations and a thin echogenic pseudocapsule — typically categorised BI-RADS 3 (probably benign);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Mammography (added in women over about 35–40 or to exclude malignancy): a circumscribed round/oval mass with smooth margins; older, involuting lesions may show characteristic coarse “popcorn” calcification;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Needle biopsy when the lesion is not clearly benign, is large or growing, or the woman is older: core-needle biopsy is preferred (fine-needle aspiration cytology, FNAC, is an alternative) to confirm a benign biphasic stromal-and-epithelial proliferation and to distinguish fibroadenoma from phyllodes tumour;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Concordant “triple-negative” results (benign on examination, imaging and pathology) allow safe observation; any discordance, rapid growth, or suspicious feature mandates excision for definitive histology.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Fibroadenomas are classified clinically and histologically; the distinctions matter because they guide cancer-risk counselling and the choice between observation and excision:</w:t>
      </w:r>
    </w:p>
    <w:p>
      <w:pPr>
        <w:spacing w:before="0" w:after="80"/>
      </w:pPr>
      <w:r>
        <w:rPr>
          <w:rFonts w:ascii="Calibri" w:hAnsi="Calibri"/>
          <w:b w:val="0"/>
          <w:i w:val="0"/>
          <w:color w:val="212121"/>
          <w:sz w:val="21"/>
        </w:rPr>
        <w:t>(1) Simple (common / adult) fibroadenoma — the usual 1–3 cm lesion with uniform histology and no proliferative change; it carries essentially no increase in breast-cancer risk and is the type most often simply observed;</w:t>
      </w:r>
    </w:p>
    <w:p>
      <w:pPr>
        <w:spacing w:before="0" w:after="80"/>
      </w:pPr>
      <w:r>
        <w:rPr>
          <w:rFonts w:ascii="Calibri" w:hAnsi="Calibri"/>
          <w:b w:val="0"/>
          <w:i w:val="0"/>
          <w:color w:val="212121"/>
          <w:sz w:val="21"/>
        </w:rPr>
        <w:t>(2) Complex fibroadenoma — contains one or more of cysts larger than 3 mm, sclerosing adenosis, epithelial calcifications or papillary apocrine change; it tends to occur in slightly older women and is associated with a modestly higher long-term breast-cancer risk (relative risk ~3.1 versus ~2.2 for fibroadenoma overall in the Dupont &amp; Page cohort);</w:t>
      </w:r>
    </w:p>
    <w:p>
      <w:pPr>
        <w:spacing w:before="0" w:after="80"/>
      </w:pPr>
      <w:r>
        <w:rPr>
          <w:rFonts w:ascii="Calibri" w:hAnsi="Calibri"/>
          <w:b w:val="0"/>
          <w:i w:val="0"/>
          <w:color w:val="212121"/>
          <w:sz w:val="21"/>
        </w:rPr>
        <w:t>(3) Juvenile (cellular) fibroadenoma — seen in adolescents and young women, with more cellular stroma and epithelial hyperplasia; it can enlarge rapidly and may reach a large size;</w:t>
      </w:r>
    </w:p>
    <w:p>
      <w:pPr>
        <w:spacing w:before="0" w:after="80"/>
      </w:pPr>
      <w:r>
        <w:rPr>
          <w:rFonts w:ascii="Calibri" w:hAnsi="Calibri"/>
          <w:b w:val="0"/>
          <w:i w:val="0"/>
          <w:color w:val="212121"/>
          <w:sz w:val="21"/>
        </w:rPr>
        <w:t>(4) Giant fibroadenoma — defined as greater than 5 cm (or &gt;500 g); more common in adolescents and during pregnancy, it can distort the breast and cause overlying skin stretching;</w:t>
      </w:r>
    </w:p>
    <w:p>
      <w:pPr>
        <w:spacing w:before="0" w:after="80"/>
      </w:pPr>
      <w:r>
        <w:rPr>
          <w:rFonts w:ascii="Calibri" w:hAnsi="Calibri"/>
          <w:b w:val="0"/>
          <w:i w:val="0"/>
          <w:color w:val="212121"/>
          <w:sz w:val="21"/>
        </w:rPr>
        <w:t>(5) Histological growth patterns on microscopy — pericanalicular (stroma surrounds intact glands) and intracanalicular (stroma compresses glands into slit-like clefts); a myxoid variant exists and, when multiple, can rarely be part of Carney complex. The essential differential at every step is the phyllodes tumour, a related fibroepithelial neoplasm that can be benign, borderline or malignant.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Oestrogen sensitivity (hormonal drive): Fibroadenomas reflect an exaggerated, hormone-dependent response of breast lobular stroma to oestrogen; they enlarge during pregnancy, lactation and oestrogen exposure and typically regress after menopause.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Reproductive (young) age: Peak incidence is 15–35 years, when ovarian oestrogen output is highest; new fibroadenomas are uncommon after the menopause.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Early exogenous hormone / oral contraceptive use before age 20: Correlates with a higher incidence of fibroadenoma.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Somatic MED12 stromal mutation: Recurrent MED12 gene mutations are found in the stromal cells of the majority of fibroadenomas and drive the benign stromal proliferation.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Familial / genetic predisposition: A family history of benign breast disease or breast cancer increases the likelihood of fibroadenoma and modifies cancer risk when the lesion is complex.</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(ciclosporin): Solid-organ transplant recipients on ciclosporin can develop multiple, often bilateral, fibroadenomas.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Metabolic / dietary factors (weaker): Higher body-mass index and a high-fat, low-fibre Western-pattern diet raise circulating oestrogen and are weakly associated with benign breast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women (15–30 years)</w:t>
            </w:r>
          </w:p>
        </w:tc>
        <w:tc>
          <w:tcPr>
            <w:tcW w:type="dxa" w:w="4276"/>
            <w:vAlign w:val="top"/>
          </w:tcPr>
          <w:p>
            <w:pPr>
              <w:spacing w:after="60" w:line="259" w:lineRule="auto"/>
            </w:pPr>
            <w:r>
              <w:rPr>
                <w:rFonts w:ascii="Calibri" w:hAnsi="Calibri"/>
                <w:b w:val="0"/>
                <w:i w:val="0"/>
                <w:color w:val="212121"/>
                <w:sz w:val="19"/>
              </w:rPr>
              <w:t>This is the peak age for fibroadenoma because hormone-sensitive lobular stroma is exposed to high, cyclical ovarian oestrogen. Most palpable benign breast lumps in this group are fibroadenomas.</w:t>
            </w:r>
          </w:p>
          <w:p>
            <w:pPr>
              <w:spacing w:after="40" w:before="60" w:line="259" w:lineRule="auto"/>
            </w:pPr>
            <w:r>
              <w:rPr>
                <w:rFonts w:ascii="Calibri" w:hAnsi="Calibri"/>
                <w:b w:val="0"/>
                <w:i w:val="0"/>
                <w:color w:val="212121"/>
                <w:sz w:val="19"/>
              </w:rPr>
              <w:t>In a 5,965-patient North Western India benign breast disease series, about 70% of benign breast lumps occurred in women under 30 years of age.</w:t>
            </w:r>
          </w:p>
          <w:p>
            <w:pPr>
              <w:spacing w:after="40" w:line="252" w:lineRule="auto"/>
            </w:pPr>
            <w:hyperlink r:id="rId9">
              <w:r>
                <w:rPr>
                  <w:rFonts w:ascii="Calibri" w:hAnsi="Calibri" w:cs="Calibri"/>
                  <w:sz w:val="18"/>
                  <w:color w:val="1155CC"/>
                  <w:u w:val="single"/>
                </w:rPr>
                <w:t xml:space="preserve">pubmed.ncbi.nlm.nih.gov/41283091</w:t>
              </w:r>
            </w:hyperlink>
          </w:p>
          <w:p>
            <w:pPr>
              <w:spacing w:before="60" w:after="40"/>
            </w:pPr>
            <w:r>
              <w:rPr>
                <w:rFonts w:ascii="Calibri" w:hAnsi="Calibri"/>
                <w:b w:val="0"/>
                <w:i w:val="0"/>
                <w:color w:val="5A5A5A"/>
                <w:sz w:val="18"/>
              </w:rPr>
              <w:t>#youngwomen  #estrogen  #breastmouse  #benignlump</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over 35–40 years</w:t>
            </w:r>
          </w:p>
        </w:tc>
        <w:tc>
          <w:tcPr>
            <w:tcW w:type="dxa" w:w="4276"/>
            <w:vAlign w:val="top"/>
          </w:tcPr>
          <w:p>
            <w:pPr>
              <w:spacing w:after="60" w:line="259" w:lineRule="auto"/>
            </w:pPr>
            <w:r>
              <w:rPr>
                <w:rFonts w:ascii="Calibri" w:hAnsi="Calibri"/>
                <w:b w:val="0"/>
                <w:i w:val="0"/>
                <w:color w:val="212121"/>
                <w:sz w:val="19"/>
              </w:rPr>
              <w:t>Fibroadenoma is less common with age, but complex fibroadenomas cluster in older women and a new discrete lump after 35 must be imaged with mammography and biopsied to exclude carcinoma.</w:t>
            </w:r>
          </w:p>
          <w:p>
            <w:pPr>
              <w:spacing w:after="40" w:before="60" w:line="259" w:lineRule="auto"/>
            </w:pPr>
            <w:r>
              <w:rPr>
                <w:rFonts w:ascii="Calibri" w:hAnsi="Calibri"/>
                <w:b w:val="0"/>
                <w:i w:val="0"/>
                <w:color w:val="212121"/>
                <w:sz w:val="19"/>
              </w:rPr>
              <w:t>Complex fibroadenomas, which carry a slightly higher cancer risk, tend to be larger and to occur in older women.</w:t>
            </w:r>
          </w:p>
          <w:p>
            <w:pPr>
              <w:spacing w:after="40" w:line="252" w:lineRule="auto"/>
            </w:pPr>
            <w:hyperlink r:id="rId10">
              <w:r>
                <w:rPr>
                  <w:rFonts w:ascii="Calibri" w:hAnsi="Calibri" w:cs="Calibri"/>
                  <w:sz w:val="18"/>
                  <w:color w:val="1155CC"/>
                  <w:u w:val="single"/>
                </w:rPr>
                <w:t xml:space="preserve">cancer.org — fibroadenomas of the breast</w:t>
              </w:r>
            </w:hyperlink>
          </w:p>
          <w:p>
            <w:pPr>
              <w:spacing w:before="60" w:after="40"/>
            </w:pPr>
            <w:r>
              <w:rPr>
                <w:rFonts w:ascii="Calibri" w:hAnsi="Calibri"/>
                <w:b w:val="0"/>
                <w:i w:val="0"/>
                <w:color w:val="5A5A5A"/>
                <w:sz w:val="18"/>
              </w:rPr>
              <w:t>#complexfibroadenoma  #olderonset  #redflag  #mammography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Fibroadenoma is almost exclusively a disease of women because it arises from oestrogen- and progesterone-responsive ductolobular tissue.</w:t>
            </w:r>
          </w:p>
          <w:p>
            <w:pPr>
              <w:spacing w:after="40" w:before="60" w:line="259" w:lineRule="auto"/>
            </w:pPr>
            <w:r>
              <w:rPr>
                <w:rFonts w:ascii="Calibri" w:hAnsi="Calibri"/>
                <w:b w:val="0"/>
                <w:i w:val="0"/>
                <w:color w:val="212121"/>
                <w:sz w:val="19"/>
              </w:rPr>
              <w:t>In an Indian histopathology series of benign breast lesions, 98.7% of patients were female, mean age 30.45 years, and fibroadenoma was the commonest lesion (66% of cases).</w:t>
            </w:r>
          </w:p>
          <w:p>
            <w:pPr>
              <w:spacing w:after="40" w:line="252" w:lineRule="auto"/>
            </w:pPr>
            <w:hyperlink r:id="rId11">
              <w:r>
                <w:rPr>
                  <w:rFonts w:ascii="Calibri" w:hAnsi="Calibri" w:cs="Calibri"/>
                  <w:sz w:val="18"/>
                  <w:color w:val="1155CC"/>
                  <w:u w:val="single"/>
                </w:rPr>
                <w:t xml:space="preserve">pubmed.ncbi.nlm.nih.gov/37147991</w:t>
              </w:r>
            </w:hyperlink>
          </w:p>
          <w:p>
            <w:pPr>
              <w:spacing w:before="60" w:after="40"/>
            </w:pPr>
            <w:r>
              <w:rPr>
                <w:rFonts w:ascii="Calibri" w:hAnsi="Calibri"/>
                <w:b w:val="0"/>
                <w:i w:val="0"/>
                <w:color w:val="5A5A5A"/>
                <w:sz w:val="18"/>
              </w:rPr>
              <w:t>#female  #lobulartissue  #hormoneresponsive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(very rare)</w:t>
            </w:r>
          </w:p>
        </w:tc>
        <w:tc>
          <w:tcPr>
            <w:tcW w:type="dxa" w:w="4276"/>
            <w:vAlign w:val="top"/>
          </w:tcPr>
          <w:p>
            <w:pPr>
              <w:spacing w:after="60" w:line="259" w:lineRule="auto"/>
            </w:pPr>
            <w:r>
              <w:rPr>
                <w:rFonts w:ascii="Calibri" w:hAnsi="Calibri"/>
                <w:b w:val="0"/>
                <w:i w:val="0"/>
                <w:color w:val="212121"/>
                <w:sz w:val="19"/>
              </w:rPr>
              <w:t>True fibroadenoma essentially does not occur in the normal male breast, which lacks lobules; rare reports are linked to gynaecomastia or exogenous oestrogen/anti-androgen therapy.</w:t>
            </w:r>
          </w:p>
          <w:p>
            <w:pPr>
              <w:spacing w:after="40" w:before="60" w:line="259" w:lineRule="auto"/>
            </w:pPr>
            <w:r>
              <w:rPr>
                <w:rFonts w:ascii="Calibri" w:hAnsi="Calibri"/>
                <w:b w:val="0"/>
                <w:i w:val="0"/>
                <w:color w:val="212121"/>
                <w:sz w:val="19"/>
              </w:rPr>
              <w:t>Male fibroadenoma is exceptional and prompts a search for a hormonal (oestrogenic) cause.</w:t>
            </w:r>
          </w:p>
          <w:p>
            <w:pPr>
              <w:spacing w:before="60" w:after="40"/>
            </w:pPr>
            <w:r>
              <w:rPr>
                <w:rFonts w:ascii="Calibri" w:hAnsi="Calibri"/>
                <w:b w:val="0"/>
                <w:i w:val="0"/>
                <w:color w:val="5A5A5A"/>
                <w:sz w:val="18"/>
              </w:rPr>
              <w:t>#malerare  #gynaecomastia  #estrogentherapy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women with breast awareness / imaging access</w:t>
            </w:r>
          </w:p>
        </w:tc>
        <w:tc>
          <w:tcPr>
            <w:tcW w:type="dxa" w:w="4276"/>
            <w:vAlign w:val="top"/>
          </w:tcPr>
          <w:p>
            <w:pPr>
              <w:spacing w:after="60" w:line="259" w:lineRule="auto"/>
            </w:pPr>
            <w:r>
              <w:rPr>
                <w:rFonts w:ascii="Calibri" w:hAnsi="Calibri"/>
                <w:b w:val="0"/>
                <w:i w:val="0"/>
                <w:color w:val="212121"/>
                <w:sz w:val="19"/>
              </w:rPr>
              <w:t>Rising breast awareness and easy access to ultrasound in urban India lead to more incidental and early detection of small, otherwise silent fibroadenomas.</w:t>
            </w:r>
          </w:p>
          <w:p>
            <w:pPr>
              <w:spacing w:after="40" w:before="60" w:line="259" w:lineRule="auto"/>
            </w:pPr>
            <w:r>
              <w:rPr>
                <w:rFonts w:ascii="Calibri" w:hAnsi="Calibri"/>
                <w:b w:val="0"/>
                <w:i w:val="0"/>
                <w:color w:val="212121"/>
                <w:sz w:val="19"/>
              </w:rPr>
              <w:t>Increased self-examination and point-of-care ultrasound raise the detection of small, asymptomatic benign breast lumps.</w:t>
            </w:r>
          </w:p>
          <w:p>
            <w:pPr>
              <w:spacing w:before="60" w:after="40"/>
            </w:pPr>
            <w:r>
              <w:rPr>
                <w:rFonts w:ascii="Calibri" w:hAnsi="Calibri"/>
                <w:b w:val="0"/>
                <w:i w:val="0"/>
                <w:color w:val="5A5A5A"/>
                <w:sz w:val="18"/>
              </w:rPr>
              <w:t>#urban  #breastawareness  #incidental  #ultrasound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women</w:t>
            </w:r>
          </w:p>
        </w:tc>
        <w:tc>
          <w:tcPr>
            <w:tcW w:type="dxa" w:w="4276"/>
            <w:vAlign w:val="top"/>
          </w:tcPr>
          <w:p>
            <w:pPr>
              <w:spacing w:after="60" w:line="259" w:lineRule="auto"/>
            </w:pPr>
            <w:r>
              <w:rPr>
                <w:rFonts w:ascii="Calibri" w:hAnsi="Calibri"/>
                <w:b w:val="0"/>
                <w:i w:val="0"/>
                <w:color w:val="212121"/>
                <w:sz w:val="19"/>
              </w:rPr>
              <w:t>Across Indian hospital series fibroadenoma is consistently the most common benign breast disease, reflecting a young, reproductive-age presenting population.</w:t>
            </w:r>
          </w:p>
          <w:p>
            <w:pPr>
              <w:spacing w:after="40" w:before="60" w:line="259" w:lineRule="auto"/>
            </w:pPr>
            <w:r>
              <w:rPr>
                <w:rFonts w:ascii="Calibri" w:hAnsi="Calibri"/>
                <w:b w:val="0"/>
                <w:i w:val="0"/>
                <w:color w:val="212121"/>
                <w:sz w:val="19"/>
              </w:rPr>
              <w:t>Fibroadenoma made up 59.19% of all benign breast disease in a 5,965-patient North Western India study.</w:t>
            </w:r>
          </w:p>
          <w:p>
            <w:pPr>
              <w:spacing w:after="40" w:line="252" w:lineRule="auto"/>
            </w:pPr>
            <w:hyperlink r:id="rId9">
              <w:r>
                <w:rPr>
                  <w:rFonts w:ascii="Calibri" w:hAnsi="Calibri" w:cs="Calibri"/>
                  <w:sz w:val="18"/>
                  <w:color w:val="1155CC"/>
                  <w:u w:val="single"/>
                </w:rPr>
                <w:t xml:space="preserve">pubmed.ncbi.nlm.nih.gov/41283091</w:t>
              </w:r>
            </w:hyperlink>
          </w:p>
          <w:p>
            <w:pPr>
              <w:spacing w:before="60" w:after="40"/>
            </w:pPr>
            <w:r>
              <w:rPr>
                <w:rFonts w:ascii="Calibri" w:hAnsi="Calibri"/>
                <w:b w:val="0"/>
                <w:i w:val="0"/>
                <w:color w:val="5A5A5A"/>
                <w:sz w:val="18"/>
              </w:rPr>
              <w:t>#india  #commonestBBD  #reproductiveage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Indian tertiary-care / surgical presentations (21–30 yrs)</w:t>
            </w:r>
          </w:p>
        </w:tc>
        <w:tc>
          <w:tcPr>
            <w:tcW w:type="dxa" w:w="4276"/>
            <w:vAlign w:val="top"/>
          </w:tcPr>
          <w:p>
            <w:pPr>
              <w:spacing w:after="60" w:line="259" w:lineRule="auto"/>
            </w:pPr>
            <w:r>
              <w:rPr>
                <w:rFonts w:ascii="Calibri" w:hAnsi="Calibri"/>
                <w:b w:val="0"/>
                <w:i w:val="0"/>
                <w:color w:val="212121"/>
                <w:sz w:val="19"/>
              </w:rPr>
              <w:t>Benign breast disease presenting for excision in India peaks in the third decade, when fibroadenoma dominates the histology.</w:t>
            </w:r>
          </w:p>
          <w:p>
            <w:pPr>
              <w:spacing w:after="40" w:before="60" w:line="259" w:lineRule="auto"/>
            </w:pPr>
            <w:r>
              <w:rPr>
                <w:rFonts w:ascii="Calibri" w:hAnsi="Calibri"/>
                <w:b w:val="0"/>
                <w:i w:val="0"/>
                <w:color w:val="212121"/>
                <w:sz w:val="19"/>
              </w:rPr>
              <w:t>Benign breast disease was most frequent at 21–30 years, and fibroadenoma accounted for 66% (101/153) of excised benign lesions.</w:t>
            </w:r>
          </w:p>
          <w:p>
            <w:pPr>
              <w:spacing w:after="40" w:line="252" w:lineRule="auto"/>
            </w:pPr>
            <w:hyperlink r:id="rId11">
              <w:r>
                <w:rPr>
                  <w:rFonts w:ascii="Calibri" w:hAnsi="Calibri" w:cs="Calibri"/>
                  <w:sz w:val="18"/>
                  <w:color w:val="1155CC"/>
                  <w:u w:val="single"/>
                </w:rPr>
                <w:t xml:space="preserve">pubmed.ncbi.nlm.nih.gov/37147991</w:t>
              </w:r>
            </w:hyperlink>
          </w:p>
          <w:p>
            <w:pPr>
              <w:spacing w:before="60" w:after="40"/>
            </w:pPr>
            <w:r>
              <w:rPr>
                <w:rFonts w:ascii="Calibri" w:hAnsi="Calibri"/>
                <w:b w:val="0"/>
                <w:i w:val="0"/>
                <w:color w:val="5A5A5A"/>
                <w:sz w:val="18"/>
              </w:rPr>
              <w:t>#thirddecade  #histopathology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Ancestry</w:t>
            </w:r>
          </w:p>
        </w:tc>
        <w:tc>
          <w:tcPr>
            <w:tcW w:type="dxa" w:w="2160"/>
            <w:vAlign w:val="top"/>
          </w:tcPr>
          <w:p>
            <w:pPr>
              <w:spacing w:after="40" w:before="0" w:line="259" w:lineRule="auto"/>
            </w:pPr>
            <w:r>
              <w:rPr>
                <w:rFonts w:ascii="Calibri" w:hAnsi="Calibri"/>
                <w:b w:val="0"/>
                <w:i w:val="0"/>
                <w:color w:val="212121"/>
                <w:sz w:val="19"/>
              </w:rPr>
              <w:t>Women of African / Afro-Caribbean descent</w:t>
            </w:r>
          </w:p>
        </w:tc>
        <w:tc>
          <w:tcPr>
            <w:tcW w:type="dxa" w:w="4276"/>
            <w:vAlign w:val="top"/>
          </w:tcPr>
          <w:p>
            <w:pPr>
              <w:spacing w:after="60" w:line="259" w:lineRule="auto"/>
            </w:pPr>
            <w:r>
              <w:rPr>
                <w:rFonts w:ascii="Calibri" w:hAnsi="Calibri"/>
                <w:b w:val="0"/>
                <w:i w:val="0"/>
                <w:color w:val="212121"/>
                <w:sz w:val="19"/>
              </w:rPr>
              <w:t>Fibroadenoma, and its giant and juvenile variants, are reported more frequently and at younger ages in women of African ancestry.</w:t>
            </w:r>
          </w:p>
          <w:p>
            <w:pPr>
              <w:spacing w:after="40" w:before="60" w:line="259" w:lineRule="auto"/>
            </w:pPr>
            <w:r>
              <w:rPr>
                <w:rFonts w:ascii="Calibri" w:hAnsi="Calibri"/>
                <w:b w:val="0"/>
                <w:i w:val="0"/>
                <w:color w:val="212121"/>
                <w:sz w:val="19"/>
              </w:rPr>
              <w:t>A higher frequency of fibroadenoma, including large and juvenile forms, is described in this group.</w:t>
            </w:r>
          </w:p>
          <w:p>
            <w:pPr>
              <w:spacing w:before="60" w:after="40"/>
            </w:pPr>
            <w:r>
              <w:rPr>
                <w:rFonts w:ascii="Calibri" w:hAnsi="Calibri"/>
                <w:b w:val="0"/>
                <w:i w:val="0"/>
                <w:color w:val="5A5A5A"/>
                <w:sz w:val="18"/>
              </w:rPr>
              <w:t>#ancestry  #giantfibroadenoma  #juvenile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Exogenous hormones</w:t>
            </w:r>
          </w:p>
        </w:tc>
        <w:tc>
          <w:tcPr>
            <w:tcW w:type="dxa" w:w="2160"/>
            <w:vAlign w:val="top"/>
          </w:tcPr>
          <w:p>
            <w:pPr>
              <w:spacing w:after="40" w:before="0" w:line="259" w:lineRule="auto"/>
            </w:pPr>
            <w:r>
              <w:rPr>
                <w:rFonts w:ascii="Calibri" w:hAnsi="Calibri"/>
                <w:b w:val="0"/>
                <w:i w:val="0"/>
                <w:color w:val="212121"/>
                <w:sz w:val="19"/>
              </w:rPr>
              <w:t>Oral contraceptive use before age 20</w:t>
            </w:r>
          </w:p>
        </w:tc>
        <w:tc>
          <w:tcPr>
            <w:tcW w:type="dxa" w:w="4276"/>
            <w:vAlign w:val="top"/>
          </w:tcPr>
          <w:p>
            <w:pPr>
              <w:spacing w:after="60" w:line="259" w:lineRule="auto"/>
            </w:pPr>
            <w:r>
              <w:rPr>
                <w:rFonts w:ascii="Calibri" w:hAnsi="Calibri"/>
                <w:b w:val="0"/>
                <w:i w:val="0"/>
                <w:color w:val="212121"/>
                <w:sz w:val="19"/>
              </w:rPr>
              <w:t>Early exposure to combined oral contraceptives adds to endogenous oestrogen drive on hormone-sensitive lobular stroma.</w:t>
            </w:r>
          </w:p>
          <w:p>
            <w:pPr>
              <w:spacing w:after="40" w:before="60" w:line="259" w:lineRule="auto"/>
            </w:pPr>
            <w:r>
              <w:rPr>
                <w:rFonts w:ascii="Calibri" w:hAnsi="Calibri"/>
                <w:b w:val="0"/>
                <w:i w:val="0"/>
                <w:color w:val="212121"/>
                <w:sz w:val="19"/>
              </w:rPr>
              <w:t>Oral contraceptive use before the age of 20 correlates with a higher incidence of fibroadenoma.</w:t>
            </w:r>
          </w:p>
          <w:p>
            <w:pPr>
              <w:spacing w:after="40" w:line="252" w:lineRule="auto"/>
            </w:pPr>
            <w:hyperlink r:id="rId12">
              <w:r>
                <w:rPr>
                  <w:rFonts w:ascii="Calibri" w:hAnsi="Calibri" w:cs="Calibri"/>
                  <w:sz w:val="18"/>
                  <w:color w:val="1155CC"/>
                  <w:u w:val="single"/>
                </w:rPr>
                <w:t xml:space="preserve">ncbi.nlm.nih.gov — StatPearls: Fibroadenoma</w:t>
              </w:r>
            </w:hyperlink>
          </w:p>
          <w:p>
            <w:pPr>
              <w:spacing w:before="60" w:after="40"/>
            </w:pPr>
            <w:r>
              <w:rPr>
                <w:rFonts w:ascii="Calibri" w:hAnsi="Calibri"/>
                <w:b w:val="0"/>
                <w:i w:val="0"/>
                <w:color w:val="5A5A5A"/>
                <w:sz w:val="18"/>
              </w:rPr>
              <w:t>#oralcontraceptive  #earlyexposure  #estrogen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High-BMI women</w:t>
            </w:r>
          </w:p>
        </w:tc>
        <w:tc>
          <w:tcPr>
            <w:tcW w:type="dxa" w:w="4276"/>
            <w:vAlign w:val="top"/>
          </w:tcPr>
          <w:p>
            <w:pPr>
              <w:spacing w:after="60" w:line="259" w:lineRule="auto"/>
            </w:pPr>
            <w:r>
              <w:rPr>
                <w:rFonts w:ascii="Calibri" w:hAnsi="Calibri"/>
                <w:b w:val="0"/>
                <w:i w:val="0"/>
                <w:color w:val="212121"/>
                <w:sz w:val="19"/>
              </w:rPr>
              <w:t>Adipose tissue aromatises androgens to oestrogen, raising the circulating oestrogen that drives hormone-sensitive breast lesions and overall breast risk.</w:t>
            </w:r>
          </w:p>
          <w:p>
            <w:pPr>
              <w:spacing w:after="40" w:before="60" w:line="259" w:lineRule="auto"/>
            </w:pPr>
            <w:r>
              <w:rPr>
                <w:rFonts w:ascii="Calibri" w:hAnsi="Calibri"/>
                <w:b w:val="0"/>
                <w:i w:val="0"/>
                <w:color w:val="212121"/>
                <w:sz w:val="19"/>
              </w:rPr>
              <w:t>Higher body-mass index raises endogenous oestrogen and is weakly associated with benign breast disease.</w:t>
            </w:r>
          </w:p>
          <w:p>
            <w:pPr>
              <w:spacing w:before="60" w:after="40"/>
            </w:pPr>
            <w:r>
              <w:rPr>
                <w:rFonts w:ascii="Calibri" w:hAnsi="Calibri"/>
                <w:b w:val="0"/>
                <w:i w:val="0"/>
                <w:color w:val="5A5A5A"/>
                <w:sz w:val="18"/>
              </w:rPr>
              <w:t>#obesity  #aromatase  #estrogenexcess  #BMI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Women with regular alcohol intake</w:t>
            </w:r>
          </w:p>
        </w:tc>
        <w:tc>
          <w:tcPr>
            <w:tcW w:type="dxa" w:w="4276"/>
            <w:vAlign w:val="top"/>
          </w:tcPr>
          <w:p>
            <w:pPr>
              <w:spacing w:after="60" w:line="259" w:lineRule="auto"/>
            </w:pPr>
            <w:r>
              <w:rPr>
                <w:rFonts w:ascii="Calibri" w:hAnsi="Calibri"/>
                <w:b w:val="0"/>
                <w:i w:val="0"/>
                <w:color w:val="212121"/>
                <w:sz w:val="19"/>
              </w:rPr>
              <w:t>Alcohol raises endogenous oestrogen levels and is linked to benign proliferative breast disease and to breast-cancer risk; effect on fibroadenoma specifically is modest.</w:t>
            </w:r>
          </w:p>
          <w:p>
            <w:pPr>
              <w:spacing w:after="40" w:before="60" w:line="259" w:lineRule="auto"/>
            </w:pPr>
            <w:r>
              <w:rPr>
                <w:rFonts w:ascii="Calibri" w:hAnsi="Calibri"/>
                <w:b w:val="0"/>
                <w:i w:val="0"/>
                <w:color w:val="212121"/>
                <w:sz w:val="19"/>
              </w:rPr>
              <w:t>Even light-to-moderate alcohol intake increases circulating oestrogen and breast-cancer risk.</w:t>
            </w:r>
          </w:p>
          <w:p>
            <w:pPr>
              <w:spacing w:before="60" w:after="40"/>
            </w:pPr>
            <w:r>
              <w:rPr>
                <w:rFonts w:ascii="Calibri" w:hAnsi="Calibri"/>
                <w:b w:val="0"/>
                <w:i w:val="0"/>
                <w:color w:val="5A5A5A"/>
                <w:sz w:val="18"/>
              </w:rPr>
              <w:t>#alcohol  #estrogen  #proliferative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Young women who smoke</w:t>
            </w:r>
          </w:p>
        </w:tc>
        <w:tc>
          <w:tcPr>
            <w:tcW w:type="dxa" w:w="4276"/>
            <w:vAlign w:val="top"/>
          </w:tcPr>
          <w:p>
            <w:pPr>
              <w:spacing w:after="60" w:line="259" w:lineRule="auto"/>
            </w:pPr>
            <w:r>
              <w:rPr>
                <w:rFonts w:ascii="Calibri" w:hAnsi="Calibri"/>
                <w:b w:val="0"/>
                <w:i w:val="0"/>
                <w:color w:val="212121"/>
                <w:sz w:val="19"/>
              </w:rPr>
              <w:t>Smoking has been associated with benign breast disease and breast pain and raises overall breast-cancer risk, though the direct link to fibroadenoma is weak and inconsistent.</w:t>
            </w:r>
          </w:p>
          <w:p>
            <w:pPr>
              <w:spacing w:after="40" w:before="60" w:line="259" w:lineRule="auto"/>
            </w:pPr>
            <w:r>
              <w:rPr>
                <w:rFonts w:ascii="Calibri" w:hAnsi="Calibri"/>
                <w:b w:val="0"/>
                <w:i w:val="0"/>
                <w:color w:val="212121"/>
                <w:sz w:val="19"/>
              </w:rPr>
              <w:t>Smoking is associated with benign breast disease; a specific causal link to fibroadenoma is unproven.</w:t>
            </w:r>
          </w:p>
          <w:p>
            <w:pPr>
              <w:spacing w:before="60" w:after="40"/>
            </w:pPr>
            <w:r>
              <w:rPr>
                <w:rFonts w:ascii="Calibri" w:hAnsi="Calibri"/>
                <w:b w:val="0"/>
                <w:i w:val="0"/>
                <w:color w:val="5A5A5A"/>
                <w:sz w:val="18"/>
              </w:rPr>
              <w:t>#smoking  #benignbreastdisease  #weakevidence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High-fat, low-fibre Western-pattern diet</w:t>
            </w:r>
          </w:p>
        </w:tc>
        <w:tc>
          <w:tcPr>
            <w:tcW w:type="dxa" w:w="4276"/>
            <w:vAlign w:val="top"/>
          </w:tcPr>
          <w:p>
            <w:pPr>
              <w:spacing w:after="60" w:line="259" w:lineRule="auto"/>
            </w:pPr>
            <w:r>
              <w:rPr>
                <w:rFonts w:ascii="Calibri" w:hAnsi="Calibri"/>
                <w:b w:val="0"/>
                <w:i w:val="0"/>
                <w:color w:val="212121"/>
                <w:sz w:val="19"/>
              </w:rPr>
              <w:t>Low dietary fibre reduces faecal oestrogen excretion and raises circulating oestrogen, weakly favouring hormone-sensitive benign breast changes.</w:t>
            </w:r>
          </w:p>
          <w:p>
            <w:pPr>
              <w:spacing w:after="40" w:before="60" w:line="259" w:lineRule="auto"/>
            </w:pPr>
            <w:r>
              <w:rPr>
                <w:rFonts w:ascii="Calibri" w:hAnsi="Calibri"/>
                <w:b w:val="0"/>
                <w:i w:val="0"/>
                <w:color w:val="212121"/>
                <w:sz w:val="19"/>
              </w:rPr>
              <w:t>High-fat, low-fibre diets modestly raise circulating oestrogen linked to benign breast disease.</w:t>
            </w:r>
          </w:p>
          <w:p>
            <w:pPr>
              <w:spacing w:before="60" w:after="40"/>
            </w:pPr>
            <w:r>
              <w:rPr>
                <w:rFonts w:ascii="Calibri" w:hAnsi="Calibri"/>
                <w:b w:val="0"/>
                <w:i w:val="0"/>
                <w:color w:val="5A5A5A"/>
                <w:sz w:val="18"/>
              </w:rPr>
              <w:t>#highfat  #lowfibre  #estrogenmetabolism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 / methylxanthines</w:t>
            </w:r>
          </w:p>
        </w:tc>
        <w:tc>
          <w:tcPr>
            <w:tcW w:type="dxa" w:w="2160"/>
            <w:vAlign w:val="top"/>
          </w:tcPr>
          <w:p>
            <w:pPr>
              <w:spacing w:after="40" w:before="0" w:line="259" w:lineRule="auto"/>
            </w:pPr>
            <w:r>
              <w:rPr>
                <w:rFonts w:ascii="Calibri" w:hAnsi="Calibri"/>
                <w:b w:val="0"/>
                <w:i w:val="0"/>
                <w:color w:val="212121"/>
                <w:sz w:val="19"/>
              </w:rPr>
              <w:t>High caffeine consumers</w:t>
            </w:r>
          </w:p>
        </w:tc>
        <w:tc>
          <w:tcPr>
            <w:tcW w:type="dxa" w:w="4276"/>
            <w:vAlign w:val="top"/>
          </w:tcPr>
          <w:p>
            <w:pPr>
              <w:spacing w:after="60" w:line="259" w:lineRule="auto"/>
            </w:pPr>
            <w:r>
              <w:rPr>
                <w:rFonts w:ascii="Calibri" w:hAnsi="Calibri"/>
                <w:b w:val="0"/>
                <w:i w:val="0"/>
                <w:color w:val="212121"/>
                <w:sz w:val="19"/>
              </w:rPr>
              <w:t>Methylxanthines have historically been linked to fibrocystic and benign breast disease and to breast discomfort, though evidence for causing fibroadenoma is weak and inconsistent.</w:t>
            </w:r>
          </w:p>
          <w:p>
            <w:pPr>
              <w:spacing w:after="40" w:before="60" w:line="259" w:lineRule="auto"/>
            </w:pPr>
            <w:r>
              <w:rPr>
                <w:rFonts w:ascii="Calibri" w:hAnsi="Calibri"/>
                <w:b w:val="0"/>
                <w:i w:val="0"/>
                <w:color w:val="212121"/>
                <w:sz w:val="19"/>
              </w:rPr>
              <w:t>Reducing caffeine may ease benign breast discomfort in some women, but does not clearly prevent fibroadenoma.</w:t>
            </w:r>
          </w:p>
          <w:p>
            <w:pPr>
              <w:spacing w:before="60" w:after="40"/>
            </w:pPr>
            <w:r>
              <w:rPr>
                <w:rFonts w:ascii="Calibri" w:hAnsi="Calibri"/>
                <w:b w:val="0"/>
                <w:i w:val="0"/>
                <w:color w:val="5A5A5A"/>
                <w:sz w:val="18"/>
              </w:rPr>
              <w:t>#caffeine  #fibrocystic  #breastpain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breast disease / cancer</w:t>
            </w:r>
          </w:p>
        </w:tc>
        <w:tc>
          <w:tcPr>
            <w:tcW w:type="dxa" w:w="4276"/>
            <w:vAlign w:val="top"/>
          </w:tcPr>
          <w:p>
            <w:pPr>
              <w:spacing w:after="60" w:line="259" w:lineRule="auto"/>
            </w:pPr>
            <w:r>
              <w:rPr>
                <w:rFonts w:ascii="Calibri" w:hAnsi="Calibri"/>
                <w:b w:val="0"/>
                <w:i w:val="0"/>
                <w:color w:val="212121"/>
                <w:sz w:val="19"/>
              </w:rPr>
              <w:t>A family history increases the likelihood of fibroadenoma and, importantly, amplifies the cancer risk associated with a complex fibroadenoma.</w:t>
            </w:r>
          </w:p>
          <w:p>
            <w:pPr>
              <w:spacing w:after="40" w:before="60" w:line="259" w:lineRule="auto"/>
            </w:pPr>
            <w:r>
              <w:rPr>
                <w:rFonts w:ascii="Calibri" w:hAnsi="Calibri"/>
                <w:b w:val="0"/>
                <w:i w:val="0"/>
                <w:color w:val="212121"/>
                <w:sz w:val="19"/>
              </w:rPr>
              <w:t>Women with a family history of breast cancer in whom a complex fibroadenoma was diagnosed had a relative risk of invasive breast cancer of 3.72 (Dupont &amp; Page).</w:t>
            </w:r>
          </w:p>
          <w:p>
            <w:pPr>
              <w:spacing w:after="40" w:line="252" w:lineRule="auto"/>
            </w:pPr>
            <w:hyperlink r:id="rId13">
              <w:r>
                <w:rPr>
                  <w:rFonts w:ascii="Calibri" w:hAnsi="Calibri" w:cs="Calibri"/>
                  <w:sz w:val="18"/>
                  <w:color w:val="1155CC"/>
                  <w:u w:val="single"/>
                </w:rPr>
                <w:t xml:space="preserve">pubmed.ncbi.nlm.nih.gov/8202095</w:t>
              </w:r>
            </w:hyperlink>
          </w:p>
          <w:p>
            <w:pPr>
              <w:spacing w:before="60" w:after="40"/>
            </w:pPr>
            <w:r>
              <w:rPr>
                <w:rFonts w:ascii="Calibri" w:hAnsi="Calibri"/>
                <w:b w:val="0"/>
                <w:i w:val="0"/>
                <w:color w:val="5A5A5A"/>
                <w:sz w:val="18"/>
              </w:rPr>
              <w:t>#familyhistory  #complexfibroadenoma  #riskmodifier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Somatic mutation</w:t>
            </w:r>
          </w:p>
        </w:tc>
        <w:tc>
          <w:tcPr>
            <w:tcW w:type="dxa" w:w="2160"/>
            <w:vAlign w:val="top"/>
          </w:tcPr>
          <w:p>
            <w:pPr>
              <w:spacing w:after="40" w:before="0" w:line="259" w:lineRule="auto"/>
            </w:pPr>
            <w:r>
              <w:rPr>
                <w:rFonts w:ascii="Calibri" w:hAnsi="Calibri"/>
                <w:b w:val="0"/>
                <w:i w:val="0"/>
                <w:color w:val="212121"/>
                <w:sz w:val="19"/>
              </w:rPr>
              <w:t>Stromal MED12 mutation carriers</w:t>
            </w:r>
          </w:p>
        </w:tc>
        <w:tc>
          <w:tcPr>
            <w:tcW w:type="dxa" w:w="4276"/>
            <w:vAlign w:val="top"/>
          </w:tcPr>
          <w:p>
            <w:pPr>
              <w:spacing w:after="60" w:line="259" w:lineRule="auto"/>
            </w:pPr>
            <w:r>
              <w:rPr>
                <w:rFonts w:ascii="Calibri" w:hAnsi="Calibri"/>
                <w:b w:val="0"/>
                <w:i w:val="0"/>
                <w:color w:val="212121"/>
                <w:sz w:val="19"/>
              </w:rPr>
              <w:t>Recurrent somatic MED12 mutations in the stromal cells drive the benign biphasic proliferation of fibroadenoma and are shared with some phyllodes tumours.</w:t>
            </w:r>
          </w:p>
          <w:p>
            <w:pPr>
              <w:spacing w:after="40" w:before="60" w:line="259" w:lineRule="auto"/>
            </w:pPr>
            <w:r>
              <w:rPr>
                <w:rFonts w:ascii="Calibri" w:hAnsi="Calibri"/>
                <w:b w:val="0"/>
                <w:i w:val="0"/>
                <w:color w:val="212121"/>
                <w:sz w:val="19"/>
              </w:rPr>
              <w:t>MED12 mutations are detectable in the stroma of the majority of fibroadenomas.</w:t>
            </w:r>
          </w:p>
          <w:p>
            <w:pPr>
              <w:spacing w:before="60" w:after="40"/>
            </w:pPr>
            <w:r>
              <w:rPr>
                <w:rFonts w:ascii="Calibri" w:hAnsi="Calibri"/>
                <w:b w:val="0"/>
                <w:i w:val="0"/>
                <w:color w:val="5A5A5A"/>
                <w:sz w:val="18"/>
              </w:rPr>
              <w:t>#MED12  #stroma  #fibroepithelial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Complex fibroadenoma / proliferative disease</w:t>
            </w:r>
          </w:p>
        </w:tc>
        <w:tc>
          <w:tcPr>
            <w:tcW w:type="dxa" w:w="2160"/>
            <w:vAlign w:val="top"/>
          </w:tcPr>
          <w:p>
            <w:pPr>
              <w:spacing w:after="40" w:before="0" w:line="259" w:lineRule="auto"/>
            </w:pPr>
            <w:r>
              <w:rPr>
                <w:rFonts w:ascii="Calibri" w:hAnsi="Calibri"/>
                <w:b w:val="0"/>
                <w:i w:val="0"/>
                <w:color w:val="212121"/>
                <w:sz w:val="19"/>
              </w:rPr>
              <w:t>Women with complex fibroadenoma or adjacent proliferative change</w:t>
            </w:r>
          </w:p>
        </w:tc>
        <w:tc>
          <w:tcPr>
            <w:tcW w:type="dxa" w:w="4276"/>
            <w:vAlign w:val="top"/>
          </w:tcPr>
          <w:p>
            <w:pPr>
              <w:spacing w:after="60" w:line="259" w:lineRule="auto"/>
            </w:pPr>
            <w:r>
              <w:rPr>
                <w:rFonts w:ascii="Calibri" w:hAnsi="Calibri"/>
                <w:b w:val="0"/>
                <w:i w:val="0"/>
                <w:color w:val="212121"/>
                <w:sz w:val="19"/>
              </w:rPr>
              <w:t>Complex histological features and proliferative disease in the surrounding parenchyma mark a subgroup with a modest but real increase in long-term breast-cancer risk.</w:t>
            </w:r>
          </w:p>
          <w:p>
            <w:pPr>
              <w:spacing w:after="40" w:before="60" w:line="259" w:lineRule="auto"/>
            </w:pPr>
            <w:r>
              <w:rPr>
                <w:rFonts w:ascii="Calibri" w:hAnsi="Calibri"/>
                <w:b w:val="0"/>
                <w:i w:val="0"/>
                <w:color w:val="212121"/>
                <w:sz w:val="19"/>
              </w:rPr>
              <w:t>Relative risk of invasive breast cancer rose to 3.10 with complex fibroadenoma and 3.88 when adjacent proliferative disease was present, versus 2.17 for fibroadenoma overall (Dupont &amp; Page).</w:t>
            </w:r>
          </w:p>
          <w:p>
            <w:pPr>
              <w:spacing w:after="40" w:line="252" w:lineRule="auto"/>
            </w:pPr>
            <w:hyperlink r:id="rId13">
              <w:r>
                <w:rPr>
                  <w:rFonts w:ascii="Calibri" w:hAnsi="Calibri" w:cs="Calibri"/>
                  <w:sz w:val="18"/>
                  <w:color w:val="1155CC"/>
                  <w:u w:val="single"/>
                </w:rPr>
                <w:t xml:space="preserve">pubmed.ncbi.nlm.nih.gov/8202095</w:t>
              </w:r>
            </w:hyperlink>
          </w:p>
          <w:p>
            <w:pPr>
              <w:spacing w:before="60" w:after="40"/>
            </w:pPr>
            <w:r>
              <w:rPr>
                <w:rFonts w:ascii="Calibri" w:hAnsi="Calibri"/>
                <w:b w:val="0"/>
                <w:i w:val="0"/>
                <w:color w:val="5A5A5A"/>
                <w:sz w:val="18"/>
              </w:rPr>
              <w:t>#complexfibroadenoma  #proliferative  #cancerrisk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Phyllodes tumour (key differential)</w:t>
            </w:r>
          </w:p>
        </w:tc>
        <w:tc>
          <w:tcPr>
            <w:tcW w:type="dxa" w:w="2160"/>
            <w:vAlign w:val="top"/>
          </w:tcPr>
          <w:p>
            <w:pPr>
              <w:spacing w:after="40" w:before="0" w:line="259" w:lineRule="auto"/>
            </w:pPr>
            <w:r>
              <w:rPr>
                <w:rFonts w:ascii="Calibri" w:hAnsi="Calibri"/>
                <w:b w:val="0"/>
                <w:i w:val="0"/>
                <w:color w:val="212121"/>
                <w:sz w:val="19"/>
              </w:rPr>
              <w:t>Women with a rapidly growing fibroepithelial lesion</w:t>
            </w:r>
          </w:p>
        </w:tc>
        <w:tc>
          <w:tcPr>
            <w:tcW w:type="dxa" w:w="4276"/>
            <w:vAlign w:val="top"/>
          </w:tcPr>
          <w:p>
            <w:pPr>
              <w:spacing w:after="60" w:line="259" w:lineRule="auto"/>
            </w:pPr>
            <w:r>
              <w:rPr>
                <w:rFonts w:ascii="Calibri" w:hAnsi="Calibri"/>
                <w:b w:val="0"/>
                <w:i w:val="0"/>
                <w:color w:val="212121"/>
                <w:sz w:val="19"/>
              </w:rPr>
              <w:t>Phyllodes tumours share fibroepithelial histology with fibroadenoma but can be borderline or malignant; a rapidly enlarging or large lesion must be core-biopsied and usually excised with a margin.</w:t>
            </w:r>
          </w:p>
          <w:p>
            <w:pPr>
              <w:spacing w:after="40" w:before="60" w:line="259" w:lineRule="auto"/>
            </w:pPr>
            <w:r>
              <w:rPr>
                <w:rFonts w:ascii="Calibri" w:hAnsi="Calibri"/>
                <w:b w:val="0"/>
                <w:i w:val="0"/>
                <w:color w:val="212121"/>
                <w:sz w:val="19"/>
              </w:rPr>
              <w:t>Distinguishing phyllodes from fibroadenoma is a central aim of core-needle biopsy, as FNAC cannot reliably separate them.</w:t>
            </w:r>
          </w:p>
          <w:p>
            <w:pPr>
              <w:spacing w:before="60" w:after="40"/>
            </w:pPr>
            <w:r>
              <w:rPr>
                <w:rFonts w:ascii="Calibri" w:hAnsi="Calibri"/>
                <w:b w:val="0"/>
                <w:i w:val="0"/>
                <w:color w:val="5A5A5A"/>
                <w:sz w:val="18"/>
              </w:rPr>
              <w:t>#phyllodes  #rapidgrowth  #corebiopsy  #differential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Transplant recipients on ciclosporin</w:t>
            </w:r>
          </w:p>
        </w:tc>
        <w:tc>
          <w:tcPr>
            <w:tcW w:type="dxa" w:w="4276"/>
            <w:vAlign w:val="top"/>
          </w:tcPr>
          <w:p>
            <w:pPr>
              <w:spacing w:after="60" w:line="259" w:lineRule="auto"/>
            </w:pPr>
            <w:r>
              <w:rPr>
                <w:rFonts w:ascii="Calibri" w:hAnsi="Calibri"/>
                <w:b w:val="0"/>
                <w:i w:val="0"/>
                <w:color w:val="212121"/>
                <w:sz w:val="19"/>
              </w:rPr>
              <w:t>Ciclosporin-based immunosuppression is associated with the development of multiple and often bilateral fibroadenomas.</w:t>
            </w:r>
          </w:p>
          <w:p>
            <w:pPr>
              <w:spacing w:after="40" w:before="60" w:line="259" w:lineRule="auto"/>
            </w:pPr>
            <w:r>
              <w:rPr>
                <w:rFonts w:ascii="Calibri" w:hAnsi="Calibri"/>
                <w:b w:val="0"/>
                <w:i w:val="0"/>
                <w:color w:val="212121"/>
                <w:sz w:val="19"/>
              </w:rPr>
              <w:t>Multiple/bilateral fibroadenomas are a recognised association of ciclosporin therapy after transplantation.</w:t>
            </w:r>
          </w:p>
          <w:p>
            <w:pPr>
              <w:spacing w:before="60" w:after="40"/>
            </w:pPr>
            <w:r>
              <w:rPr>
                <w:rFonts w:ascii="Calibri" w:hAnsi="Calibri"/>
                <w:b w:val="0"/>
                <w:i w:val="0"/>
                <w:color w:val="5A5A5A"/>
                <w:sz w:val="18"/>
              </w:rPr>
              <w:t>#ciclosporin  #transplant  #multiplefibroadenomas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and higher body fat raise circulating oestrogen through adipose aromatisation, which weakly favours hormone-sensitive benign breast disease and raises overall breast-cancer risk; there is no strong evidence that exercise prevents fibroadenoma itself.</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High-fat, low-fibre Western-pattern diets modestly increase circulating oestrogen and are weakly associated with benign breast disease; no diet is proven to cause or prevent fibroadenoma.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Circadian disruption (e.g., chronic short sleep, shift work) can alter reproductive-hormone rhythms, but a direct link to fibroadenoma is not established and evidence is minimal.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associated with benign breast disease and breast pain and raises overall breast-cancer risk, but a specific causal link to fibroadenoma is weak and inconsistent.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raises endogenous oestrogen and is linked to benign proliferative breast disease and breast cancer; its specific effect on fibroadenoma is modest.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does not cause fibroadenoma, but discovering a breast lump commonly triggers anxiety; anxiety and depression are prevalent among women with benign breast disease, and clear benign reassurance markedly relieves distress.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hydration and fibroadenoma.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Caffeine/methylxanthines have historically been linked to fibrocystic and benign breast disease and to breast discomfort; the evidence for causing fibroadenoma is weak and inconsistent.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breast hygiene has no known role in the development of fibroadenoma.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Hormonal states clearly modulate fibroadenoma size: pregnancy, lactation, exogenous oestrogen/oral contraceptives and hormone therapy can enlarge lesions, which often stabilise or regress once the hormonal stimulus falls (e.g., after menopause).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has no relationship to fibroadenoma.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Higher BMI raises adipose-derived oestrogen that drives hormone-sensitive breast tissue and overall breast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&lt; 80 cm</w:t>
            </w:r>
          </w:p>
        </w:tc>
        <w:tc>
          <w:tcPr>
            <w:tcW w:type="dxa" w:w="1512"/>
            <w:vAlign w:val="top"/>
          </w:tcPr>
          <w:p>
            <w:pPr>
              <w:spacing w:after="40" w:before="0" w:line="259" w:lineRule="auto"/>
            </w:pPr>
            <w:r>
              <w:rPr>
                <w:rFonts w:ascii="Calibri" w:hAnsi="Calibri"/>
                <w:b w:val="0"/>
                <w:i w:val="0"/>
                <w:color w:val="212121"/>
                <w:sz w:val="19"/>
              </w:rPr>
              <w:t>&gt;= 80 cm</w:t>
            </w:r>
          </w:p>
        </w:tc>
        <w:tc>
          <w:tcPr>
            <w:tcW w:type="dxa" w:w="1468"/>
            <w:vAlign w:val="top"/>
          </w:tcPr>
          <w:p>
            <w:pPr>
              <w:spacing w:after="40" w:before="0" w:line="259" w:lineRule="auto"/>
            </w:pPr>
            <w:r>
              <w:rPr>
                <w:rFonts w:ascii="Calibri" w:hAnsi="Calibri"/>
                <w:b w:val="0"/>
                <w:i w:val="0"/>
                <w:color w:val="212121"/>
                <w:sz w:val="19"/>
              </w:rPr>
              <w:t>Central adiposity is a marker of higher endogenous oestrogen exposure.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w:t>
            </w:r>
          </w:p>
        </w:tc>
        <w:tc>
          <w:tcPr>
            <w:tcW w:type="dxa" w:w="1655"/>
            <w:vAlign w:val="top"/>
          </w:tcPr>
          <w:p>
            <w:pPr>
              <w:spacing w:after="40" w:before="0" w:line="259" w:lineRule="auto"/>
            </w:pPr>
            <w:r>
              <w:rPr>
                <w:rFonts w:ascii="Calibri" w:hAnsi="Calibri"/>
                <w:b w:val="0"/>
                <w:i w:val="0"/>
                <w:color w:val="212121"/>
                <w:sz w:val="19"/>
              </w:rPr>
              <w:t>All women</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lowers lifetime breast-cancer risk (not fibroadenoma per se).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25–30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40" w:before="0" w:line="259" w:lineRule="auto"/>
            </w:pPr>
            <w:r>
              <w:rPr>
                <w:rFonts w:ascii="Calibri" w:hAnsi="Calibri"/>
                <w:b w:val="0"/>
                <w:i w:val="0"/>
                <w:color w:val="212121"/>
                <w:sz w:val="19"/>
              </w:rPr>
              <w:t>Low fibre reduces faecal oestrogen excretion and raises circulating oestrogen.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0 (none) – minimal</w:t>
            </w:r>
          </w:p>
        </w:tc>
        <w:tc>
          <w:tcPr>
            <w:tcW w:type="dxa" w:w="1512"/>
            <w:vAlign w:val="top"/>
          </w:tcPr>
          <w:p>
            <w:pPr>
              <w:spacing w:after="40" w:before="0" w:line="259" w:lineRule="auto"/>
            </w:pPr>
            <w:r>
              <w:rPr>
                <w:rFonts w:ascii="Calibri" w:hAnsi="Calibri"/>
                <w:b w:val="0"/>
                <w:i w:val="0"/>
                <w:color w:val="212121"/>
                <w:sz w:val="19"/>
              </w:rPr>
              <w:t>Any regular intake</w:t>
            </w:r>
          </w:p>
        </w:tc>
        <w:tc>
          <w:tcPr>
            <w:tcW w:type="dxa" w:w="1468"/>
            <w:vAlign w:val="top"/>
          </w:tcPr>
          <w:p>
            <w:pPr>
              <w:spacing w:after="40" w:before="0" w:line="259" w:lineRule="auto"/>
            </w:pPr>
            <w:r>
              <w:rPr>
                <w:rFonts w:ascii="Calibri" w:hAnsi="Calibri"/>
                <w:b w:val="0"/>
                <w:i w:val="0"/>
                <w:color w:val="212121"/>
                <w:sz w:val="19"/>
              </w:rPr>
              <w:t>Even light drinking raises oestrogen and breast-cancer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women</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&gt;= 1/day</w:t>
            </w:r>
          </w:p>
        </w:tc>
        <w:tc>
          <w:tcPr>
            <w:tcW w:type="dxa" w:w="1468"/>
            <w:vAlign w:val="top"/>
          </w:tcPr>
          <w:p>
            <w:pPr>
              <w:spacing w:after="40" w:before="0" w:line="259" w:lineRule="auto"/>
            </w:pPr>
            <w:r>
              <w:rPr>
                <w:rFonts w:ascii="Calibri" w:hAnsi="Calibri"/>
                <w:b w:val="0"/>
                <w:i w:val="0"/>
                <w:color w:val="212121"/>
                <w:sz w:val="19"/>
              </w:rPr>
              <w:t>Smoking is associated with benign breast disease and raises overall breast risk.</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w:t>
            </w:r>
          </w:p>
        </w:tc>
        <w:tc>
          <w:tcPr>
            <w:tcW w:type="dxa" w:w="1655"/>
            <w:vAlign w:val="top"/>
          </w:tcPr>
          <w:p>
            <w:pPr>
              <w:spacing w:after="40" w:before="0" w:line="259" w:lineRule="auto"/>
            </w:pPr>
            <w:r>
              <w:rPr>
                <w:rFonts w:ascii="Calibri" w:hAnsi="Calibri"/>
                <w:b w:val="0"/>
                <w:i w:val="0"/>
                <w:color w:val="212121"/>
                <w:sz w:val="19"/>
              </w:rPr>
              <w:t>Women with breast discomfort</w:t>
            </w:r>
          </w:p>
        </w:tc>
        <w:tc>
          <w:tcPr>
            <w:tcW w:type="dxa" w:w="1512"/>
            <w:vAlign w:val="top"/>
          </w:tcPr>
          <w:p>
            <w:pPr>
              <w:spacing w:after="40" w:before="0" w:line="259" w:lineRule="auto"/>
            </w:pPr>
            <w:r>
              <w:rPr>
                <w:rFonts w:ascii="Calibri" w:hAnsi="Calibri"/>
                <w:b w:val="0"/>
                <w:i w:val="0"/>
                <w:color w:val="212121"/>
                <w:sz w:val="19"/>
              </w:rPr>
              <w:t>&lt; 200–300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Reducing caffeine may ease benign breast discomfort in some women.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Age at first oral-contraceptive use</w:t>
            </w:r>
          </w:p>
        </w:tc>
        <w:tc>
          <w:tcPr>
            <w:tcW w:type="dxa" w:w="1655"/>
            <w:vAlign w:val="top"/>
          </w:tcPr>
          <w:p>
            <w:pPr>
              <w:spacing w:after="40" w:before="0" w:line="259" w:lineRule="auto"/>
            </w:pPr>
            <w:r>
              <w:rPr>
                <w:rFonts w:ascii="Calibri" w:hAnsi="Calibri"/>
                <w:b w:val="0"/>
                <w:i w:val="0"/>
                <w:color w:val="212121"/>
                <w:sz w:val="19"/>
              </w:rPr>
              <w:t>Young women</w:t>
            </w:r>
          </w:p>
        </w:tc>
        <w:tc>
          <w:tcPr>
            <w:tcW w:type="dxa" w:w="1512"/>
            <w:vAlign w:val="top"/>
          </w:tcPr>
          <w:p>
            <w:pPr>
              <w:spacing w:after="40" w:before="0" w:line="259" w:lineRule="auto"/>
            </w:pPr>
            <w:r>
              <w:rPr>
                <w:rFonts w:ascii="Calibri" w:hAnsi="Calibri"/>
                <w:b w:val="0"/>
                <w:i w:val="0"/>
                <w:color w:val="212121"/>
                <w:sz w:val="19"/>
              </w:rPr>
              <w:t>After age 20</w:t>
            </w:r>
          </w:p>
        </w:tc>
        <w:tc>
          <w:tcPr>
            <w:tcW w:type="dxa" w:w="1512"/>
            <w:vAlign w:val="top"/>
          </w:tcPr>
          <w:p>
            <w:pPr>
              <w:spacing w:after="40" w:before="0" w:line="259" w:lineRule="auto"/>
            </w:pPr>
            <w:r>
              <w:rPr>
                <w:rFonts w:ascii="Calibri" w:hAnsi="Calibri"/>
                <w:b w:val="0"/>
                <w:i w:val="0"/>
                <w:color w:val="212121"/>
                <w:sz w:val="19"/>
              </w:rPr>
              <w:t>Before age 20</w:t>
            </w:r>
          </w:p>
        </w:tc>
        <w:tc>
          <w:tcPr>
            <w:tcW w:type="dxa" w:w="1468"/>
            <w:vAlign w:val="top"/>
          </w:tcPr>
          <w:p>
            <w:pPr>
              <w:spacing w:after="60" w:line="259" w:lineRule="auto"/>
            </w:pPr>
            <w:r>
              <w:rPr>
                <w:rFonts w:ascii="Calibri" w:hAnsi="Calibri"/>
                <w:b w:val="0"/>
                <w:i w:val="0"/>
                <w:color w:val="212121"/>
                <w:sz w:val="19"/>
              </w:rPr>
              <w:t>Early OCP use correlates with higher fibroadenoma incidence.</w:t>
            </w:r>
          </w:p>
          <w:p>
            <w:pPr>
              <w:spacing w:after="40" w:line="252" w:lineRule="auto"/>
            </w:pPr>
            <w:hyperlink r:id="rId12">
              <w:r>
                <w:rPr>
                  <w:rFonts w:ascii="Calibri" w:hAnsi="Calibri" w:cs="Calibri"/>
                  <w:sz w:val="18"/>
                  <w:color w:val="1155CC"/>
                  <w:u w:val="single"/>
                </w:rPr>
                <w:t xml:space="preserve">https://www.ncbi.nlm.nih.gov/books/NBK535345/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Lump size / interval growth on ultrasound</w:t>
            </w:r>
          </w:p>
        </w:tc>
        <w:tc>
          <w:tcPr>
            <w:tcW w:type="dxa" w:w="1655"/>
            <w:vAlign w:val="top"/>
          </w:tcPr>
          <w:p>
            <w:pPr>
              <w:spacing w:after="40" w:before="0" w:line="259" w:lineRule="auto"/>
            </w:pPr>
            <w:r>
              <w:rPr>
                <w:rFonts w:ascii="Calibri" w:hAnsi="Calibri"/>
                <w:b w:val="0"/>
                <w:i w:val="0"/>
                <w:color w:val="212121"/>
                <w:sz w:val="19"/>
              </w:rPr>
              <w:t>Women under observation</w:t>
            </w:r>
          </w:p>
        </w:tc>
        <w:tc>
          <w:tcPr>
            <w:tcW w:type="dxa" w:w="1512"/>
            <w:vAlign w:val="top"/>
          </w:tcPr>
          <w:p>
            <w:pPr>
              <w:spacing w:after="40" w:before="0" w:line="259" w:lineRule="auto"/>
            </w:pPr>
            <w:r>
              <w:rPr>
                <w:rFonts w:ascii="Calibri" w:hAnsi="Calibri"/>
                <w:b w:val="0"/>
                <w:i w:val="0"/>
                <w:color w:val="212121"/>
                <w:sz w:val="19"/>
              </w:rPr>
              <w:t>Stable, &lt; 2–3 cm</w:t>
            </w:r>
          </w:p>
        </w:tc>
        <w:tc>
          <w:tcPr>
            <w:tcW w:type="dxa" w:w="1512"/>
            <w:vAlign w:val="top"/>
          </w:tcPr>
          <w:p>
            <w:pPr>
              <w:spacing w:after="40" w:before="0" w:line="259" w:lineRule="auto"/>
            </w:pPr>
            <w:r>
              <w:rPr>
                <w:rFonts w:ascii="Calibri" w:hAnsi="Calibri"/>
                <w:b w:val="0"/>
                <w:i w:val="0"/>
                <w:color w:val="212121"/>
                <w:sz w:val="19"/>
              </w:rPr>
              <w:t>&gt; 3 cm or documented rapid growth</w:t>
            </w:r>
          </w:p>
        </w:tc>
        <w:tc>
          <w:tcPr>
            <w:tcW w:type="dxa" w:w="1468"/>
            <w:vAlign w:val="top"/>
          </w:tcPr>
          <w:p>
            <w:pPr>
              <w:spacing w:after="60" w:line="259" w:lineRule="auto"/>
            </w:pPr>
            <w:r>
              <w:rPr>
                <w:rFonts w:ascii="Calibri" w:hAnsi="Calibri"/>
                <w:b w:val="0"/>
                <w:i w:val="0"/>
                <w:color w:val="212121"/>
                <w:sz w:val="19"/>
              </w:rPr>
              <w:t>Growth or size beyond ~2–3 cm prompts biopsy/excision and reconsideration of phyllodes.</w:t>
            </w:r>
          </w:p>
          <w:p>
            <w:pPr>
              <w:spacing w:after="40" w:line="252" w:lineRule="auto"/>
            </w:pPr>
            <w:hyperlink r:id="rId12">
              <w:r>
                <w:rPr>
                  <w:rFonts w:ascii="Calibri" w:hAnsi="Calibri" w:cs="Calibri"/>
                  <w:sz w:val="18"/>
                  <w:color w:val="1155CC"/>
                  <w:u w:val="single"/>
                </w:rPr>
                <w:t xml:space="preserve">https://www.ncbi.nlm.nih.gov/books/NBK535345/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presentation of a new discrete lump</w:t>
            </w:r>
          </w:p>
        </w:tc>
        <w:tc>
          <w:tcPr>
            <w:tcW w:type="dxa" w:w="1655"/>
            <w:vAlign w:val="top"/>
          </w:tcPr>
          <w:p>
            <w:pPr>
              <w:spacing w:after="40" w:before="0" w:line="259" w:lineRule="auto"/>
            </w:pPr>
            <w:r>
              <w:rPr>
                <w:rFonts w:ascii="Calibri" w:hAnsi="Calibri"/>
                <w:b w:val="0"/>
                <w:i w:val="0"/>
                <w:color w:val="212121"/>
                <w:sz w:val="19"/>
              </w:rPr>
              <w:t>Women with a breast lump</w:t>
            </w:r>
          </w:p>
        </w:tc>
        <w:tc>
          <w:tcPr>
            <w:tcW w:type="dxa" w:w="1512"/>
            <w:vAlign w:val="top"/>
          </w:tcPr>
          <w:p>
            <w:pPr>
              <w:spacing w:after="40" w:before="0" w:line="259" w:lineRule="auto"/>
            </w:pPr>
            <w:r>
              <w:rPr>
                <w:rFonts w:ascii="Calibri" w:hAnsi="Calibri"/>
                <w:b w:val="0"/>
                <w:i w:val="0"/>
                <w:color w:val="212121"/>
                <w:sz w:val="19"/>
              </w:rPr>
              <w:t>Ultrasound-led work-up &lt; 35 yrs</w:t>
            </w:r>
          </w:p>
        </w:tc>
        <w:tc>
          <w:tcPr>
            <w:tcW w:type="dxa" w:w="1512"/>
            <w:vAlign w:val="top"/>
          </w:tcPr>
          <w:p>
            <w:pPr>
              <w:spacing w:after="40" w:before="0" w:line="259" w:lineRule="auto"/>
            </w:pPr>
            <w:r>
              <w:rPr>
                <w:rFonts w:ascii="Calibri" w:hAnsi="Calibri"/>
                <w:b w:val="0"/>
                <w:i w:val="0"/>
                <w:color w:val="212121"/>
                <w:sz w:val="19"/>
              </w:rPr>
              <w:t>New discrete lump &gt;= 35 yrs (add mammography)</w:t>
            </w:r>
          </w:p>
        </w:tc>
        <w:tc>
          <w:tcPr>
            <w:tcW w:type="dxa" w:w="1468"/>
            <w:vAlign w:val="top"/>
          </w:tcPr>
          <w:p>
            <w:pPr>
              <w:spacing w:after="40" w:before="0" w:line="259" w:lineRule="auto"/>
            </w:pPr>
            <w:r>
              <w:rPr>
                <w:rFonts w:ascii="Calibri" w:hAnsi="Calibri"/>
                <w:b w:val="0"/>
                <w:i w:val="0"/>
                <w:color w:val="212121"/>
                <w:sz w:val="19"/>
              </w:rPr>
              <w:t>A new lump after 35 warrants mammography and biopsy to exclude malignancy.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 score (e.g., GAD-7)</w:t>
            </w:r>
          </w:p>
        </w:tc>
        <w:tc>
          <w:tcPr>
            <w:tcW w:type="dxa" w:w="1655"/>
            <w:vAlign w:val="top"/>
          </w:tcPr>
          <w:p>
            <w:pPr>
              <w:spacing w:after="40" w:before="0" w:line="259" w:lineRule="auto"/>
            </w:pPr>
            <w:r>
              <w:rPr>
                <w:rFonts w:ascii="Calibri" w:hAnsi="Calibri"/>
                <w:b w:val="0"/>
                <w:i w:val="0"/>
                <w:color w:val="212121"/>
                <w:sz w:val="19"/>
              </w:rPr>
              <w:t>Women newly diagnosed with a breast lump</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(moderate-severe)</w:t>
            </w:r>
          </w:p>
        </w:tc>
        <w:tc>
          <w:tcPr>
            <w:tcW w:type="dxa" w:w="1468"/>
            <w:vAlign w:val="top"/>
          </w:tcPr>
          <w:p>
            <w:pPr>
              <w:spacing w:after="60" w:line="259" w:lineRule="auto"/>
            </w:pPr>
            <w:r>
              <w:rPr>
                <w:rFonts w:ascii="Calibri" w:hAnsi="Calibri"/>
                <w:b w:val="0"/>
                <w:i w:val="0"/>
                <w:color w:val="212121"/>
                <w:sz w:val="19"/>
              </w:rPr>
              <w:t>Anxiety and depression are prevalent in benign breast disease; benign reassurance relieves distress.</w:t>
            </w:r>
          </w:p>
          <w:p>
            <w:pPr>
              <w:spacing w:after="40" w:line="252" w:lineRule="auto"/>
            </w:pPr>
            <w:hyperlink r:id="rId14">
              <w:r>
                <w:rPr>
                  <w:rFonts w:ascii="Calibri" w:hAnsi="Calibri" w:cs="Calibri"/>
                  <w:sz w:val="18"/>
                  <w:color w:val="1155CC"/>
                  <w:u w:val="single"/>
                </w:rPr>
                <w:t xml:space="preserve">https://pubmed.ncbi.nlm.nih.gov/33767560/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Breast mass morphology</w:t>
            </w:r>
          </w:p>
        </w:tc>
        <w:tc>
          <w:tcPr>
            <w:tcW w:type="dxa" w:w="892"/>
            <w:vAlign w:val="top"/>
          </w:tcPr>
          <w:p>
            <w:pPr>
              <w:spacing w:after="40" w:before="0" w:line="259" w:lineRule="auto"/>
            </w:pPr>
            <w:r>
              <w:rPr>
                <w:rFonts w:ascii="Calibri" w:hAnsi="Calibri"/>
                <w:b w:val="0"/>
                <w:i w:val="0"/>
                <w:color w:val="212121"/>
                <w:sz w:val="16"/>
              </w:rPr>
              <w:t>Breast Ultrasound (USG)</w:t>
            </w:r>
          </w:p>
        </w:tc>
        <w:tc>
          <w:tcPr>
            <w:tcW w:type="dxa" w:w="950"/>
            <w:vAlign w:val="top"/>
          </w:tcPr>
          <w:p>
            <w:pPr>
              <w:spacing w:after="40" w:before="0" w:line="259" w:lineRule="auto"/>
            </w:pPr>
            <w:r>
              <w:rPr>
                <w:rFonts w:ascii="Calibri" w:hAnsi="Calibri"/>
                <w:b w:val="0"/>
                <w:i w:val="0"/>
                <w:color w:val="212121"/>
                <w:sz w:val="16"/>
              </w:rPr>
              <w:t>No discrete mass; normal fibroglandular pattern</w:t>
            </w:r>
          </w:p>
        </w:tc>
        <w:tc>
          <w:tcPr>
            <w:tcW w:type="dxa" w:w="950"/>
            <w:vAlign w:val="top"/>
          </w:tcPr>
          <w:p>
            <w:pPr>
              <w:spacing w:after="40" w:before="0" w:line="259" w:lineRule="auto"/>
            </w:pPr>
            <w:r>
              <w:rPr>
                <w:rFonts w:ascii="Calibri" w:hAnsi="Calibri"/>
                <w:b w:val="0"/>
                <w:i w:val="0"/>
                <w:color w:val="212121"/>
                <w:sz w:val="16"/>
              </w:rPr>
              <w:t>Well-circumscribed, oval, homogeneously hypoechoic, parallel mass; BI-RADS 3</w:t>
            </w:r>
          </w:p>
        </w:tc>
        <w:tc>
          <w:tcPr>
            <w:tcW w:type="dxa" w:w="1036"/>
            <w:vAlign w:val="top"/>
          </w:tcPr>
          <w:p>
            <w:pPr>
              <w:spacing w:after="40" w:before="0" w:line="259" w:lineRule="auto"/>
            </w:pPr>
            <w:r>
              <w:rPr>
                <w:rFonts w:ascii="Calibri" w:hAnsi="Calibri"/>
                <w:b w:val="0"/>
                <w:i w:val="0"/>
                <w:color w:val="212121"/>
                <w:sz w:val="16"/>
              </w:rPr>
              <w:t>Characteristic benign fibroadenoma; first-line in young women</w:t>
            </w:r>
          </w:p>
        </w:tc>
        <w:tc>
          <w:tcPr>
            <w:tcW w:type="dxa" w:w="1036"/>
            <w:vAlign w:val="top"/>
          </w:tcPr>
          <w:p>
            <w:pPr>
              <w:spacing w:after="40" w:before="0" w:line="259" w:lineRule="auto"/>
            </w:pPr>
            <w:r>
              <w:rPr>
                <w:rFonts w:ascii="Calibri" w:hAnsi="Calibri"/>
                <w:b w:val="0"/>
                <w:i w:val="0"/>
                <w:color w:val="212121"/>
                <w:sz w:val="16"/>
              </w:rPr>
              <w:t>Women &lt; 35–40 yrs, palpable lump, dense breasts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 Gold standard (young)</w:t>
            </w:r>
          </w:p>
        </w:tc>
        <w:tc>
          <w:tcPr>
            <w:tcW w:type="dxa" w:w="720"/>
            <w:vAlign w:val="top"/>
          </w:tcPr>
          <w:p>
            <w:pPr>
              <w:spacing w:after="40" w:before="0" w:line="259" w:lineRule="auto"/>
            </w:pPr>
            <w:r>
              <w:rPr>
                <w:rFonts w:ascii="Calibri" w:hAnsi="Calibri"/>
                <w:b w:val="0"/>
                <w:i w:val="0"/>
                <w:color w:val="212121"/>
                <w:sz w:val="16"/>
              </w:rPr>
              <w:t>Also guides core biopsy and follow-up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Mass + calcification</w:t>
            </w:r>
          </w:p>
        </w:tc>
        <w:tc>
          <w:tcPr>
            <w:tcW w:type="dxa" w:w="892"/>
            <w:vAlign w:val="top"/>
          </w:tcPr>
          <w:p>
            <w:pPr>
              <w:spacing w:after="40" w:before="0" w:line="259" w:lineRule="auto"/>
            </w:pPr>
            <w:r>
              <w:rPr>
                <w:rFonts w:ascii="Calibri" w:hAnsi="Calibri"/>
                <w:b w:val="0"/>
                <w:i w:val="0"/>
                <w:color w:val="212121"/>
                <w:sz w:val="16"/>
              </w:rPr>
              <w:t>Mammography</w:t>
            </w:r>
          </w:p>
        </w:tc>
        <w:tc>
          <w:tcPr>
            <w:tcW w:type="dxa" w:w="950"/>
            <w:vAlign w:val="top"/>
          </w:tcPr>
          <w:p>
            <w:pPr>
              <w:spacing w:after="40" w:before="0" w:line="259" w:lineRule="auto"/>
            </w:pPr>
            <w:r>
              <w:rPr>
                <w:rFonts w:ascii="Calibri" w:hAnsi="Calibri"/>
                <w:b w:val="0"/>
                <w:i w:val="0"/>
                <w:color w:val="212121"/>
                <w:sz w:val="16"/>
              </w:rPr>
              <w:t>No mass; no suspicious calcification</w:t>
            </w:r>
          </w:p>
        </w:tc>
        <w:tc>
          <w:tcPr>
            <w:tcW w:type="dxa" w:w="950"/>
            <w:vAlign w:val="top"/>
          </w:tcPr>
          <w:p>
            <w:pPr>
              <w:spacing w:after="40" w:before="0" w:line="259" w:lineRule="auto"/>
            </w:pPr>
            <w:r>
              <w:rPr>
                <w:rFonts w:ascii="Calibri" w:hAnsi="Calibri"/>
                <w:b w:val="0"/>
                <w:i w:val="0"/>
                <w:color w:val="212121"/>
                <w:sz w:val="16"/>
              </w:rPr>
              <w:t>Circumscribed round/oval mass; coarse “popcorn” calcification in older lesions</w:t>
            </w:r>
          </w:p>
        </w:tc>
        <w:tc>
          <w:tcPr>
            <w:tcW w:type="dxa" w:w="1036"/>
            <w:vAlign w:val="top"/>
          </w:tcPr>
          <w:p>
            <w:pPr>
              <w:spacing w:after="40" w:before="0" w:line="259" w:lineRule="auto"/>
            </w:pPr>
            <w:r>
              <w:rPr>
                <w:rFonts w:ascii="Calibri" w:hAnsi="Calibri"/>
                <w:b w:val="0"/>
                <w:i w:val="0"/>
                <w:color w:val="212121"/>
                <w:sz w:val="16"/>
              </w:rPr>
              <w:t>Benign features; excludes coexisting malignancy in older women</w:t>
            </w:r>
          </w:p>
        </w:tc>
        <w:tc>
          <w:tcPr>
            <w:tcW w:type="dxa" w:w="1036"/>
            <w:vAlign w:val="top"/>
          </w:tcPr>
          <w:p>
            <w:pPr>
              <w:spacing w:after="40" w:before="0" w:line="259" w:lineRule="auto"/>
            </w:pPr>
            <w:r>
              <w:rPr>
                <w:rFonts w:ascii="Calibri" w:hAnsi="Calibri"/>
                <w:b w:val="0"/>
                <w:i w:val="0"/>
                <w:color w:val="212121"/>
                <w:sz w:val="16"/>
              </w:rPr>
              <w:t>Women &gt; 35–40 yrs, new discrete lump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 / screening</w:t>
            </w:r>
          </w:p>
        </w:tc>
        <w:tc>
          <w:tcPr>
            <w:tcW w:type="dxa" w:w="720"/>
            <w:vAlign w:val="top"/>
          </w:tcPr>
          <w:p>
            <w:pPr>
              <w:spacing w:after="40" w:before="0" w:line="259" w:lineRule="auto"/>
            </w:pPr>
            <w:r>
              <w:rPr>
                <w:rFonts w:ascii="Calibri" w:hAnsi="Calibri"/>
                <w:b w:val="0"/>
                <w:i w:val="0"/>
                <w:color w:val="212121"/>
                <w:sz w:val="16"/>
              </w:rPr>
              <w:t>Less useful in dense young breasts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Fibroepithelial architecture</w:t>
            </w:r>
          </w:p>
        </w:tc>
        <w:tc>
          <w:tcPr>
            <w:tcW w:type="dxa" w:w="892"/>
            <w:vAlign w:val="top"/>
          </w:tcPr>
          <w:p>
            <w:pPr>
              <w:spacing w:after="40" w:before="0" w:line="259" w:lineRule="auto"/>
            </w:pPr>
            <w:r>
              <w:rPr>
                <w:rFonts w:ascii="Calibri" w:hAnsi="Calibri"/>
                <w:b w:val="0"/>
                <w:i w:val="0"/>
                <w:color w:val="212121"/>
                <w:sz w:val="16"/>
              </w:rPr>
              <w:t>Core-needle biopsy</w:t>
            </w:r>
          </w:p>
        </w:tc>
        <w:tc>
          <w:tcPr>
            <w:tcW w:type="dxa" w:w="950"/>
            <w:vAlign w:val="top"/>
          </w:tcPr>
          <w:p>
            <w:pPr>
              <w:spacing w:after="40" w:before="0" w:line="259" w:lineRule="auto"/>
            </w:pPr>
            <w:r>
              <w:rPr>
                <w:rFonts w:ascii="Calibri" w:hAnsi="Calibri"/>
                <w:b w:val="0"/>
                <w:i w:val="0"/>
                <w:color w:val="212121"/>
                <w:sz w:val="16"/>
              </w:rPr>
              <w:t>Benign biphasic stromal + epithelial proliferation; intact myoepithelium</w:t>
            </w:r>
          </w:p>
        </w:tc>
        <w:tc>
          <w:tcPr>
            <w:tcW w:type="dxa" w:w="950"/>
            <w:vAlign w:val="top"/>
          </w:tcPr>
          <w:p>
            <w:pPr>
              <w:spacing w:after="40" w:before="0" w:line="259" w:lineRule="auto"/>
            </w:pPr>
            <w:r>
              <w:rPr>
                <w:rFonts w:ascii="Calibri" w:hAnsi="Calibri"/>
                <w:b w:val="0"/>
                <w:i w:val="0"/>
                <w:color w:val="212121"/>
                <w:sz w:val="16"/>
              </w:rPr>
              <w:t>Increased stromal cellularity/atypia or leaf-like fronds (suggests phyllodes)</w:t>
            </w:r>
          </w:p>
        </w:tc>
        <w:tc>
          <w:tcPr>
            <w:tcW w:type="dxa" w:w="1036"/>
            <w:vAlign w:val="top"/>
          </w:tcPr>
          <w:p>
            <w:pPr>
              <w:spacing w:after="40" w:before="0" w:line="259" w:lineRule="auto"/>
            </w:pPr>
            <w:r>
              <w:rPr>
                <w:rFonts w:ascii="Calibri" w:hAnsi="Calibri"/>
                <w:b w:val="0"/>
                <w:i w:val="0"/>
                <w:color w:val="212121"/>
                <w:sz w:val="16"/>
              </w:rPr>
              <w:t>Definitive tissue diagnosis; distinguishes fibroadenoma from phyllodes and cancer</w:t>
            </w:r>
          </w:p>
        </w:tc>
        <w:tc>
          <w:tcPr>
            <w:tcW w:type="dxa" w:w="1036"/>
            <w:vAlign w:val="top"/>
          </w:tcPr>
          <w:p>
            <w:pPr>
              <w:spacing w:after="40" w:before="0" w:line="259" w:lineRule="auto"/>
            </w:pPr>
            <w:r>
              <w:rPr>
                <w:rFonts w:ascii="Calibri" w:hAnsi="Calibri"/>
                <w:b w:val="0"/>
                <w:i w:val="0"/>
                <w:color w:val="212121"/>
                <w:sz w:val="16"/>
              </w:rPr>
              <w:t>Older women, large/growing or discordant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(tissue)</w:t>
            </w:r>
          </w:p>
        </w:tc>
        <w:tc>
          <w:tcPr>
            <w:tcW w:type="dxa" w:w="720"/>
            <w:vAlign w:val="top"/>
          </w:tcPr>
          <w:p>
            <w:pPr>
              <w:spacing w:after="40" w:before="0" w:line="259" w:lineRule="auto"/>
            </w:pPr>
            <w:r>
              <w:rPr>
                <w:rFonts w:ascii="Calibri" w:hAnsi="Calibri"/>
                <w:b w:val="0"/>
                <w:i w:val="0"/>
                <w:color w:val="212121"/>
                <w:sz w:val="16"/>
              </w:rPr>
              <w:t>Preferred over FNAC for fibroepithelial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Cell pattern</w:t>
            </w:r>
          </w:p>
        </w:tc>
        <w:tc>
          <w:tcPr>
            <w:tcW w:type="dxa" w:w="892"/>
            <w:vAlign w:val="top"/>
          </w:tcPr>
          <w:p>
            <w:pPr>
              <w:spacing w:after="40" w:before="0" w:line="259" w:lineRule="auto"/>
            </w:pPr>
            <w:r>
              <w:rPr>
                <w:rFonts w:ascii="Calibri" w:hAnsi="Calibri"/>
                <w:b w:val="0"/>
                <w:i w:val="0"/>
                <w:color w:val="212121"/>
                <w:sz w:val="16"/>
              </w:rPr>
              <w:t>Fine-needle aspiration (FNAC)</w:t>
            </w:r>
          </w:p>
        </w:tc>
        <w:tc>
          <w:tcPr>
            <w:tcW w:type="dxa" w:w="950"/>
            <w:vAlign w:val="top"/>
          </w:tcPr>
          <w:p>
            <w:pPr>
              <w:spacing w:after="40" w:before="0" w:line="259" w:lineRule="auto"/>
            </w:pPr>
            <w:r>
              <w:rPr>
                <w:rFonts w:ascii="Calibri" w:hAnsi="Calibri"/>
                <w:b w:val="0"/>
                <w:i w:val="0"/>
                <w:color w:val="212121"/>
                <w:sz w:val="16"/>
              </w:rPr>
              <w:t>Benign ductal clusters, bare bipolar nuclei, stromal fragments</w:t>
            </w:r>
          </w:p>
        </w:tc>
        <w:tc>
          <w:tcPr>
            <w:tcW w:type="dxa" w:w="950"/>
            <w:vAlign w:val="top"/>
          </w:tcPr>
          <w:p>
            <w:pPr>
              <w:spacing w:after="40" w:before="0" w:line="259" w:lineRule="auto"/>
            </w:pPr>
            <w:r>
              <w:rPr>
                <w:rFonts w:ascii="Calibri" w:hAnsi="Calibri"/>
                <w:b w:val="0"/>
                <w:i w:val="0"/>
                <w:color w:val="212121"/>
                <w:sz w:val="16"/>
              </w:rPr>
              <w:t>Atypia or hypercellular stroma prompting core biopsy</w:t>
            </w:r>
          </w:p>
        </w:tc>
        <w:tc>
          <w:tcPr>
            <w:tcW w:type="dxa" w:w="1036"/>
            <w:vAlign w:val="top"/>
          </w:tcPr>
          <w:p>
            <w:pPr>
              <w:spacing w:after="40" w:before="0" w:line="259" w:lineRule="auto"/>
            </w:pPr>
            <w:r>
              <w:rPr>
                <w:rFonts w:ascii="Calibri" w:hAnsi="Calibri"/>
                <w:b w:val="0"/>
                <w:i w:val="0"/>
                <w:color w:val="212121"/>
                <w:sz w:val="16"/>
              </w:rPr>
              <w:t>Supports a benign diagnosis but cannot reliably exclude phyllodes</w:t>
            </w:r>
          </w:p>
        </w:tc>
        <w:tc>
          <w:tcPr>
            <w:tcW w:type="dxa" w:w="1036"/>
            <w:vAlign w:val="top"/>
          </w:tcPr>
          <w:p>
            <w:pPr>
              <w:spacing w:after="40" w:before="0" w:line="259" w:lineRule="auto"/>
            </w:pPr>
            <w:r>
              <w:rPr>
                <w:rFonts w:ascii="Calibri" w:hAnsi="Calibri"/>
                <w:b w:val="0"/>
                <w:i w:val="0"/>
                <w:color w:val="212121"/>
                <w:sz w:val="16"/>
              </w:rPr>
              <w:t>Young women, clearly benign small lumps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supportive</w:t>
            </w:r>
          </w:p>
        </w:tc>
        <w:tc>
          <w:tcPr>
            <w:tcW w:type="dxa" w:w="720"/>
            <w:vAlign w:val="top"/>
          </w:tcPr>
          <w:p>
            <w:pPr>
              <w:spacing w:after="40" w:before="0" w:line="259" w:lineRule="auto"/>
            </w:pPr>
            <w:r>
              <w:rPr>
                <w:rFonts w:ascii="Calibri" w:hAnsi="Calibri"/>
                <w:b w:val="0"/>
                <w:i w:val="0"/>
                <w:color w:val="212121"/>
                <w:sz w:val="16"/>
              </w:rPr>
              <w:t>Operator-dependent; superseded by core biopsy when in doubt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adjunct</w:t>
            </w:r>
          </w:p>
        </w:tc>
        <w:tc>
          <w:tcPr>
            <w:tcW w:type="dxa" w:w="1036"/>
            <w:vAlign w:val="top"/>
          </w:tcPr>
          <w:p>
            <w:pPr>
              <w:spacing w:after="40" w:before="0" w:line="259" w:lineRule="auto"/>
            </w:pPr>
            <w:r>
              <w:rPr>
                <w:rFonts w:ascii="Calibri" w:hAnsi="Calibri"/>
                <w:b w:val="0"/>
                <w:i w:val="0"/>
                <w:color w:val="212121"/>
                <w:sz w:val="16"/>
              </w:rPr>
              <w:t>Tissue stiffness</w:t>
            </w:r>
          </w:p>
        </w:tc>
        <w:tc>
          <w:tcPr>
            <w:tcW w:type="dxa" w:w="892"/>
            <w:vAlign w:val="top"/>
          </w:tcPr>
          <w:p>
            <w:pPr>
              <w:spacing w:after="40" w:before="0" w:line="259" w:lineRule="auto"/>
            </w:pPr>
            <w:r>
              <w:rPr>
                <w:rFonts w:ascii="Calibri" w:hAnsi="Calibri"/>
                <w:b w:val="0"/>
                <w:i w:val="0"/>
                <w:color w:val="212121"/>
                <w:sz w:val="16"/>
              </w:rPr>
              <w:t>Ultrasound elastography</w:t>
            </w:r>
          </w:p>
        </w:tc>
        <w:tc>
          <w:tcPr>
            <w:tcW w:type="dxa" w:w="950"/>
            <w:vAlign w:val="top"/>
          </w:tcPr>
          <w:p>
            <w:pPr>
              <w:spacing w:after="40" w:before="0" w:line="259" w:lineRule="auto"/>
            </w:pPr>
            <w:r>
              <w:rPr>
                <w:rFonts w:ascii="Calibri" w:hAnsi="Calibri"/>
                <w:b w:val="0"/>
                <w:i w:val="0"/>
                <w:color w:val="212121"/>
                <w:sz w:val="16"/>
              </w:rPr>
              <w:t>Soft, benign elastographic pattern</w:t>
            </w:r>
          </w:p>
        </w:tc>
        <w:tc>
          <w:tcPr>
            <w:tcW w:type="dxa" w:w="950"/>
            <w:vAlign w:val="top"/>
          </w:tcPr>
          <w:p>
            <w:pPr>
              <w:spacing w:after="40" w:before="0" w:line="259" w:lineRule="auto"/>
            </w:pPr>
            <w:r>
              <w:rPr>
                <w:rFonts w:ascii="Calibri" w:hAnsi="Calibri"/>
                <w:b w:val="0"/>
                <w:i w:val="0"/>
                <w:color w:val="212121"/>
                <w:sz w:val="16"/>
              </w:rPr>
              <w:t>Increased stiffness (raises suspicion)</w:t>
            </w:r>
          </w:p>
        </w:tc>
        <w:tc>
          <w:tcPr>
            <w:tcW w:type="dxa" w:w="1036"/>
            <w:vAlign w:val="top"/>
          </w:tcPr>
          <w:p>
            <w:pPr>
              <w:spacing w:after="40" w:before="0" w:line="259" w:lineRule="auto"/>
            </w:pPr>
            <w:r>
              <w:rPr>
                <w:rFonts w:ascii="Calibri" w:hAnsi="Calibri"/>
                <w:b w:val="0"/>
                <w:i w:val="0"/>
                <w:color w:val="212121"/>
                <w:sz w:val="16"/>
              </w:rPr>
              <w:t>Adjunct to BI-RADS to increase confidence in benignity</w:t>
            </w:r>
          </w:p>
        </w:tc>
        <w:tc>
          <w:tcPr>
            <w:tcW w:type="dxa" w:w="1036"/>
            <w:vAlign w:val="top"/>
          </w:tcPr>
          <w:p>
            <w:pPr>
              <w:spacing w:after="40" w:before="0" w:line="259" w:lineRule="auto"/>
            </w:pPr>
            <w:r>
              <w:rPr>
                <w:rFonts w:ascii="Calibri" w:hAnsi="Calibri"/>
                <w:b w:val="0"/>
                <w:i w:val="0"/>
                <w:color w:val="212121"/>
                <w:sz w:val="16"/>
              </w:rPr>
              <w:t>Indeterminate solid masses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a substitute for biopsy when features are suspicious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(select)</w:t>
            </w:r>
          </w:p>
        </w:tc>
        <w:tc>
          <w:tcPr>
            <w:tcW w:type="dxa" w:w="1036"/>
            <w:vAlign w:val="top"/>
          </w:tcPr>
          <w:p>
            <w:pPr>
              <w:spacing w:after="40" w:before="0" w:line="259" w:lineRule="auto"/>
            </w:pPr>
            <w:r>
              <w:rPr>
                <w:rFonts w:ascii="Calibri" w:hAnsi="Calibri"/>
                <w:b w:val="0"/>
                <w:i w:val="0"/>
                <w:color w:val="212121"/>
                <w:sz w:val="16"/>
              </w:rPr>
              <w:t>Enhancement pattern</w:t>
            </w:r>
          </w:p>
        </w:tc>
        <w:tc>
          <w:tcPr>
            <w:tcW w:type="dxa" w:w="892"/>
            <w:vAlign w:val="top"/>
          </w:tcPr>
          <w:p>
            <w:pPr>
              <w:spacing w:after="40" w:before="0" w:line="259" w:lineRule="auto"/>
            </w:pPr>
            <w:r>
              <w:rPr>
                <w:rFonts w:ascii="Calibri" w:hAnsi="Calibri"/>
                <w:b w:val="0"/>
                <w:i w:val="0"/>
                <w:color w:val="212121"/>
                <w:sz w:val="16"/>
              </w:rPr>
              <w:t>Breast MRI</w:t>
            </w:r>
          </w:p>
        </w:tc>
        <w:tc>
          <w:tcPr>
            <w:tcW w:type="dxa" w:w="950"/>
            <w:vAlign w:val="top"/>
          </w:tcPr>
          <w:p>
            <w:pPr>
              <w:spacing w:after="40" w:before="0" w:line="259" w:lineRule="auto"/>
            </w:pPr>
            <w:r>
              <w:rPr>
                <w:rFonts w:ascii="Calibri" w:hAnsi="Calibri"/>
                <w:b w:val="0"/>
                <w:i w:val="0"/>
                <w:color w:val="212121"/>
                <w:sz w:val="16"/>
              </w:rPr>
              <w:t>No suspicious enhancement</w:t>
            </w:r>
          </w:p>
        </w:tc>
        <w:tc>
          <w:tcPr>
            <w:tcW w:type="dxa" w:w="950"/>
            <w:vAlign w:val="top"/>
          </w:tcPr>
          <w:p>
            <w:pPr>
              <w:spacing w:after="40" w:before="0" w:line="259" w:lineRule="auto"/>
            </w:pPr>
            <w:r>
              <w:rPr>
                <w:rFonts w:ascii="Calibri" w:hAnsi="Calibri"/>
                <w:b w:val="0"/>
                <w:i w:val="0"/>
                <w:color w:val="212121"/>
                <w:sz w:val="16"/>
              </w:rPr>
              <w:t>Circumscribed mass with non-enhancing internal septations</w:t>
            </w:r>
          </w:p>
        </w:tc>
        <w:tc>
          <w:tcPr>
            <w:tcW w:type="dxa" w:w="1036"/>
            <w:vAlign w:val="top"/>
          </w:tcPr>
          <w:p>
            <w:pPr>
              <w:spacing w:after="40" w:before="0" w:line="259" w:lineRule="auto"/>
            </w:pPr>
            <w:r>
              <w:rPr>
                <w:rFonts w:ascii="Calibri" w:hAnsi="Calibri"/>
                <w:b w:val="0"/>
                <w:i w:val="0"/>
                <w:color w:val="212121"/>
                <w:sz w:val="16"/>
              </w:rPr>
              <w:t>Problem-solving for multiple lesions or when other imaging is inconclusive</w:t>
            </w:r>
          </w:p>
        </w:tc>
        <w:tc>
          <w:tcPr>
            <w:tcW w:type="dxa" w:w="1036"/>
            <w:vAlign w:val="top"/>
          </w:tcPr>
          <w:p>
            <w:pPr>
              <w:spacing w:after="40" w:before="0" w:line="259" w:lineRule="auto"/>
            </w:pPr>
            <w:r>
              <w:rPr>
                <w:rFonts w:ascii="Calibri" w:hAnsi="Calibri"/>
                <w:b w:val="0"/>
                <w:i w:val="0"/>
                <w:color w:val="212121"/>
                <w:sz w:val="16"/>
              </w:rPr>
              <w:t>Multiple lesions, high-risk screening, discordant findings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Reserved for specific indications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Painless breast lump</w:t>
            </w:r>
          </w:p>
        </w:tc>
        <w:tc>
          <w:tcPr>
            <w:tcW w:type="dxa" w:w="950"/>
            <w:vAlign w:val="top"/>
          </w:tcPr>
          <w:p>
            <w:pPr>
              <w:spacing w:after="40" w:before="0" w:line="259" w:lineRule="auto"/>
            </w:pPr>
            <w:r>
              <w:rPr>
                <w:rFonts w:ascii="Calibri" w:hAnsi="Calibri"/>
                <w:b w:val="0"/>
                <w:i w:val="0"/>
                <w:color w:val="212121"/>
                <w:sz w:val="16"/>
              </w:rPr>
              <w:t>No lump</w:t>
            </w:r>
          </w:p>
        </w:tc>
        <w:tc>
          <w:tcPr>
            <w:tcW w:type="dxa" w:w="950"/>
            <w:vAlign w:val="top"/>
          </w:tcPr>
          <w:p>
            <w:pPr>
              <w:spacing w:after="40" w:before="0" w:line="259" w:lineRule="auto"/>
            </w:pPr>
            <w:r>
              <w:rPr>
                <w:rFonts w:ascii="Calibri" w:hAnsi="Calibri"/>
                <w:b w:val="0"/>
                <w:i w:val="0"/>
                <w:color w:val="212121"/>
                <w:sz w:val="16"/>
              </w:rPr>
              <w:t>Solitary painless lump, often noticed incidentally</w:t>
            </w:r>
          </w:p>
        </w:tc>
        <w:tc>
          <w:tcPr>
            <w:tcW w:type="dxa" w:w="1036"/>
            <w:vAlign w:val="top"/>
          </w:tcPr>
          <w:p>
            <w:pPr>
              <w:spacing w:after="40" w:before="0" w:line="259" w:lineRule="auto"/>
            </w:pPr>
            <w:r>
              <w:rPr>
                <w:rFonts w:ascii="Calibri" w:hAnsi="Calibri"/>
                <w:b w:val="0"/>
                <w:i w:val="0"/>
                <w:color w:val="212121"/>
                <w:sz w:val="16"/>
              </w:rPr>
              <w:t>Typical fibroadenoma presentation</w:t>
            </w:r>
          </w:p>
        </w:tc>
        <w:tc>
          <w:tcPr>
            <w:tcW w:type="dxa" w:w="1036"/>
            <w:vAlign w:val="top"/>
          </w:tcPr>
          <w:p>
            <w:pPr>
              <w:spacing w:after="40" w:before="0" w:line="259" w:lineRule="auto"/>
            </w:pPr>
            <w:r>
              <w:rPr>
                <w:rFonts w:ascii="Calibri" w:hAnsi="Calibri"/>
                <w:b w:val="0"/>
                <w:i w:val="0"/>
                <w:color w:val="212121"/>
                <w:sz w:val="16"/>
              </w:rPr>
              <w:t>Young women with a breast lump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duration and any change with the menstrual cycle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 hormonal history</w:t>
            </w:r>
          </w:p>
        </w:tc>
        <w:tc>
          <w:tcPr>
            <w:tcW w:type="dxa" w:w="979"/>
            <w:vAlign w:val="top"/>
          </w:tcPr>
          <w:p>
            <w:pPr>
              <w:spacing w:after="40" w:before="0" w:line="259" w:lineRule="auto"/>
            </w:pPr>
            <w:r>
              <w:rPr>
                <w:rFonts w:ascii="Calibri" w:hAnsi="Calibri"/>
                <w:b w:val="0"/>
                <w:i w:val="0"/>
                <w:color w:val="212121"/>
                <w:sz w:val="16"/>
              </w:rPr>
              <w:t>Age, menarche, OCP/HRT, pregnancy, lactation</w:t>
            </w:r>
          </w:p>
        </w:tc>
        <w:tc>
          <w:tcPr>
            <w:tcW w:type="dxa" w:w="950"/>
            <w:vAlign w:val="top"/>
          </w:tcPr>
          <w:p>
            <w:pPr>
              <w:spacing w:after="40" w:before="0" w:line="259" w:lineRule="auto"/>
            </w:pPr>
            <w:r>
              <w:rPr>
                <w:rFonts w:ascii="Calibri" w:hAnsi="Calibri"/>
                <w:b w:val="0"/>
                <w:i w:val="0"/>
                <w:color w:val="212121"/>
                <w:sz w:val="16"/>
              </w:rPr>
              <w:t>No hormonal risk features</w:t>
            </w:r>
          </w:p>
        </w:tc>
        <w:tc>
          <w:tcPr>
            <w:tcW w:type="dxa" w:w="950"/>
            <w:vAlign w:val="top"/>
          </w:tcPr>
          <w:p>
            <w:pPr>
              <w:spacing w:after="40" w:before="0" w:line="259" w:lineRule="auto"/>
            </w:pPr>
            <w:r>
              <w:rPr>
                <w:rFonts w:ascii="Calibri" w:hAnsi="Calibri"/>
                <w:b w:val="0"/>
                <w:i w:val="0"/>
                <w:color w:val="212121"/>
                <w:sz w:val="16"/>
              </w:rPr>
              <w:t>Early OCP use, pregnancy/lactation-related growth</w:t>
            </w:r>
          </w:p>
        </w:tc>
        <w:tc>
          <w:tcPr>
            <w:tcW w:type="dxa" w:w="1036"/>
            <w:vAlign w:val="top"/>
          </w:tcPr>
          <w:p>
            <w:pPr>
              <w:spacing w:after="40" w:before="0" w:line="259" w:lineRule="auto"/>
            </w:pPr>
            <w:r>
              <w:rPr>
                <w:rFonts w:ascii="Calibri" w:hAnsi="Calibri"/>
                <w:b w:val="0"/>
                <w:i w:val="0"/>
                <w:color w:val="212121"/>
                <w:sz w:val="16"/>
              </w:rPr>
              <w:t>Establishes oestrogen exposure driving growth</w:t>
            </w:r>
          </w:p>
        </w:tc>
        <w:tc>
          <w:tcPr>
            <w:tcW w:type="dxa" w:w="1036"/>
            <w:vAlign w:val="top"/>
          </w:tcPr>
          <w:p>
            <w:pPr>
              <w:spacing w:after="40" w:before="0" w:line="259" w:lineRule="auto"/>
            </w:pPr>
            <w:r>
              <w:rPr>
                <w:rFonts w:ascii="Calibri" w:hAnsi="Calibri"/>
                <w:b w:val="0"/>
                <w:i w:val="0"/>
                <w:color w:val="212121"/>
                <w:sz w:val="16"/>
              </w:rPr>
              <w:t>Reproductive-age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Fibroadenomas may enlarge in pregnancy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w:t>
            </w:r>
          </w:p>
        </w:tc>
        <w:tc>
          <w:tcPr>
            <w:tcW w:type="dxa" w:w="979"/>
            <w:vAlign w:val="top"/>
          </w:tcPr>
          <w:p>
            <w:pPr>
              <w:spacing w:after="40" w:before="0" w:line="259" w:lineRule="auto"/>
            </w:pPr>
            <w:r>
              <w:rPr>
                <w:rFonts w:ascii="Calibri" w:hAnsi="Calibri"/>
                <w:b w:val="0"/>
                <w:i w:val="0"/>
                <w:color w:val="212121"/>
                <w:sz w:val="16"/>
              </w:rPr>
              <w:t>Rapid growth, skin/nipple change, bloody discharge, age &gt; 35</w:t>
            </w:r>
          </w:p>
        </w:tc>
        <w:tc>
          <w:tcPr>
            <w:tcW w:type="dxa" w:w="950"/>
            <w:vAlign w:val="top"/>
          </w:tcPr>
          <w:p>
            <w:pPr>
              <w:spacing w:after="40" w:before="0" w:line="259" w:lineRule="auto"/>
            </w:pPr>
            <w:r>
              <w:rPr>
                <w:rFonts w:ascii="Calibri" w:hAnsi="Calibri"/>
                <w:b w:val="0"/>
                <w:i w:val="0"/>
                <w:color w:val="212121"/>
                <w:sz w:val="16"/>
              </w:rPr>
              <w:t>None present</w:t>
            </w:r>
          </w:p>
        </w:tc>
        <w:tc>
          <w:tcPr>
            <w:tcW w:type="dxa" w:w="950"/>
            <w:vAlign w:val="top"/>
          </w:tcPr>
          <w:p>
            <w:pPr>
              <w:spacing w:after="40" w:before="0" w:line="259" w:lineRule="auto"/>
            </w:pPr>
            <w:r>
              <w:rPr>
                <w:rFonts w:ascii="Calibri" w:hAnsi="Calibri"/>
                <w:b w:val="0"/>
                <w:i w:val="0"/>
                <w:color w:val="212121"/>
                <w:sz w:val="16"/>
              </w:rPr>
              <w:t>Any red flag present</w:t>
            </w:r>
          </w:p>
        </w:tc>
        <w:tc>
          <w:tcPr>
            <w:tcW w:type="dxa" w:w="1036"/>
            <w:vAlign w:val="top"/>
          </w:tcPr>
          <w:p>
            <w:pPr>
              <w:spacing w:after="40" w:before="0" w:line="259" w:lineRule="auto"/>
            </w:pPr>
            <w:r>
              <w:rPr>
                <w:rFonts w:ascii="Calibri" w:hAnsi="Calibri"/>
                <w:b w:val="0"/>
                <w:i w:val="0"/>
                <w:color w:val="212121"/>
                <w:sz w:val="16"/>
              </w:rPr>
              <w:t>Raises suspicion of phyllodes or malignancy; mandates biopsy</w:t>
            </w:r>
          </w:p>
        </w:tc>
        <w:tc>
          <w:tcPr>
            <w:tcW w:type="dxa" w:w="1036"/>
            <w:vAlign w:val="top"/>
          </w:tcPr>
          <w:p>
            <w:pPr>
              <w:spacing w:after="40" w:before="0" w:line="259" w:lineRule="auto"/>
            </w:pPr>
            <w:r>
              <w:rPr>
                <w:rFonts w:ascii="Calibri" w:hAnsi="Calibri"/>
                <w:b w:val="0"/>
                <w:i w:val="0"/>
                <w:color w:val="212121"/>
                <w:sz w:val="16"/>
              </w:rPr>
              <w:t>Older women, rapidly growing lumps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Family history of breast cancer noted here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w:t>
            </w:r>
          </w:p>
        </w:tc>
        <w:tc>
          <w:tcPr>
            <w:tcW w:type="dxa" w:w="979"/>
            <w:vAlign w:val="top"/>
          </w:tcPr>
          <w:p>
            <w:pPr>
              <w:spacing w:after="40" w:before="0" w:line="259" w:lineRule="auto"/>
            </w:pPr>
            <w:r>
              <w:rPr>
                <w:rFonts w:ascii="Calibri" w:hAnsi="Calibri"/>
                <w:b w:val="0"/>
                <w:i w:val="0"/>
                <w:color w:val="212121"/>
                <w:sz w:val="16"/>
              </w:rPr>
              <w:t>Skin, nipple, symmetry</w:t>
            </w:r>
          </w:p>
        </w:tc>
        <w:tc>
          <w:tcPr>
            <w:tcW w:type="dxa" w:w="950"/>
            <w:vAlign w:val="top"/>
          </w:tcPr>
          <w:p>
            <w:pPr>
              <w:spacing w:after="40" w:before="0" w:line="259" w:lineRule="auto"/>
            </w:pPr>
            <w:r>
              <w:rPr>
                <w:rFonts w:ascii="Calibri" w:hAnsi="Calibri"/>
                <w:b w:val="0"/>
                <w:i w:val="0"/>
                <w:color w:val="212121"/>
                <w:sz w:val="16"/>
              </w:rPr>
              <w:t>No skin dimpling, nipple retraction or discharge</w:t>
            </w:r>
          </w:p>
        </w:tc>
        <w:tc>
          <w:tcPr>
            <w:tcW w:type="dxa" w:w="950"/>
            <w:vAlign w:val="top"/>
          </w:tcPr>
          <w:p>
            <w:pPr>
              <w:spacing w:after="40" w:before="0" w:line="259" w:lineRule="auto"/>
            </w:pPr>
            <w:r>
              <w:rPr>
                <w:rFonts w:ascii="Calibri" w:hAnsi="Calibri"/>
                <w:b w:val="0"/>
                <w:i w:val="0"/>
                <w:color w:val="212121"/>
                <w:sz w:val="16"/>
              </w:rPr>
              <w:t>Skin tethering/dimpling or nipple change (atypical for fibroadenoma)</w:t>
            </w:r>
          </w:p>
        </w:tc>
        <w:tc>
          <w:tcPr>
            <w:tcW w:type="dxa" w:w="1036"/>
            <w:vAlign w:val="top"/>
          </w:tcPr>
          <w:p>
            <w:pPr>
              <w:spacing w:after="40" w:before="0" w:line="259" w:lineRule="auto"/>
            </w:pPr>
            <w:r>
              <w:rPr>
                <w:rFonts w:ascii="Calibri" w:hAnsi="Calibri"/>
                <w:b w:val="0"/>
                <w:i w:val="0"/>
                <w:color w:val="212121"/>
                <w:sz w:val="16"/>
              </w:rPr>
              <w:t>Absence of skin/nipple change is reassuring; presence suggests malignancy</w:t>
            </w:r>
          </w:p>
        </w:tc>
        <w:tc>
          <w:tcPr>
            <w:tcW w:type="dxa" w:w="1036"/>
            <w:vAlign w:val="top"/>
          </w:tcPr>
          <w:p>
            <w:pPr>
              <w:spacing w:after="40" w:before="0" w:line="259" w:lineRule="auto"/>
            </w:pPr>
            <w:r>
              <w:rPr>
                <w:rFonts w:ascii="Calibri" w:hAnsi="Calibri"/>
                <w:b w:val="0"/>
                <w:i w:val="0"/>
                <w:color w:val="212121"/>
                <w:sz w:val="16"/>
              </w:rPr>
              <w:t>All women with a lump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Fibroadenoma does not tether skin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Lump characteristics</w:t>
            </w:r>
          </w:p>
        </w:tc>
        <w:tc>
          <w:tcPr>
            <w:tcW w:type="dxa" w:w="950"/>
            <w:vAlign w:val="top"/>
          </w:tcPr>
          <w:p>
            <w:pPr>
              <w:spacing w:after="40" w:before="0" w:line="259" w:lineRule="auto"/>
            </w:pPr>
            <w:r>
              <w:rPr>
                <w:rFonts w:ascii="Calibri" w:hAnsi="Calibri"/>
                <w:b w:val="0"/>
                <w:i w:val="0"/>
                <w:color w:val="212121"/>
                <w:sz w:val="16"/>
              </w:rPr>
              <w:t>No mass</w:t>
            </w:r>
          </w:p>
        </w:tc>
        <w:tc>
          <w:tcPr>
            <w:tcW w:type="dxa" w:w="950"/>
            <w:vAlign w:val="top"/>
          </w:tcPr>
          <w:p>
            <w:pPr>
              <w:spacing w:after="40" w:before="0" w:line="259" w:lineRule="auto"/>
            </w:pPr>
            <w:r>
              <w:rPr>
                <w:rFonts w:ascii="Calibri" w:hAnsi="Calibri"/>
                <w:b w:val="0"/>
                <w:i w:val="0"/>
                <w:color w:val="212121"/>
                <w:sz w:val="16"/>
              </w:rPr>
              <w:t>Firm-rubbery, smooth, well-defined, freely mobile, non-tender mass (“breast mouse”)</w:t>
            </w:r>
          </w:p>
        </w:tc>
        <w:tc>
          <w:tcPr>
            <w:tcW w:type="dxa" w:w="1036"/>
            <w:vAlign w:val="top"/>
          </w:tcPr>
          <w:p>
            <w:pPr>
              <w:spacing w:after="40" w:before="0" w:line="259" w:lineRule="auto"/>
            </w:pPr>
            <w:r>
              <w:rPr>
                <w:rFonts w:ascii="Calibri" w:hAnsi="Calibri"/>
                <w:b w:val="0"/>
                <w:i w:val="0"/>
                <w:color w:val="212121"/>
                <w:sz w:val="16"/>
              </w:rPr>
              <w:t>Classic benign fibroadenoma signs</w:t>
            </w:r>
          </w:p>
        </w:tc>
        <w:tc>
          <w:tcPr>
            <w:tcW w:type="dxa" w:w="1036"/>
            <w:vAlign w:val="top"/>
          </w:tcPr>
          <w:p>
            <w:pPr>
              <w:spacing w:after="40" w:before="0" w:line="259" w:lineRule="auto"/>
            </w:pPr>
            <w:r>
              <w:rPr>
                <w:rFonts w:ascii="Calibri" w:hAnsi="Calibri"/>
                <w:b w:val="0"/>
                <w:i w:val="0"/>
                <w:color w:val="212121"/>
                <w:sz w:val="16"/>
              </w:rPr>
              <w:t>Young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Record size; &gt; 2–3 cm or growth prompts biopsy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Regional nodes</w:t>
            </w:r>
          </w:p>
        </w:tc>
        <w:tc>
          <w:tcPr>
            <w:tcW w:type="dxa" w:w="979"/>
            <w:vAlign w:val="top"/>
          </w:tcPr>
          <w:p>
            <w:pPr>
              <w:spacing w:after="40" w:before="0" w:line="259" w:lineRule="auto"/>
            </w:pPr>
            <w:r>
              <w:rPr>
                <w:rFonts w:ascii="Calibri" w:hAnsi="Calibri"/>
                <w:b w:val="0"/>
                <w:i w:val="0"/>
                <w:color w:val="212121"/>
                <w:sz w:val="16"/>
              </w:rPr>
              <w:t>Axillary / supraclavicular nodes</w:t>
            </w:r>
          </w:p>
        </w:tc>
        <w:tc>
          <w:tcPr>
            <w:tcW w:type="dxa" w:w="950"/>
            <w:vAlign w:val="top"/>
          </w:tcPr>
          <w:p>
            <w:pPr>
              <w:spacing w:after="40" w:before="0" w:line="259" w:lineRule="auto"/>
            </w:pPr>
            <w:r>
              <w:rPr>
                <w:rFonts w:ascii="Calibri" w:hAnsi="Calibri"/>
                <w:b w:val="0"/>
                <w:i w:val="0"/>
                <w:color w:val="212121"/>
                <w:sz w:val="16"/>
              </w:rPr>
              <w:t>No lymphadenopathy</w:t>
            </w:r>
          </w:p>
        </w:tc>
        <w:tc>
          <w:tcPr>
            <w:tcW w:type="dxa" w:w="950"/>
            <w:vAlign w:val="top"/>
          </w:tcPr>
          <w:p>
            <w:pPr>
              <w:spacing w:after="40" w:before="0" w:line="259" w:lineRule="auto"/>
            </w:pPr>
            <w:r>
              <w:rPr>
                <w:rFonts w:ascii="Calibri" w:hAnsi="Calibri"/>
                <w:b w:val="0"/>
                <w:i w:val="0"/>
                <w:color w:val="212121"/>
                <w:sz w:val="16"/>
              </w:rPr>
              <w:t>Palpable suspicious nodes (atypical for fibroadenoma)</w:t>
            </w:r>
          </w:p>
        </w:tc>
        <w:tc>
          <w:tcPr>
            <w:tcW w:type="dxa" w:w="1036"/>
            <w:vAlign w:val="top"/>
          </w:tcPr>
          <w:p>
            <w:pPr>
              <w:spacing w:after="40" w:before="0" w:line="259" w:lineRule="auto"/>
            </w:pPr>
            <w:r>
              <w:rPr>
                <w:rFonts w:ascii="Calibri" w:hAnsi="Calibri"/>
                <w:b w:val="0"/>
                <w:i w:val="0"/>
                <w:color w:val="212121"/>
                <w:sz w:val="16"/>
              </w:rPr>
              <w:t>Node involvement points away from fibroadenoma toward malignancy</w:t>
            </w:r>
          </w:p>
        </w:tc>
        <w:tc>
          <w:tcPr>
            <w:tcW w:type="dxa" w:w="1036"/>
            <w:vAlign w:val="top"/>
          </w:tcPr>
          <w:p>
            <w:pPr>
              <w:spacing w:after="40" w:before="0" w:line="259" w:lineRule="auto"/>
            </w:pPr>
            <w:r>
              <w:rPr>
                <w:rFonts w:ascii="Calibri" w:hAnsi="Calibri"/>
                <w:b w:val="0"/>
                <w:i w:val="0"/>
                <w:color w:val="212121"/>
                <w:sz w:val="16"/>
              </w:rPr>
              <w:t>All women with a breast lump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Fibroadenoma is not associated with lymphadenopathy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Painless breast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classic presentation — a single, painless lump found by the woman or on examination.</w:t>
            </w:r>
          </w:p>
        </w:tc>
      </w:tr>
      <w:tr>
        <w:trPr>
          <w:cantSplit/>
        </w:trPr>
        <w:tc>
          <w:tcPr>
            <w:tcW w:type="dxa" w:w="2304"/>
            <w:vAlign w:val="top"/>
          </w:tcPr>
          <w:p>
            <w:pPr>
              <w:spacing w:after="40" w:before="0" w:line="259" w:lineRule="auto"/>
            </w:pPr>
            <w:r>
              <w:rPr>
                <w:rFonts w:ascii="Calibri" w:hAnsi="Calibri"/>
                <w:b/>
                <w:i w:val="0"/>
                <w:color w:val="212121"/>
                <w:sz w:val="19"/>
              </w:rPr>
              <w:t>Firm, smooth, mobile lump that “moves”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lump slips under the fingers (“breast mouse”) because it is well-defined and freely mobile.</w:t>
            </w:r>
          </w:p>
        </w:tc>
      </w:tr>
      <w:tr>
        <w:trPr>
          <w:cantSplit/>
        </w:trPr>
        <w:tc>
          <w:tcPr>
            <w:tcW w:type="dxa" w:w="2304"/>
            <w:vAlign w:val="top"/>
          </w:tcPr>
          <w:p>
            <w:pPr>
              <w:spacing w:after="40" w:before="0" w:line="259" w:lineRule="auto"/>
            </w:pPr>
            <w:r>
              <w:rPr>
                <w:rFonts w:ascii="Calibri" w:hAnsi="Calibri"/>
                <w:b/>
                <w:i w:val="0"/>
                <w:color w:val="212121"/>
                <w:sz w:val="19"/>
              </w:rPr>
              <w:t>Anxiety / fear of cancer after finding a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Discovering any breast lump commonly causes marked anxiety; benign reassurance relieves most distress.</w:t>
            </w:r>
          </w:p>
        </w:tc>
      </w:tr>
      <w:tr>
        <w:trPr>
          <w:cantSplit/>
        </w:trPr>
        <w:tc>
          <w:tcPr>
            <w:tcW w:type="dxa" w:w="2304"/>
            <w:vAlign w:val="top"/>
          </w:tcPr>
          <w:p>
            <w:pPr>
              <w:spacing w:after="40" w:before="0" w:line="259" w:lineRule="auto"/>
            </w:pPr>
            <w:r>
              <w:rPr>
                <w:rFonts w:ascii="Calibri" w:hAnsi="Calibri"/>
                <w:b/>
                <w:i w:val="0"/>
                <w:color w:val="212121"/>
                <w:sz w:val="19"/>
              </w:rPr>
              <w:t>Mild cyclical breast discomfort or tenderness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the fibroadenoma is painless; mild discomfort may fluctuate with the menstrual cycle.</w:t>
            </w:r>
          </w:p>
        </w:tc>
      </w:tr>
      <w:tr>
        <w:trPr>
          <w:cantSplit/>
        </w:trPr>
        <w:tc>
          <w:tcPr>
            <w:tcW w:type="dxa" w:w="2304"/>
            <w:vAlign w:val="top"/>
          </w:tcPr>
          <w:p>
            <w:pPr>
              <w:spacing w:after="40" w:before="0" w:line="259" w:lineRule="auto"/>
            </w:pPr>
            <w:r>
              <w:rPr>
                <w:rFonts w:ascii="Calibri" w:hAnsi="Calibri"/>
                <w:b/>
                <w:i w:val="0"/>
                <w:color w:val="212121"/>
                <w:sz w:val="19"/>
              </w:rPr>
              <w:t>Enlargement during pregnancy or lactation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Hormone-driven growth can make a known fibroadenoma bigger or newly noticeable.</w:t>
            </w:r>
          </w:p>
        </w:tc>
      </w:tr>
      <w:tr>
        <w:trPr>
          <w:cantSplit/>
        </w:trPr>
        <w:tc>
          <w:tcPr>
            <w:tcW w:type="dxa" w:w="2304"/>
            <w:vAlign w:val="top"/>
          </w:tcPr>
          <w:p>
            <w:pPr>
              <w:spacing w:after="40" w:before="0" w:line="259" w:lineRule="auto"/>
            </w:pPr>
            <w:r>
              <w:rPr>
                <w:rFonts w:ascii="Calibri" w:hAnsi="Calibri"/>
                <w:b/>
                <w:i w:val="0"/>
                <w:color w:val="212121"/>
                <w:sz w:val="19"/>
              </w:rPr>
              <w:t>Multiple or bilateral lumps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Several fibroadenomas may occur, including in both breasts, particularly with ciclosporin therapy.</w:t>
            </w:r>
          </w:p>
        </w:tc>
      </w:tr>
      <w:tr>
        <w:trPr>
          <w:cantSplit/>
        </w:trPr>
        <w:tc>
          <w:tcPr>
            <w:tcW w:type="dxa" w:w="2304"/>
            <w:vAlign w:val="top"/>
          </w:tcPr>
          <w:p>
            <w:pPr>
              <w:spacing w:after="40" w:before="0" w:line="259" w:lineRule="auto"/>
            </w:pPr>
            <w:r>
              <w:rPr>
                <w:rFonts w:ascii="Calibri" w:hAnsi="Calibri"/>
                <w:b/>
                <w:i w:val="0"/>
                <w:color w:val="212121"/>
                <w:sz w:val="19"/>
              </w:rPr>
              <w:t>Visible breast bulge or asymmetry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Larger or giant fibroadenomas can distort the breast contour.</w:t>
            </w:r>
          </w:p>
        </w:tc>
      </w:tr>
      <w:tr>
        <w:trPr>
          <w:cantSplit/>
        </w:trPr>
        <w:tc>
          <w:tcPr>
            <w:tcW w:type="dxa" w:w="2304"/>
            <w:vAlign w:val="top"/>
          </w:tcPr>
          <w:p>
            <w:pPr>
              <w:spacing w:after="40" w:before="0" w:line="259" w:lineRule="auto"/>
            </w:pPr>
            <w:r>
              <w:rPr>
                <w:rFonts w:ascii="Calibri" w:hAnsi="Calibri"/>
                <w:b/>
                <w:i w:val="0"/>
                <w:color w:val="212121"/>
                <w:sz w:val="19"/>
              </w:rPr>
              <w:t>Rapidly enlarging lump</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Rapid growth suggests a juvenile/giant fibroadenoma or a phyllodes tumour and needs prompt biopsy.</w:t>
            </w:r>
          </w:p>
        </w:tc>
      </w:tr>
      <w:tr>
        <w:trPr>
          <w:cantSplit/>
        </w:trPr>
        <w:tc>
          <w:tcPr>
            <w:tcW w:type="dxa" w:w="2304"/>
            <w:vAlign w:val="top"/>
          </w:tcPr>
          <w:p>
            <w:pPr>
              <w:spacing w:after="40" w:before="0" w:line="259" w:lineRule="auto"/>
            </w:pPr>
            <w:r>
              <w:rPr>
                <w:rFonts w:ascii="Calibri" w:hAnsi="Calibri"/>
                <w:b/>
                <w:i w:val="0"/>
                <w:color w:val="212121"/>
                <w:sz w:val="19"/>
              </w:rPr>
              <w:t>Overlying skin stretching or prominent veins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with giant fibroadenoma from mechanical stretching of the skin.</w:t>
            </w:r>
          </w:p>
        </w:tc>
      </w:tr>
      <w:tr>
        <w:trPr>
          <w:cantSplit/>
        </w:trPr>
        <w:tc>
          <w:tcPr>
            <w:tcW w:type="dxa" w:w="2304"/>
            <w:vAlign w:val="top"/>
          </w:tcPr>
          <w:p>
            <w:pPr>
              <w:spacing w:after="40" w:before="0" w:line="259" w:lineRule="auto"/>
            </w:pPr>
            <w:r>
              <w:rPr>
                <w:rFonts w:ascii="Calibri" w:hAnsi="Calibri"/>
                <w:b/>
                <w:i w:val="0"/>
                <w:color w:val="212121"/>
                <w:sz w:val="19"/>
              </w:rPr>
              <w:t>Sudden pain in a known lump</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indicate infarction of a fibroadenoma, occasionally during pregnancy or lactation.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Solitary, well-circumscribed, firm-to-rubbery mobile mass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sign; the lump is discrete and slips away on palpation (“breast mouse”).</w:t>
            </w:r>
          </w:p>
        </w:tc>
      </w:tr>
      <w:tr>
        <w:trPr>
          <w:cantSplit/>
        </w:trPr>
        <w:tc>
          <w:tcPr>
            <w:tcW w:type="dxa" w:w="3456"/>
            <w:vAlign w:val="top"/>
          </w:tcPr>
          <w:p>
            <w:pPr>
              <w:spacing w:after="40" w:before="0" w:line="259" w:lineRule="auto"/>
            </w:pPr>
            <w:r>
              <w:rPr>
                <w:rFonts w:ascii="Calibri" w:hAnsi="Calibri"/>
                <w:b/>
                <w:i w:val="0"/>
                <w:color w:val="212121"/>
                <w:sz w:val="19"/>
              </w:rPr>
              <w:t>Smooth surface with distinct margins, non-tender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Regular borders and lack of tenderness support a benign fibroadenoma.</w:t>
            </w:r>
          </w:p>
        </w:tc>
      </w:tr>
      <w:tr>
        <w:trPr>
          <w:cantSplit/>
        </w:trPr>
        <w:tc>
          <w:tcPr>
            <w:tcW w:type="dxa" w:w="3456"/>
            <w:vAlign w:val="top"/>
          </w:tcPr>
          <w:p>
            <w:pPr>
              <w:spacing w:after="40" w:before="0" w:line="259" w:lineRule="auto"/>
            </w:pPr>
            <w:r>
              <w:rPr>
                <w:rFonts w:ascii="Calibri" w:hAnsi="Calibri"/>
                <w:b/>
                <w:i w:val="0"/>
                <w:color w:val="212121"/>
                <w:sz w:val="19"/>
              </w:rPr>
              <w:t>Size typically 1–3 cm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Most fibroadenomas are small; larger sizes prompt further work-up.</w:t>
            </w:r>
          </w:p>
        </w:tc>
      </w:tr>
      <w:tr>
        <w:trPr>
          <w:cantSplit/>
        </w:trPr>
        <w:tc>
          <w:tcPr>
            <w:tcW w:type="dxa" w:w="3456"/>
            <w:vAlign w:val="top"/>
          </w:tcPr>
          <w:p>
            <w:pPr>
              <w:spacing w:after="40" w:before="0" w:line="259" w:lineRule="auto"/>
            </w:pPr>
            <w:r>
              <w:rPr>
                <w:rFonts w:ascii="Calibri" w:hAnsi="Calibri"/>
                <w:b/>
                <w:i w:val="0"/>
                <w:color w:val="212121"/>
                <w:sz w:val="19"/>
              </w:rPr>
              <w:t>No skin dimpling, tethering or peau d’orange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Reassuring; skin change would raise suspicion of malignancy.</w:t>
            </w:r>
          </w:p>
        </w:tc>
      </w:tr>
      <w:tr>
        <w:trPr>
          <w:cantSplit/>
        </w:trPr>
        <w:tc>
          <w:tcPr>
            <w:tcW w:type="dxa" w:w="3456"/>
            <w:vAlign w:val="top"/>
          </w:tcPr>
          <w:p>
            <w:pPr>
              <w:spacing w:after="40" w:before="0" w:line="259" w:lineRule="auto"/>
            </w:pPr>
            <w:r>
              <w:rPr>
                <w:rFonts w:ascii="Calibri" w:hAnsi="Calibri"/>
                <w:b/>
                <w:i w:val="0"/>
                <w:color w:val="212121"/>
                <w:sz w:val="19"/>
              </w:rPr>
              <w:t>No nipple retraction or discharge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Absent nipple change is reassuring and expected in fibroadenoma.</w:t>
            </w:r>
          </w:p>
        </w:tc>
      </w:tr>
      <w:tr>
        <w:trPr>
          <w:cantSplit/>
        </w:trPr>
        <w:tc>
          <w:tcPr>
            <w:tcW w:type="dxa" w:w="3456"/>
            <w:vAlign w:val="top"/>
          </w:tcPr>
          <w:p>
            <w:pPr>
              <w:spacing w:after="40" w:before="0" w:line="259" w:lineRule="auto"/>
            </w:pPr>
            <w:r>
              <w:rPr>
                <w:rFonts w:ascii="Calibri" w:hAnsi="Calibri"/>
                <w:b/>
                <w:i w:val="0"/>
                <w:color w:val="212121"/>
                <w:sz w:val="19"/>
              </w:rPr>
              <w:t>No axillary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Fibroadenoma does not spread; palpable suspicious nodes point elsewhere.</w:t>
            </w:r>
          </w:p>
        </w:tc>
      </w:tr>
      <w:tr>
        <w:trPr>
          <w:cantSplit/>
        </w:trPr>
        <w:tc>
          <w:tcPr>
            <w:tcW w:type="dxa" w:w="3456"/>
            <w:vAlign w:val="top"/>
          </w:tcPr>
          <w:p>
            <w:pPr>
              <w:spacing w:after="40" w:before="0" w:line="259" w:lineRule="auto"/>
            </w:pPr>
            <w:r>
              <w:rPr>
                <w:rFonts w:ascii="Calibri" w:hAnsi="Calibri"/>
                <w:b/>
                <w:i w:val="0"/>
                <w:color w:val="212121"/>
                <w:sz w:val="19"/>
              </w:rPr>
              <w:t>Ultrasound: oval, parallel, circumscribed hypoechoic mass (BI-RADS 3)</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benign imaging appearance in young women.</w:t>
            </w:r>
          </w:p>
        </w:tc>
      </w:tr>
      <w:tr>
        <w:trPr>
          <w:cantSplit/>
        </w:trPr>
        <w:tc>
          <w:tcPr>
            <w:tcW w:type="dxa" w:w="3456"/>
            <w:vAlign w:val="top"/>
          </w:tcPr>
          <w:p>
            <w:pPr>
              <w:spacing w:after="40" w:before="0" w:line="259" w:lineRule="auto"/>
            </w:pPr>
            <w:r>
              <w:rPr>
                <w:rFonts w:ascii="Calibri" w:hAnsi="Calibri"/>
                <w:b/>
                <w:i w:val="0"/>
                <w:color w:val="212121"/>
                <w:sz w:val="19"/>
              </w:rPr>
              <w:t>Mammographic coarse “popcorn” calcification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older, involuting fibroadenomas.</w:t>
            </w:r>
          </w:p>
        </w:tc>
      </w:tr>
      <w:tr>
        <w:trPr>
          <w:cantSplit/>
        </w:trPr>
        <w:tc>
          <w:tcPr>
            <w:tcW w:type="dxa" w:w="3456"/>
            <w:vAlign w:val="top"/>
          </w:tcPr>
          <w:p>
            <w:pPr>
              <w:spacing w:after="40" w:before="0" w:line="259" w:lineRule="auto"/>
            </w:pPr>
            <w:r>
              <w:rPr>
                <w:rFonts w:ascii="Calibri" w:hAnsi="Calibri"/>
                <w:b/>
                <w:i w:val="0"/>
                <w:color w:val="212121"/>
                <w:sz w:val="19"/>
              </w:rPr>
              <w:t>Multiple / bilateral masses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reflect a hormonal or ciclosporin-related tendency.</w:t>
            </w:r>
          </w:p>
        </w:tc>
      </w:tr>
      <w:tr>
        <w:trPr>
          <w:cantSplit/>
        </w:trPr>
        <w:tc>
          <w:tcPr>
            <w:tcW w:type="dxa" w:w="3456"/>
            <w:vAlign w:val="top"/>
          </w:tcPr>
          <w:p>
            <w:pPr>
              <w:spacing w:after="40" w:before="0" w:line="259" w:lineRule="auto"/>
            </w:pPr>
            <w:r>
              <w:rPr>
                <w:rFonts w:ascii="Calibri" w:hAnsi="Calibri"/>
                <w:b/>
                <w:i w:val="0"/>
                <w:color w:val="212121"/>
                <w:sz w:val="19"/>
              </w:rPr>
              <w:t>Large (&gt; 5 cm) mass with breast distortion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Giant or juvenile fibroadenoma; overlaps clinically with phyllodes tumour.</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enlargement of the lump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 distortion / asymmetry (giant or juvenile fibroadenoma)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discomfort and cosmetic concern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patient anxiety / “cancer worry”</w:t>
            </w:r>
          </w:p>
        </w:tc>
        <w:tc>
          <w:tcPr>
            <w:tcW w:type="dxa" w:w="2980"/>
            <w:vAlign w:val="top"/>
          </w:tcPr>
          <w:p>
            <w:pPr>
              <w:spacing w:after="40" w:before="0" w:line="259" w:lineRule="auto"/>
            </w:pPr>
            <w:r>
              <w:rPr>
                <w:rFonts w:ascii="Calibri" w:hAnsi="Calibri"/>
                <w:b w:val="0"/>
                <w:i w:val="0"/>
                <w:color w:val="212121"/>
                <w:sz w:val="19"/>
              </w:rPr>
              <w:t>Direct local and psychological effects of a benign but palpable, sometimes growing, breast mass.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or development of new fibroadenomas after excision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scarring, contour change or breast asymmetry from excision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Diagnostic uncertainty — a phyllodes tumour under-called on FNAC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infarction of a fibroadenoma (especially in pregnancy/lactation)</w:t>
            </w:r>
          </w:p>
        </w:tc>
        <w:tc>
          <w:tcPr>
            <w:tcW w:type="dxa" w:w="2980"/>
            <w:vAlign w:val="top"/>
          </w:tcPr>
          <w:p>
            <w:pPr>
              <w:spacing w:after="40" w:before="0" w:line="259" w:lineRule="auto"/>
            </w:pPr>
            <w:r>
              <w:rPr>
                <w:rFonts w:ascii="Calibri" w:hAnsi="Calibri"/>
                <w:b w:val="0"/>
                <w:i w:val="0"/>
                <w:color w:val="212121"/>
                <w:sz w:val="19"/>
              </w:rPr>
              <w:t>Consequences of the lesion’s natural history and of its investigation or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Modestly increased long-term breast-cancer risk with complex fibroadenoma or adjacent proliferative disease (relative risk ~3.1–3.9)</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carcinoma arising within a fibroadenoma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Misclassified phyllodes tumour — local recurrence and, if malignant, rare metastasis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Higher lifetime breast risk when combined with a positive family history (relative risk ~3.72 for complex fibroadenoma)</w:t>
            </w:r>
          </w:p>
        </w:tc>
        <w:tc>
          <w:tcPr>
            <w:tcW w:type="dxa" w:w="2980"/>
            <w:vAlign w:val="top"/>
          </w:tcPr>
          <w:p>
            <w:pPr>
              <w:spacing w:after="40" w:before="0" w:line="259" w:lineRule="auto"/>
            </w:pPr>
            <w:r>
              <w:rPr>
                <w:rFonts w:ascii="Calibri" w:hAnsi="Calibri"/>
                <w:b w:val="0"/>
                <w:i w:val="0"/>
                <w:color w:val="212121"/>
                <w:sz w:val="19"/>
              </w:rPr>
              <w:t>Uncommon but serious long-term oncological outcomes that drive follow-up and careful histology.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Complex fibroadenoma / benign proliferative breast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subgroup with cysts &gt;3 mm, sclerosing adenosis, epithelial calcification or papillary apocrine change; relative risk of invasive breast cancer 3.10 (3.88 with adjacent proliferative disease) versus 2.17 overall (Dupont &amp; Page).</w:t>
            </w:r>
          </w:p>
        </w:tc>
      </w:tr>
      <w:tr>
        <w:trPr>
          <w:cantSplit/>
        </w:trPr>
        <w:tc>
          <w:tcPr>
            <w:tcW w:type="dxa" w:w="2232"/>
            <w:vAlign w:val="top"/>
          </w:tcPr>
          <w:p>
            <w:pPr>
              <w:spacing w:after="40" w:before="0" w:line="259" w:lineRule="auto"/>
            </w:pPr>
            <w:r>
              <w:rPr>
                <w:rFonts w:ascii="Calibri" w:hAnsi="Calibri"/>
                <w:b/>
                <w:i w:val="0"/>
                <w:color w:val="212121"/>
                <w:sz w:val="19"/>
              </w:rPr>
              <w:t>Breast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Small increase in long-term risk, greatest with complex fibroadenoma plus a family history (relative risk ~3.72); carcinoma rarely arises within a fibroadenoma.</w:t>
            </w:r>
          </w:p>
        </w:tc>
      </w:tr>
      <w:tr>
        <w:trPr>
          <w:cantSplit/>
        </w:trPr>
        <w:tc>
          <w:tcPr>
            <w:tcW w:type="dxa" w:w="2232"/>
            <w:vAlign w:val="top"/>
          </w:tcPr>
          <w:p>
            <w:pPr>
              <w:spacing w:after="40" w:before="0" w:line="259" w:lineRule="auto"/>
            </w:pPr>
            <w:r>
              <w:rPr>
                <w:rFonts w:ascii="Calibri" w:hAnsi="Calibri"/>
                <w:b/>
                <w:i w:val="0"/>
                <w:color w:val="212121"/>
                <w:sz w:val="19"/>
              </w:rPr>
              <w:t>Phyllodes tumour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related fibroepithelial neoplasm (benign to malignant) that shares histology and MED12 biology; the key differential that core biopsy and excision aim to exclude.</w:t>
            </w:r>
          </w:p>
        </w:tc>
      </w:tr>
      <w:tr>
        <w:trPr>
          <w:cantSplit/>
        </w:trPr>
        <w:tc>
          <w:tcPr>
            <w:tcW w:type="dxa" w:w="2232"/>
            <w:vAlign w:val="top"/>
          </w:tcPr>
          <w:p>
            <w:pPr>
              <w:spacing w:after="40" w:before="0" w:line="259" w:lineRule="auto"/>
            </w:pPr>
            <w:r>
              <w:rPr>
                <w:rFonts w:ascii="Calibri" w:hAnsi="Calibri"/>
                <w:b/>
                <w:i w:val="0"/>
                <w:color w:val="212121"/>
                <w:sz w:val="19"/>
              </w:rPr>
              <w:t>Fibrocystic breast changes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Commonly coexist within the benign breast disease spectrum and can complicate clinical assessment of a lump.</w:t>
            </w:r>
          </w:p>
        </w:tc>
      </w:tr>
      <w:tr>
        <w:trPr>
          <w:cantSplit/>
        </w:trPr>
        <w:tc>
          <w:tcPr>
            <w:tcW w:type="dxa" w:w="2232"/>
            <w:vAlign w:val="top"/>
          </w:tcPr>
          <w:p>
            <w:pPr>
              <w:spacing w:after="40" w:before="0" w:line="259" w:lineRule="auto"/>
            </w:pPr>
            <w:r>
              <w:rPr>
                <w:rFonts w:ascii="Calibri" w:hAnsi="Calibri"/>
                <w:b/>
                <w:i w:val="0"/>
                <w:color w:val="212121"/>
                <w:sz w:val="19"/>
              </w:rPr>
              <w:t>Breast cysts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Part of the benign breast disease spectrum; cystic change &gt;3 mm within a fibroadenoma defines the complex subtype.</w:t>
            </w:r>
          </w:p>
        </w:tc>
      </w:tr>
      <w:tr>
        <w:trPr>
          <w:cantSplit/>
        </w:trPr>
        <w:tc>
          <w:tcPr>
            <w:tcW w:type="dxa" w:w="2232"/>
            <w:vAlign w:val="top"/>
          </w:tcPr>
          <w:p>
            <w:pPr>
              <w:spacing w:after="40" w:before="0" w:line="259" w:lineRule="auto"/>
            </w:pPr>
            <w:r>
              <w:rPr>
                <w:rFonts w:ascii="Calibri" w:hAnsi="Calibri"/>
                <w:b/>
                <w:i w:val="0"/>
                <w:color w:val="212121"/>
                <w:sz w:val="19"/>
              </w:rPr>
              <w:t>Anxiety / depression (health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Prevalent among women with benign breast disease; finding a lump provokes distress that benign reassurance substantially relieves.</w:t>
            </w:r>
          </w:p>
        </w:tc>
      </w:tr>
      <w:tr>
        <w:trPr>
          <w:cantSplit/>
        </w:trPr>
        <w:tc>
          <w:tcPr>
            <w:tcW w:type="dxa" w:w="2232"/>
            <w:vAlign w:val="top"/>
          </w:tcPr>
          <w:p>
            <w:pPr>
              <w:spacing w:after="40" w:before="0" w:line="259" w:lineRule="auto"/>
            </w:pPr>
            <w:r>
              <w:rPr>
                <w:rFonts w:ascii="Calibri" w:hAnsi="Calibri"/>
                <w:b/>
                <w:i w:val="0"/>
                <w:color w:val="212121"/>
                <w:sz w:val="19"/>
              </w:rPr>
              <w:t>Pregnancy / lactation-related growth (incl. lactating adenoma)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Hormonal states enlarge fibroadenomas; the related lactating adenoma is a hormone-driven lesion of pregnancy/lactation.</w:t>
            </w:r>
          </w:p>
        </w:tc>
      </w:tr>
      <w:tr>
        <w:trPr>
          <w:cantSplit/>
        </w:trPr>
        <w:tc>
          <w:tcPr>
            <w:tcW w:type="dxa" w:w="2232"/>
            <w:vAlign w:val="top"/>
          </w:tcPr>
          <w:p>
            <w:pPr>
              <w:spacing w:after="40" w:before="0" w:line="259" w:lineRule="auto"/>
            </w:pPr>
            <w:r>
              <w:rPr>
                <w:rFonts w:ascii="Calibri" w:hAnsi="Calibri"/>
                <w:b/>
                <w:i w:val="0"/>
                <w:color w:val="212121"/>
                <w:sz w:val="19"/>
              </w:rPr>
              <w:t>Ciclosporin therapy after transplantation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Ciclosporin-based immunosuppression predisposes to multiple, often bilateral, fibroadenomas.</w:t>
            </w:r>
          </w:p>
        </w:tc>
      </w:tr>
      <w:tr>
        <w:trPr>
          <w:cantSplit/>
        </w:trPr>
        <w:tc>
          <w:tcPr>
            <w:tcW w:type="dxa" w:w="2232"/>
            <w:vAlign w:val="top"/>
          </w:tcPr>
          <w:p>
            <w:pPr>
              <w:spacing w:after="40" w:before="0" w:line="259" w:lineRule="auto"/>
            </w:pPr>
            <w:r>
              <w:rPr>
                <w:rFonts w:ascii="Calibri" w:hAnsi="Calibri"/>
                <w:b/>
                <w:i w:val="0"/>
                <w:color w:val="212121"/>
                <w:sz w:val="19"/>
              </w:rPr>
              <w:t>Obesity / oestrogen excess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Adipose aromatisation raises endogenous oestrogen that drives hormone-sensitive breast tissue and overall breast risk.</w:t>
            </w:r>
          </w:p>
        </w:tc>
      </w:tr>
      <w:tr>
        <w:trPr>
          <w:cantSplit/>
        </w:trPr>
        <w:tc>
          <w:tcPr>
            <w:tcW w:type="dxa" w:w="2232"/>
            <w:vAlign w:val="top"/>
          </w:tcPr>
          <w:p>
            <w:pPr>
              <w:spacing w:after="40" w:before="0" w:line="259" w:lineRule="auto"/>
            </w:pPr>
            <w:r>
              <w:rPr>
                <w:rFonts w:ascii="Calibri" w:hAnsi="Calibri"/>
                <w:b/>
                <w:i w:val="0"/>
                <w:color w:val="212121"/>
                <w:sz w:val="19"/>
              </w:rPr>
              <w:t>Carney complex (myxoid fibroadenomas)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Rare syndrome in which multiple myxoid fibroadenomas can occur; prompts consideration of associated features.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fibroadenoma is a common, benign (non-cancer) breast lump, most frequent in women under 30, and usually harmless.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regular breast self-awareness and report any new, discrete, firm lump for proper triple assessment rather than self-diagnosing.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reassuring features (smooth, mobile, painless) versus the red flags that need prompt review: a hard or fixed lump, rapid growth, skin dimpling, nipple retraction, bloody nipple discharge, or any new lump after age 35.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a confirmed small fibroadenoma can be safely watched with periodic clinical and ultrasound follow-up — surgery is not always necessary.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a complex fibroadenoma and a family history slightly raise long-term breast-cancer risk and warrant age-appropriate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recommended follow-up and any national breast-screening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new breast lump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choosing observation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 confirmed benign fibroadenoma, decide between observation (small, asymptomatic, triple-negative) and excision (larger than ~2–3 cm, growing, symptomatic, complex, or by patient choice).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core-needle biopsy has excluded a phyllodes tumour before committing to observation.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minimally invasive options where suitable, such as ultrasound-guided vacuum-assisted excision or cryoablation for small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medical therapy (e.g., centchroman/ormeloxifene) is only modestly effective — comparable to control with more, though non-serious, side-effects — and is not first-line.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interval growth, new lumps or worrying change promptly between follow-up visits.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confirmed fibroadenoma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weighing surgery vs observation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complex or large lesions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Asian-Indian BMI (18.0–22.9 kg/m2) and waist below 80 cm to limit adipose oestrogen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such as brisk walking, cycling or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some resistance training and reduce prolonged sedentary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regular activity lowers overall lifetime breast-cancer risk, even though it does not specifically prevent fibroadenoma.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young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(25–30 g/day), plant-rich diet with whole grains, pulses, fruit and vegetables to support healthy oestrogen metabolism.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high-fat, fried and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fruit over juices and include millets and legumes typical of a balanced Indian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breast discomfort is troublesome, a trial of reduced caffeine may help symptoms, though it does not prevent fibroadenoma.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benign breast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High-BMI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cyclical breast discomfort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of about 7–9 hours to support balanced hormonal rhythms.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possible, mitigate the circadian disruption of night-shift work with consistent routines and light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sleep disorders, which can worsen general well-being and breast-related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working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starting smoking and quit if you currently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smoking is linked to benign breast disease and raises overall breast-cancer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family history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alcohol; even light intake raises oestrogen and breast-cancer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drink, keep it occasional and well within low-risk limits.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weight control to lower total oestrogen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drink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High-BMI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empathetic explanation that a confirmed fibroadenoma is benign; structured reassurance after triple assessment relieves most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written information and a defined follow-up plan so the woman knows what to watch for and when to return.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significant anxiety or depression, which are common in benign breast disease, with counselling or referral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the woman in the observation-versus-surgery decision to reduce distress and improve satisfaction.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newly diagnosed with a breast lump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choosing observation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41283091/" TargetMode="External"/><Relationship Id="rId10" Type="http://schemas.openxmlformats.org/officeDocument/2006/relationships/hyperlink" Target="https://www.cancer.org/cancer/types/breast-cancer/non-cancerous-breast-conditions/fibroadenomas-of-the-breast.html" TargetMode="External"/><Relationship Id="rId11" Type="http://schemas.openxmlformats.org/officeDocument/2006/relationships/hyperlink" Target="https://pubmed.ncbi.nlm.nih.gov/37147991/" TargetMode="External"/><Relationship Id="rId12" Type="http://schemas.openxmlformats.org/officeDocument/2006/relationships/hyperlink" Target="https://www.ncbi.nlm.nih.gov/books/NBK535345/" TargetMode="External"/><Relationship Id="rId13" Type="http://schemas.openxmlformats.org/officeDocument/2006/relationships/hyperlink" Target="https://pubmed.ncbi.nlm.nih.gov/8202095/" TargetMode="External"/><Relationship Id="rId14" Type="http://schemas.openxmlformats.org/officeDocument/2006/relationships/hyperlink" Target="https://pubmed.ncbi.nlm.nih.gov/33767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