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Mastitis / Breast Abscess</w:t>
      </w:r>
    </w:p>
    <w:p>
      <w:pPr>
        <w:spacing w:before="0" w:after="160"/>
      </w:pPr>
      <w:r>
        <w:rPr>
          <w:rFonts w:ascii="Calibri" w:hAnsi="Calibri"/>
          <w:b/>
          <w:i w:val="0"/>
          <w:color w:val="212121"/>
          <w:sz w:val="22"/>
        </w:rPr>
        <w:t xml:space="preserve">AKA </w:t>
      </w:r>
      <w:r>
        <w:rPr>
          <w:rFonts w:ascii="Calibri" w:hAnsi="Calibri"/>
          <w:b w:val="0"/>
          <w:i w:val="0"/>
          <w:color w:val="212121"/>
          <w:sz w:val="22"/>
        </w:rPr>
        <w:t>i.e., Breast infection, Lactational / puerperal mastitis, Non-lactational (periductal) mastitis, Breast abscess, “Caked / gathered breast”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Mastitis is inflammation of the breast parenchyma, with or without infection, most commonly affecting lactating women (lactational or puerperal mastitis) during the first 6–12 weeks after delivery, when milk stasis and entry of skin/oral bacteria — chiefly Staphylococcus aureus — through a cracked nipple set up a wedge-shaped, painful, red, swollen area often accompanied by fever and flu-like symptoms. When milk stasis persists or infective mastitis is inadequately treated, a localised collection of pus — a breast abscess — may form and requires drainage. Non-lactational forms also occur, principally periductal mastitis / duct ectasia (strongly linked to smoking, with recurrent subareolar abscess and mammary-duct fistula) and idiopathic granulomatous mastitis in recently parous women; in India, tuberculous mastitis is an important additional cause and inflammatory breast carcinoma is a critical mimic.</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Lactational mastitis affects roughly one in four breastfeeding women, with longitudinal cohorts reporting cumulative incidence of about 23.7–27.1% between 3 and 12 months postpartum; it is a leading reason mothers abandon exclusive breastfeeding. Because breastfeeding is near-universal in India, mastitis is one of the commonest reasons lactating mothers seek surgical or obstetric care. A breast abscess — the principal acute complication — develops in about 3–11% of acute mastitis episodes, and Indian data place breast abscess in roughly 0.4–11% of all lactating mothers. Staphylococcus aureus predominates, and community-acquired MRSA is an increasingly important cause.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Mastitis and breast abscess are primarily clinical diagnoses in a lactating woman, supported by focused examination and, when an abscess is suspected, by ultrasound and aspiration culture: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picture: a firm, red, warm, tender, usually wedge-shaped area of ONE breast, often with systemic features (fever ≥ 38.5 °C, chills, myalgia, flu-like malaise) in a breastfeeding mother.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Lactational mastitis is diagnosed clinically; routine milk culture is not needed for a first, uncomplicated episode but is indicated for severe, hospital-acquired, recurrent, or antibiotic-unresponsive cases (to identify S. aureus / MRSA).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Breast ultrasound is the investigation of choice when an abscess is suspected — a fluctuant or persistent lump, or failure to improve after 48–72 h of antibiotics — showing a hypoechoic / complex fluid collection.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Diagnostic and therapeutic needle aspiration of the collection, preferably under ultrasound guidance, with pus sent for Gram stain and culture / sensitivity to guide antibiotics.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Exclude mimics and specific causes: biopsy any persistent inflammatory mass or suspicious skin change to rule out inflammatory breast carcinoma; consider tuberculous or idiopathic granulomatous mastitis in non-lactating, chronic, or non-resolving cases, especially in Indian settings.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Mastitis / breast abscess is best classified by the physiological context and mechanism, which determines the likely organism, differential diagnosis, and management:</w:t>
      </w:r>
    </w:p>
    <w:p>
      <w:pPr>
        <w:spacing w:before="0" w:after="80"/>
      </w:pPr>
      <w:r>
        <w:rPr>
          <w:rFonts w:ascii="Calibri" w:hAnsi="Calibri"/>
          <w:b w:val="0"/>
          <w:i w:val="0"/>
          <w:color w:val="212121"/>
          <w:sz w:val="21"/>
        </w:rPr>
        <w:t>(1) Lactational (puerperal) mastitis — the commonest form; ranges from non-infective inflammatory mastitis (milk stasis / engorgement) to infective mastitis (usually S. aureus), typically in the first 6–12 weeks of breastfeeding.</w:t>
      </w:r>
    </w:p>
    <w:p>
      <w:pPr>
        <w:spacing w:before="0" w:after="80"/>
      </w:pPr>
      <w:r>
        <w:rPr>
          <w:rFonts w:ascii="Calibri" w:hAnsi="Calibri"/>
          <w:b w:val="0"/>
          <w:i w:val="0"/>
          <w:color w:val="212121"/>
          <w:sz w:val="21"/>
        </w:rPr>
        <w:t>(2) Lactational breast abscess — a localised pus collection complicating inadequately treated or severe lactational mastitis; managed by ultrasound-guided needle aspiration or incision and drainage.</w:t>
      </w:r>
    </w:p>
    <w:p>
      <w:pPr>
        <w:spacing w:before="0" w:after="80"/>
      </w:pPr>
      <w:r>
        <w:rPr>
          <w:rFonts w:ascii="Calibri" w:hAnsi="Calibri"/>
          <w:b w:val="0"/>
          <w:i w:val="0"/>
          <w:color w:val="212121"/>
          <w:sz w:val="21"/>
        </w:rPr>
        <w:t>(3) Non-lactational periductal mastitis / duct ectasia — subareolar inflammation in (frequently smoking) non-lactating women, prone to recurrent subareolar abscess and mammary-duct fistula (Zuska disease).</w:t>
      </w:r>
    </w:p>
    <w:p>
      <w:pPr>
        <w:spacing w:before="0" w:after="80"/>
      </w:pPr>
      <w:r>
        <w:rPr>
          <w:rFonts w:ascii="Calibri" w:hAnsi="Calibri"/>
          <w:b w:val="0"/>
          <w:i w:val="0"/>
          <w:color w:val="212121"/>
          <w:sz w:val="21"/>
        </w:rPr>
        <w:t>(4) Idiopathic granulomatous mastitis — a chronic, sterile, granulomatous inflammation of parous women, usually within a few years of pregnancy / lactation, often mimicking carcinoma.</w:t>
      </w:r>
    </w:p>
    <w:p>
      <w:pPr>
        <w:spacing w:before="0" w:after="80"/>
      </w:pPr>
      <w:r>
        <w:rPr>
          <w:rFonts w:ascii="Calibri" w:hAnsi="Calibri"/>
          <w:b w:val="0"/>
          <w:i w:val="0"/>
          <w:color w:val="212121"/>
          <w:sz w:val="21"/>
        </w:rPr>
        <w:t>(5) Specific / rare forms — tuberculous (granulomatous) mastitis (important in India), fungal and neonatal / non-puerperal infections; plus the critical mimic, inflammatory breast carcinoma.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Milk stasis: incomplete breast emptying from poor latch, missed or skipped feeds, oversupply, abrupt weaning, or external pressure (tight bra) — the primary driver of lactational mastitis.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Bacterial entry – Staphylococcus aureus: skin / infant-oral flora, increasingly community-acquired MRSA, enter through a cracked nipple and multiply in stagnant milk.</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Nipple trauma / poor latch: cracked, fissured, sore nipples in early breastfeeding provide the portal of entry.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Smoking (non-lactational): cigarette smoke damages the subareolar duct wall and is strongly associated with periductal mastitis and recurrent subareolar abscess / fistula.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Immune / hormonal factors: idiopathic granulomatous mastitis is linked to recent pregnancy / lactation, hyperprolactinaemia and oral-contraceptive use, with a probable autoimmune mechanism.</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susceptibility: diabetes, obesity and immunosuppression increase abscess formation, MRSA involvement, recurrence and delayed healing.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Mammary dysbiosis: disruption of the milk microbiome (e.g. after antibiotics, hyperlactation, ductal narrowing) predisposes to infective mastitis.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Women of reproductive age (20–40 years)</w:t>
            </w:r>
          </w:p>
        </w:tc>
        <w:tc>
          <w:tcPr>
            <w:tcW w:type="dxa" w:w="4276"/>
            <w:vAlign w:val="top"/>
          </w:tcPr>
          <w:p>
            <w:pPr>
              <w:spacing w:after="60" w:line="259" w:lineRule="auto"/>
            </w:pPr>
            <w:r>
              <w:rPr>
                <w:rFonts w:ascii="Calibri" w:hAnsi="Calibri"/>
                <w:b w:val="0"/>
                <w:i w:val="0"/>
                <w:color w:val="212121"/>
                <w:sz w:val="19"/>
              </w:rPr>
              <w:t>Peak childbearing and breastfeeding years concentrate lactational mastitis in this group; hormone-primed glandular tissue plus frequent breastfeeding create the milk-stasis and nipple-trauma conditions in which infection develops.</w:t>
            </w:r>
          </w:p>
          <w:p>
            <w:pPr>
              <w:spacing w:after="40" w:before="60" w:line="259" w:lineRule="auto"/>
            </w:pPr>
            <w:r>
              <w:rPr>
                <w:rFonts w:ascii="Calibri" w:hAnsi="Calibri"/>
                <w:b w:val="0"/>
                <w:i w:val="0"/>
                <w:color w:val="212121"/>
                <w:sz w:val="19"/>
              </w:rPr>
              <w:t>Longitudinal cohorts report lactational mastitis in about 23.7–27.1% of breastfeeding women between 3 and 12 months postpartum, with the highest risk in the first weeks.</w:t>
            </w:r>
          </w:p>
          <w:p>
            <w:pPr>
              <w:spacing w:after="40" w:line="252" w:lineRule="auto"/>
            </w:pPr>
            <w:hyperlink r:id="rId9">
              <w:r>
                <w:rPr>
                  <w:rFonts w:ascii="Calibri" w:hAnsi="Calibri" w:cs="Calibri"/>
                  <w:sz w:val="18"/>
                  <w:color w:val="1155CC"/>
                  <w:u w:val="single"/>
                </w:rPr>
                <w:t xml:space="preserve">ncbi.nlm.nih.gov — StatPearls: Lactational Mastitis</w:t>
              </w:r>
            </w:hyperlink>
          </w:p>
          <w:p>
            <w:pPr>
              <w:spacing w:before="60" w:after="40"/>
            </w:pPr>
            <w:r>
              <w:rPr>
                <w:rFonts w:ascii="Calibri" w:hAnsi="Calibri"/>
                <w:b w:val="0"/>
                <w:i w:val="0"/>
                <w:color w:val="5A5A5A"/>
                <w:sz w:val="18"/>
              </w:rPr>
              <w:t>#lactation  #postpartum  #milkstasis  #reproductiveage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Peri- and post-menopausal women (&gt; 45 years)</w:t>
            </w:r>
          </w:p>
        </w:tc>
        <w:tc>
          <w:tcPr>
            <w:tcW w:type="dxa" w:w="4276"/>
            <w:vAlign w:val="top"/>
          </w:tcPr>
          <w:p>
            <w:pPr>
              <w:spacing w:after="60" w:line="259" w:lineRule="auto"/>
            </w:pPr>
            <w:r>
              <w:rPr>
                <w:rFonts w:ascii="Calibri" w:hAnsi="Calibri"/>
                <w:b w:val="0"/>
                <w:i w:val="0"/>
                <w:color w:val="212121"/>
                <w:sz w:val="19"/>
              </w:rPr>
              <w:t>Outside lactation, inflammatory breast changes in older women more often reflect duct ectasia / periductal mastitis and, importantly, must trigger exclusion of inflammatory or occult breast carcinoma before being labelled ‘infection’.</w:t>
            </w:r>
          </w:p>
          <w:p>
            <w:pPr>
              <w:spacing w:after="40" w:before="60" w:line="259" w:lineRule="auto"/>
            </w:pPr>
            <w:r>
              <w:rPr>
                <w:rFonts w:ascii="Calibri" w:hAnsi="Calibri"/>
                <w:b w:val="0"/>
                <w:i w:val="0"/>
                <w:color w:val="212121"/>
                <w:sz w:val="19"/>
              </w:rPr>
              <w:t>In non-lactating and older women a persistent inflammatory breast mass warrants imaging and biopsy to exclude malignancy; duct ectasia and periductal mastitis are well described in Indian women.</w:t>
            </w:r>
          </w:p>
          <w:p>
            <w:pPr>
              <w:spacing w:after="40" w:line="252" w:lineRule="auto"/>
            </w:pPr>
            <w:hyperlink r:id="rId10">
              <w:r>
                <w:rPr>
                  <w:rFonts w:ascii="Calibri" w:hAnsi="Calibri" w:cs="Calibri"/>
                  <w:sz w:val="18"/>
                  <w:color w:val="1155CC"/>
                  <w:u w:val="single"/>
                </w:rPr>
                <w:t xml:space="preserve">pubmed.ncbi.nlm.nih.gov/27011490 — duct ectasia &amp; periductal mastitis, Indian women</w:t>
              </w:r>
            </w:hyperlink>
          </w:p>
          <w:p>
            <w:pPr>
              <w:spacing w:before="60" w:after="40"/>
            </w:pPr>
            <w:r>
              <w:rPr>
                <w:rFonts w:ascii="Calibri" w:hAnsi="Calibri"/>
                <w:b w:val="0"/>
                <w:i w:val="0"/>
                <w:color w:val="5A5A5A"/>
                <w:sz w:val="18"/>
              </w:rPr>
              <w:t>#ductectasia  #periductal  #carcinomamimic  #postmenopausal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(female)</w:t>
            </w:r>
          </w:p>
        </w:tc>
        <w:tc>
          <w:tcPr>
            <w:tcW w:type="dxa" w:w="4276"/>
            <w:vAlign w:val="top"/>
          </w:tcPr>
          <w:p>
            <w:pPr>
              <w:spacing w:after="60" w:line="259" w:lineRule="auto"/>
            </w:pPr>
            <w:r>
              <w:rPr>
                <w:rFonts w:ascii="Calibri" w:hAnsi="Calibri"/>
                <w:b w:val="0"/>
                <w:i w:val="0"/>
                <w:color w:val="212121"/>
                <w:sz w:val="19"/>
              </w:rPr>
              <w:t>The breast’s lactational function and larger ductal-lobular volume make mastitis and abscess overwhelmingly a female condition; male mastitis is rare and usually reflects trauma, infection over gynaecomastia, or diabetes.</w:t>
            </w:r>
          </w:p>
          <w:p>
            <w:pPr>
              <w:spacing w:after="40" w:before="60" w:line="259" w:lineRule="auto"/>
            </w:pPr>
            <w:r>
              <w:rPr>
                <w:rFonts w:ascii="Calibri" w:hAnsi="Calibri"/>
                <w:b w:val="0"/>
                <w:i w:val="0"/>
                <w:color w:val="212121"/>
                <w:sz w:val="19"/>
              </w:rPr>
              <w:t>Mastitis and breast abscess occur almost exclusively in women; even non-lactational granulomatous mastitis series are ~99% female.</w:t>
            </w:r>
          </w:p>
          <w:p>
            <w:pPr>
              <w:spacing w:before="60" w:after="40"/>
            </w:pPr>
            <w:r>
              <w:rPr>
                <w:rFonts w:ascii="Calibri" w:hAnsi="Calibri"/>
                <w:b w:val="0"/>
                <w:i w:val="0"/>
                <w:color w:val="5A5A5A"/>
                <w:sz w:val="18"/>
              </w:rPr>
              <w:t>#female  #breast  #raremale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Physiological state</w:t>
            </w:r>
          </w:p>
        </w:tc>
        <w:tc>
          <w:tcPr>
            <w:tcW w:type="dxa" w:w="2160"/>
            <w:vAlign w:val="top"/>
          </w:tcPr>
          <w:p>
            <w:pPr>
              <w:spacing w:after="40" w:before="0" w:line="259" w:lineRule="auto"/>
            </w:pPr>
            <w:r>
              <w:rPr>
                <w:rFonts w:ascii="Calibri" w:hAnsi="Calibri"/>
                <w:b w:val="0"/>
                <w:i w:val="0"/>
                <w:color w:val="212121"/>
                <w:sz w:val="19"/>
              </w:rPr>
              <w:t>Lactating / breastfeeding mothers (esp. primiparous, first 6–12 weeks)</w:t>
            </w:r>
          </w:p>
        </w:tc>
        <w:tc>
          <w:tcPr>
            <w:tcW w:type="dxa" w:w="4276"/>
            <w:vAlign w:val="top"/>
          </w:tcPr>
          <w:p>
            <w:pPr>
              <w:spacing w:after="60" w:line="259" w:lineRule="auto"/>
            </w:pPr>
            <w:r>
              <w:rPr>
                <w:rFonts w:ascii="Calibri" w:hAnsi="Calibri"/>
                <w:b w:val="0"/>
                <w:i w:val="0"/>
                <w:color w:val="212121"/>
                <w:sz w:val="19"/>
              </w:rPr>
              <w:t>Establishing feeding brings engorgement, latch difficulty and nipple cracks that combine milk stasis with a bacterial portal of entry; first-time mothers face the steepest learning curve.</w:t>
            </w:r>
          </w:p>
          <w:p>
            <w:pPr>
              <w:spacing w:after="40" w:before="60" w:line="259" w:lineRule="auto"/>
            </w:pPr>
            <w:r>
              <w:rPr>
                <w:rFonts w:ascii="Calibri" w:hAnsi="Calibri"/>
                <w:b w:val="0"/>
                <w:i w:val="0"/>
                <w:color w:val="212121"/>
                <w:sz w:val="19"/>
              </w:rPr>
              <w:t>Mastitis affects roughly one in four breastfeeding women and is a leading reason for stopping breastfeeding; lactational mastitis usually presents within the first 6 weeks postpartum.</w:t>
            </w:r>
          </w:p>
          <w:p>
            <w:pPr>
              <w:spacing w:after="40" w:line="252" w:lineRule="auto"/>
            </w:pPr>
            <w:hyperlink r:id="rId9">
              <w:r>
                <w:rPr>
                  <w:rFonts w:ascii="Calibri" w:hAnsi="Calibri" w:cs="Calibri"/>
                  <w:sz w:val="18"/>
                  <w:color w:val="1155CC"/>
                  <w:u w:val="single"/>
                </w:rPr>
                <w:t xml:space="preserve">ncbi.nlm.nih.gov — StatPearls: Lactational Mastitis</w:t>
              </w:r>
            </w:hyperlink>
          </w:p>
          <w:p>
            <w:pPr>
              <w:spacing w:before="60" w:after="40"/>
            </w:pPr>
            <w:r>
              <w:rPr>
                <w:rFonts w:ascii="Calibri" w:hAnsi="Calibri"/>
                <w:b w:val="0"/>
                <w:i w:val="0"/>
                <w:color w:val="5A5A5A"/>
                <w:sz w:val="18"/>
              </w:rPr>
              <w:t>#primipara  #engorgement  #crackednipple  #earlypuerperium</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healthcare access</w:t>
            </w:r>
          </w:p>
        </w:tc>
        <w:tc>
          <w:tcPr>
            <w:tcW w:type="dxa" w:w="2160"/>
            <w:vAlign w:val="top"/>
          </w:tcPr>
          <w:p>
            <w:pPr>
              <w:spacing w:after="40" w:before="0" w:line="259" w:lineRule="auto"/>
            </w:pPr>
            <w:r>
              <w:rPr>
                <w:rFonts w:ascii="Calibri" w:hAnsi="Calibri"/>
                <w:b w:val="0"/>
                <w:i w:val="0"/>
                <w:color w:val="212121"/>
                <w:sz w:val="19"/>
              </w:rPr>
              <w:t>Indian &amp; LMIC breastfeeding population</w:t>
            </w:r>
          </w:p>
        </w:tc>
        <w:tc>
          <w:tcPr>
            <w:tcW w:type="dxa" w:w="4276"/>
            <w:vAlign w:val="top"/>
          </w:tcPr>
          <w:p>
            <w:pPr>
              <w:spacing w:after="60" w:line="259" w:lineRule="auto"/>
            </w:pPr>
            <w:r>
              <w:rPr>
                <w:rFonts w:ascii="Calibri" w:hAnsi="Calibri"/>
                <w:b w:val="0"/>
                <w:i w:val="0"/>
                <w:color w:val="212121"/>
                <w:sz w:val="19"/>
              </w:rPr>
              <w:t>Near-universal, prolonged breastfeeding maximises exposure, while delayed presentation and limited early lactation support allow simple mastitis to progress to abscess before treatment.</w:t>
            </w:r>
          </w:p>
          <w:p>
            <w:pPr>
              <w:spacing w:after="40" w:before="60" w:line="259" w:lineRule="auto"/>
            </w:pPr>
            <w:r>
              <w:rPr>
                <w:rFonts w:ascii="Calibri" w:hAnsi="Calibri"/>
                <w:b w:val="0"/>
                <w:i w:val="0"/>
                <w:color w:val="212121"/>
                <w:sz w:val="19"/>
              </w:rPr>
              <w:t>Indian data place breast abscess in about 0.4–11% of all lactating mothers, with Staphylococcus aureus predominating and ultrasound-guided aspiration now first-line over open surgery.</w:t>
            </w:r>
          </w:p>
          <w:p>
            <w:pPr>
              <w:spacing w:after="40" w:line="252" w:lineRule="auto"/>
            </w:pPr>
            <w:hyperlink r:id="rId11">
              <w:r>
                <w:rPr>
                  <w:rFonts w:ascii="Calibri" w:hAnsi="Calibri" w:cs="Calibri"/>
                  <w:sz w:val="18"/>
                  <w:color w:val="1155CC"/>
                  <w:u w:val="single"/>
                </w:rPr>
                <w:t xml:space="preserve">pubmed.ncbi.nlm.nih.gov/24465097 — management of lactational mastitis &amp; abscess (India)</w:t>
              </w:r>
            </w:hyperlink>
          </w:p>
          <w:p>
            <w:pPr>
              <w:spacing w:before="60" w:after="40"/>
            </w:pPr>
            <w:r>
              <w:rPr>
                <w:rFonts w:ascii="Calibri" w:hAnsi="Calibri"/>
                <w:b w:val="0"/>
                <w:i w:val="0"/>
                <w:color w:val="5A5A5A"/>
                <w:sz w:val="18"/>
              </w:rPr>
              <w:t>#india  #breastfeeding  #latepresentation  #Saureus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Endemic infection</w:t>
            </w:r>
          </w:p>
        </w:tc>
        <w:tc>
          <w:tcPr>
            <w:tcW w:type="dxa" w:w="2160"/>
            <w:vAlign w:val="top"/>
          </w:tcPr>
          <w:p>
            <w:pPr>
              <w:spacing w:after="40" w:before="0" w:line="259" w:lineRule="auto"/>
            </w:pPr>
            <w:r>
              <w:rPr>
                <w:rFonts w:ascii="Calibri" w:hAnsi="Calibri"/>
                <w:b w:val="0"/>
                <w:i w:val="0"/>
                <w:color w:val="212121"/>
                <w:sz w:val="19"/>
              </w:rPr>
              <w:t>Residents of TB-endemic India</w:t>
            </w:r>
          </w:p>
        </w:tc>
        <w:tc>
          <w:tcPr>
            <w:tcW w:type="dxa" w:w="4276"/>
            <w:vAlign w:val="top"/>
          </w:tcPr>
          <w:p>
            <w:pPr>
              <w:spacing w:after="60" w:line="259" w:lineRule="auto"/>
            </w:pPr>
            <w:r>
              <w:rPr>
                <w:rFonts w:ascii="Calibri" w:hAnsi="Calibri"/>
                <w:b w:val="0"/>
                <w:i w:val="0"/>
                <w:color w:val="212121"/>
                <w:sz w:val="19"/>
              </w:rPr>
              <w:t>In tuberculosis-endemic India, tuberculous (granulomatous) mastitis is a recognised cause of chronic breast inflammation, sinus and abscess, and must be distinguished from pyogenic and idiopathic granulomatous disease.</w:t>
            </w:r>
          </w:p>
          <w:p>
            <w:pPr>
              <w:spacing w:after="40" w:before="60" w:line="259" w:lineRule="auto"/>
            </w:pPr>
            <w:r>
              <w:rPr>
                <w:rFonts w:ascii="Calibri" w:hAnsi="Calibri"/>
                <w:b w:val="0"/>
                <w:i w:val="0"/>
                <w:color w:val="212121"/>
                <w:sz w:val="19"/>
              </w:rPr>
              <w:t>Tuberculous mastitis, though uncommon overall, is disproportionately reported from India and presents as chronic breast lump, abscess or discharging sinus.</w:t>
            </w:r>
          </w:p>
          <w:p>
            <w:pPr>
              <w:spacing w:after="40" w:line="252" w:lineRule="auto"/>
            </w:pPr>
            <w:hyperlink r:id="rId12">
              <w:r>
                <w:rPr>
                  <w:rFonts w:ascii="Calibri" w:hAnsi="Calibri" w:cs="Calibri"/>
                  <w:sz w:val="18"/>
                  <w:color w:val="1155CC"/>
                  <w:u w:val="single"/>
                </w:rPr>
                <w:t xml:space="preserve">pubmed.ncbi.nlm.nih.gov/30797285 — breast tuberculosis (Indian J Tuberc)</w:t>
              </w:r>
            </w:hyperlink>
          </w:p>
          <w:p>
            <w:pPr>
              <w:spacing w:before="60" w:after="40"/>
            </w:pPr>
            <w:r>
              <w:rPr>
                <w:rFonts w:ascii="Calibri" w:hAnsi="Calibri"/>
                <w:b w:val="0"/>
                <w:i w:val="0"/>
                <w:color w:val="5A5A5A"/>
                <w:sz w:val="18"/>
              </w:rPr>
              <w:t>#tuberculosis  #granulomatous  #chronicabscess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 (non-lactating women)</w:t>
            </w:r>
          </w:p>
        </w:tc>
        <w:tc>
          <w:tcPr>
            <w:tcW w:type="dxa" w:w="4276"/>
            <w:vAlign w:val="top"/>
          </w:tcPr>
          <w:p>
            <w:pPr>
              <w:spacing w:after="60" w:line="259" w:lineRule="auto"/>
            </w:pPr>
            <w:r>
              <w:rPr>
                <w:rFonts w:ascii="Calibri" w:hAnsi="Calibri"/>
                <w:b w:val="0"/>
                <w:i w:val="0"/>
                <w:color w:val="212121"/>
                <w:sz w:val="19"/>
              </w:rPr>
              <w:t>Smoking damages the subareolar duct epithelium and promotes periductal inflammation, making smokers prone to non-lactational (periductal) mastitis, recurrent subareolar abscess and mammary-duct fistula, which also recur more often after drainage.</w:t>
            </w:r>
          </w:p>
          <w:p>
            <w:pPr>
              <w:spacing w:after="40" w:before="60" w:line="259" w:lineRule="auto"/>
            </w:pPr>
            <w:r>
              <w:rPr>
                <w:rFonts w:ascii="Calibri" w:hAnsi="Calibri"/>
                <w:b w:val="0"/>
                <w:i w:val="0"/>
                <w:color w:val="212121"/>
                <w:sz w:val="19"/>
              </w:rPr>
              <w:t>Cigarette smoking is strongly and specifically associated with periductal (non-lactational) mastitis and recurrent subareolar abscess.</w:t>
            </w:r>
          </w:p>
          <w:p>
            <w:pPr>
              <w:spacing w:after="40" w:line="252" w:lineRule="auto"/>
            </w:pPr>
            <w:hyperlink r:id="rId13">
              <w:r>
                <w:rPr>
                  <w:rFonts w:ascii="Calibri" w:hAnsi="Calibri" w:cs="Calibri"/>
                  <w:sz w:val="18"/>
                  <w:color w:val="1155CC"/>
                  <w:u w:val="single"/>
                </w:rPr>
                <w:t xml:space="preserve">pubmed.ncbi.nlm.nih.gov/8219949 — smoking and periductal mastitis</w:t>
              </w:r>
            </w:hyperlink>
          </w:p>
          <w:p>
            <w:pPr>
              <w:spacing w:before="60" w:after="40"/>
            </w:pPr>
            <w:r>
              <w:rPr>
                <w:rFonts w:ascii="Calibri" w:hAnsi="Calibri"/>
                <w:b w:val="0"/>
                <w:i w:val="0"/>
                <w:color w:val="5A5A5A"/>
                <w:sz w:val="18"/>
              </w:rPr>
              <w:t>#smoking  #periductal  #recurrentabscess  #fistula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&amp; obese women</w:t>
            </w:r>
          </w:p>
        </w:tc>
        <w:tc>
          <w:tcPr>
            <w:tcW w:type="dxa" w:w="4276"/>
            <w:vAlign w:val="top"/>
          </w:tcPr>
          <w:p>
            <w:pPr>
              <w:spacing w:after="60" w:line="259" w:lineRule="auto"/>
            </w:pPr>
            <w:r>
              <w:rPr>
                <w:rFonts w:ascii="Calibri" w:hAnsi="Calibri"/>
                <w:b w:val="0"/>
                <w:i w:val="0"/>
                <w:color w:val="212121"/>
                <w:sz w:val="19"/>
              </w:rPr>
              <w:t>Larger, more pendulous breasts drain less completely and retain milk / secretions, while adiposity impairs immune and wound-healing responses — together raising the risk that mastitis progresses to abscess.</w:t>
            </w:r>
          </w:p>
          <w:p>
            <w:pPr>
              <w:spacing w:after="40" w:before="60" w:line="259" w:lineRule="auto"/>
            </w:pPr>
            <w:r>
              <w:rPr>
                <w:rFonts w:ascii="Calibri" w:hAnsi="Calibri"/>
                <w:b w:val="0"/>
                <w:i w:val="0"/>
                <w:color w:val="212121"/>
                <w:sz w:val="19"/>
              </w:rPr>
              <w:t>Breast abscess is more frequent in lactating women, smokers, and those with higher body weight.</w:t>
            </w:r>
          </w:p>
          <w:p>
            <w:pPr>
              <w:spacing w:after="40" w:line="252" w:lineRule="auto"/>
            </w:pPr>
            <w:hyperlink r:id="rId9">
              <w:r>
                <w:rPr>
                  <w:rFonts w:ascii="Calibri" w:hAnsi="Calibri" w:cs="Calibri"/>
                  <w:sz w:val="18"/>
                  <w:color w:val="1155CC"/>
                  <w:u w:val="single"/>
                </w:rPr>
                <w:t xml:space="preserve">ncbi.nlm.nih.gov — StatPearls: Lactational Mastitis</w:t>
              </w:r>
            </w:hyperlink>
          </w:p>
          <w:p>
            <w:pPr>
              <w:spacing w:before="60" w:after="40"/>
            </w:pPr>
            <w:r>
              <w:rPr>
                <w:rFonts w:ascii="Calibri" w:hAnsi="Calibri"/>
                <w:b w:val="0"/>
                <w:i w:val="0"/>
                <w:color w:val="5A5A5A"/>
                <w:sz w:val="18"/>
              </w:rPr>
              <w:t>#obesity  #poordrainage  #abscessrisk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Feeding practice</w:t>
            </w:r>
          </w:p>
        </w:tc>
        <w:tc>
          <w:tcPr>
            <w:tcW w:type="dxa" w:w="2160"/>
            <w:vAlign w:val="top"/>
          </w:tcPr>
          <w:p>
            <w:pPr>
              <w:spacing w:after="40" w:before="0" w:line="259" w:lineRule="auto"/>
            </w:pPr>
            <w:r>
              <w:rPr>
                <w:rFonts w:ascii="Calibri" w:hAnsi="Calibri"/>
                <w:b w:val="0"/>
                <w:i w:val="0"/>
                <w:color w:val="212121"/>
                <w:sz w:val="19"/>
              </w:rPr>
              <w:t>Mothers with poor latch, missed/skipped feeds or abrupt weaning</w:t>
            </w:r>
          </w:p>
        </w:tc>
        <w:tc>
          <w:tcPr>
            <w:tcW w:type="dxa" w:w="4276"/>
            <w:vAlign w:val="top"/>
          </w:tcPr>
          <w:p>
            <w:pPr>
              <w:spacing w:after="60" w:line="259" w:lineRule="auto"/>
            </w:pPr>
            <w:r>
              <w:rPr>
                <w:rFonts w:ascii="Calibri" w:hAnsi="Calibri"/>
                <w:b w:val="0"/>
                <w:i w:val="0"/>
                <w:color w:val="212121"/>
                <w:sz w:val="19"/>
              </w:rPr>
              <w:t>Any pattern that leaves milk behind — infrequent feeds, blocked ducts, sudden weaning, sleeping on the breast or a tight bra — creates the localised stasis in which mastitis begins.</w:t>
            </w:r>
          </w:p>
          <w:p>
            <w:pPr>
              <w:spacing w:after="40" w:before="60" w:line="259" w:lineRule="auto"/>
            </w:pPr>
            <w:r>
              <w:rPr>
                <w:rFonts w:ascii="Calibri" w:hAnsi="Calibri"/>
                <w:b w:val="0"/>
                <w:i w:val="0"/>
                <w:color w:val="212121"/>
                <w:sz w:val="19"/>
              </w:rPr>
              <w:t>Milk stasis from nipple injury, latch difficulty, oversupply or skipped feeds is the principal precipitant of lactational mastitis.</w:t>
            </w:r>
          </w:p>
          <w:p>
            <w:pPr>
              <w:spacing w:after="40" w:line="252" w:lineRule="auto"/>
            </w:pPr>
            <w:hyperlink r:id="rId9">
              <w:r>
                <w:rPr>
                  <w:rFonts w:ascii="Calibri" w:hAnsi="Calibri" w:cs="Calibri"/>
                  <w:sz w:val="18"/>
                  <w:color w:val="1155CC"/>
                  <w:u w:val="single"/>
                </w:rPr>
                <w:t xml:space="preserve">ncbi.nlm.nih.gov — StatPearls: Lactational Mastitis</w:t>
              </w:r>
            </w:hyperlink>
          </w:p>
          <w:p>
            <w:pPr>
              <w:spacing w:before="60" w:after="40"/>
            </w:pPr>
            <w:r>
              <w:rPr>
                <w:rFonts w:ascii="Calibri" w:hAnsi="Calibri"/>
                <w:b w:val="0"/>
                <w:i w:val="0"/>
                <w:color w:val="5A5A5A"/>
                <w:sz w:val="18"/>
              </w:rPr>
              <w:t>#milkstasis  #poorlatch  #abruptweaning  #blockedduct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 nipple care</w:t>
            </w:r>
          </w:p>
        </w:tc>
        <w:tc>
          <w:tcPr>
            <w:tcW w:type="dxa" w:w="2160"/>
            <w:vAlign w:val="top"/>
          </w:tcPr>
          <w:p>
            <w:pPr>
              <w:spacing w:after="40" w:before="0" w:line="259" w:lineRule="auto"/>
            </w:pPr>
            <w:r>
              <w:rPr>
                <w:rFonts w:ascii="Calibri" w:hAnsi="Calibri"/>
                <w:b w:val="0"/>
                <w:i w:val="0"/>
                <w:color w:val="212121"/>
                <w:sz w:val="19"/>
              </w:rPr>
              <w:t>Poor nipple hygiene, cracked nipples, tight garments</w:t>
            </w:r>
          </w:p>
        </w:tc>
        <w:tc>
          <w:tcPr>
            <w:tcW w:type="dxa" w:w="4276"/>
            <w:vAlign w:val="top"/>
          </w:tcPr>
          <w:p>
            <w:pPr>
              <w:spacing w:after="60" w:line="259" w:lineRule="auto"/>
            </w:pPr>
            <w:r>
              <w:rPr>
                <w:rFonts w:ascii="Calibri" w:hAnsi="Calibri"/>
                <w:b w:val="0"/>
                <w:i w:val="0"/>
                <w:color w:val="212121"/>
                <w:sz w:val="19"/>
              </w:rPr>
              <w:t>Fissured nipples and poor hand / nipple hygiene let skin and infant-oral S. aureus enter the ductal system; constrictive clothing adds focal pressure and stasis.</w:t>
            </w:r>
          </w:p>
          <w:p>
            <w:pPr>
              <w:spacing w:after="40" w:before="60" w:line="259" w:lineRule="auto"/>
            </w:pPr>
            <w:r>
              <w:rPr>
                <w:rFonts w:ascii="Calibri" w:hAnsi="Calibri"/>
                <w:b w:val="0"/>
                <w:i w:val="0"/>
                <w:color w:val="212121"/>
                <w:sz w:val="19"/>
              </w:rPr>
              <w:t>A cracked or fissured nipple is the usual portal of entry for the bacteria that cause infective lactational mastitis.</w:t>
            </w:r>
          </w:p>
          <w:p>
            <w:pPr>
              <w:spacing w:before="60" w:after="40"/>
            </w:pPr>
            <w:r>
              <w:rPr>
                <w:rFonts w:ascii="Calibri" w:hAnsi="Calibri"/>
                <w:b w:val="0"/>
                <w:i w:val="0"/>
                <w:color w:val="5A5A5A"/>
                <w:sz w:val="18"/>
              </w:rPr>
              <w:t>#nipplecare  #hygiene  #fissure  #Saureus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 / hydration</w:t>
            </w:r>
          </w:p>
        </w:tc>
        <w:tc>
          <w:tcPr>
            <w:tcW w:type="dxa" w:w="2160"/>
            <w:vAlign w:val="top"/>
          </w:tcPr>
          <w:p>
            <w:pPr>
              <w:spacing w:after="40" w:before="0" w:line="259" w:lineRule="auto"/>
            </w:pPr>
            <w:r>
              <w:rPr>
                <w:rFonts w:ascii="Calibri" w:hAnsi="Calibri"/>
                <w:b w:val="0"/>
                <w:i w:val="0"/>
                <w:color w:val="212121"/>
                <w:sz w:val="19"/>
              </w:rPr>
              <w:t>Undernourished, dehydrated or exhausted mothers</w:t>
            </w:r>
          </w:p>
        </w:tc>
        <w:tc>
          <w:tcPr>
            <w:tcW w:type="dxa" w:w="4276"/>
            <w:vAlign w:val="top"/>
          </w:tcPr>
          <w:p>
            <w:pPr>
              <w:spacing w:after="60" w:line="259" w:lineRule="auto"/>
            </w:pPr>
            <w:r>
              <w:rPr>
                <w:rFonts w:ascii="Calibri" w:hAnsi="Calibri"/>
                <w:b w:val="0"/>
                <w:i w:val="0"/>
                <w:color w:val="212121"/>
                <w:sz w:val="19"/>
              </w:rPr>
              <w:t>Maternal fatigue, poor nutrition and dehydration lower immune competence and can reduce effective milk removal, indirectly favouring stasis and infection during the demanding early postpartum period.</w:t>
            </w:r>
          </w:p>
          <w:p>
            <w:pPr>
              <w:spacing w:after="40" w:before="60" w:line="259" w:lineRule="auto"/>
            </w:pPr>
            <w:r>
              <w:rPr>
                <w:rFonts w:ascii="Calibri" w:hAnsi="Calibri"/>
                <w:b w:val="0"/>
                <w:i w:val="0"/>
                <w:color w:val="212121"/>
                <w:sz w:val="19"/>
              </w:rPr>
              <w:t>Maternal stress and fatigue are recognised contributory factors to lactational mastitis, though no single food or nutrient is a direct cause.</w:t>
            </w:r>
          </w:p>
          <w:p>
            <w:pPr>
              <w:spacing w:before="60" w:after="40"/>
            </w:pPr>
            <w:r>
              <w:rPr>
                <w:rFonts w:ascii="Calibri" w:hAnsi="Calibri"/>
                <w:b w:val="0"/>
                <w:i w:val="0"/>
                <w:color w:val="5A5A5A"/>
                <w:sz w:val="18"/>
              </w:rPr>
              <w:t>#nutrition  #hydration  #fatigue  #immunity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Glycaemic control</w:t>
            </w:r>
          </w:p>
        </w:tc>
        <w:tc>
          <w:tcPr>
            <w:tcW w:type="dxa" w:w="2160"/>
            <w:vAlign w:val="top"/>
          </w:tcPr>
          <w:p>
            <w:pPr>
              <w:spacing w:after="40" w:before="0" w:line="259" w:lineRule="auto"/>
            </w:pPr>
            <w:r>
              <w:rPr>
                <w:rFonts w:ascii="Calibri" w:hAnsi="Calibri"/>
                <w:b w:val="0"/>
                <w:i w:val="0"/>
                <w:color w:val="212121"/>
                <w:sz w:val="19"/>
              </w:rPr>
              <w:t>Women with poorly controlled diabetes / high-glycaemic diet</w:t>
            </w:r>
          </w:p>
        </w:tc>
        <w:tc>
          <w:tcPr>
            <w:tcW w:type="dxa" w:w="4276"/>
            <w:vAlign w:val="top"/>
          </w:tcPr>
          <w:p>
            <w:pPr>
              <w:spacing w:after="60" w:line="259" w:lineRule="auto"/>
            </w:pPr>
            <w:r>
              <w:rPr>
                <w:rFonts w:ascii="Calibri" w:hAnsi="Calibri"/>
                <w:b w:val="0"/>
                <w:i w:val="0"/>
                <w:color w:val="212121"/>
                <w:sz w:val="19"/>
              </w:rPr>
              <w:t>Chronic hyperglycaemia impairs neutrophil function and microcirculation, so diabetic women are more likely to convert simple mastitis into an abscess, grow MRSA, and heal slowly after drainage.</w:t>
            </w:r>
          </w:p>
          <w:p>
            <w:pPr>
              <w:spacing w:after="40" w:before="60" w:line="259" w:lineRule="auto"/>
            </w:pPr>
            <w:r>
              <w:rPr>
                <w:rFonts w:ascii="Calibri" w:hAnsi="Calibri"/>
                <w:b w:val="0"/>
                <w:i w:val="0"/>
                <w:color w:val="212121"/>
                <w:sz w:val="19"/>
              </w:rPr>
              <w:t>Poorly controlled diabetes and obesity are consistently linked to breast abscess formation, MRSA involvement and delayed wound healing.</w:t>
            </w:r>
          </w:p>
          <w:p>
            <w:pPr>
              <w:spacing w:before="60" w:after="40"/>
            </w:pPr>
            <w:r>
              <w:rPr>
                <w:rFonts w:ascii="Calibri" w:hAnsi="Calibri"/>
                <w:b w:val="0"/>
                <w:i w:val="0"/>
                <w:color w:val="5A5A5A"/>
                <w:sz w:val="18"/>
              </w:rPr>
              <w:t>#diabetes  #hyperglycaemia  #poorhealing  #abscess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Ethnic predisposition</w:t>
            </w:r>
          </w:p>
        </w:tc>
        <w:tc>
          <w:tcPr>
            <w:tcW w:type="dxa" w:w="2160"/>
            <w:vAlign w:val="top"/>
          </w:tcPr>
          <w:p>
            <w:pPr>
              <w:spacing w:after="40" w:before="0" w:line="259" w:lineRule="auto"/>
            </w:pPr>
            <w:r>
              <w:rPr>
                <w:rFonts w:ascii="Calibri" w:hAnsi="Calibri"/>
                <w:b w:val="0"/>
                <w:i w:val="0"/>
                <w:color w:val="212121"/>
                <w:sz w:val="19"/>
              </w:rPr>
              <w:t>Asian / Indian / Hispanic parous women (granulomatous mastitis)</w:t>
            </w:r>
          </w:p>
        </w:tc>
        <w:tc>
          <w:tcPr>
            <w:tcW w:type="dxa" w:w="4276"/>
            <w:vAlign w:val="top"/>
          </w:tcPr>
          <w:p>
            <w:pPr>
              <w:spacing w:after="60" w:line="259" w:lineRule="auto"/>
            </w:pPr>
            <w:r>
              <w:rPr>
                <w:rFonts w:ascii="Calibri" w:hAnsi="Calibri"/>
                <w:b w:val="0"/>
                <w:i w:val="0"/>
                <w:color w:val="212121"/>
                <w:sz w:val="19"/>
              </w:rPr>
              <w:t>Idiopathic granulomatous mastitis shows a predilection for parous women of Asian, Indian and Hispanic background, typically within a few years of a pregnancy, suggesting host / immunogenetic susceptibility.</w:t>
            </w:r>
          </w:p>
          <w:p>
            <w:pPr>
              <w:spacing w:after="40" w:before="60" w:line="259" w:lineRule="auto"/>
            </w:pPr>
            <w:r>
              <w:rPr>
                <w:rFonts w:ascii="Calibri" w:hAnsi="Calibri"/>
                <w:b w:val="0"/>
                <w:i w:val="0"/>
                <w:color w:val="212121"/>
                <w:sz w:val="19"/>
              </w:rPr>
              <w:t>In a 73-patient granulomatous mastitis series the mean age was 32.7 years, 95.9% were parous and about 55% had used oral contraceptives.</w:t>
            </w:r>
          </w:p>
          <w:p>
            <w:pPr>
              <w:spacing w:after="40" w:line="252" w:lineRule="auto"/>
            </w:pPr>
            <w:hyperlink r:id="rId14">
              <w:r>
                <w:rPr>
                  <w:rFonts w:ascii="Calibri" w:hAnsi="Calibri" w:cs="Calibri"/>
                  <w:sz w:val="18"/>
                  <w:color w:val="1155CC"/>
                  <w:u w:val="single"/>
                </w:rPr>
                <w:t xml:space="preserve">pubmed.ncbi.nlm.nih.gov/28740959 — idiopathic granulomatous mastitis series</w:t>
              </w:r>
            </w:hyperlink>
          </w:p>
          <w:p>
            <w:pPr>
              <w:spacing w:before="60" w:after="40"/>
            </w:pPr>
            <w:r>
              <w:rPr>
                <w:rFonts w:ascii="Calibri" w:hAnsi="Calibri"/>
                <w:b w:val="0"/>
                <w:i w:val="0"/>
                <w:color w:val="5A5A5A"/>
                <w:sz w:val="18"/>
              </w:rPr>
              <w:t>#granulomatous  #parous  #ethnicpredisposition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 immune tendency</w:t>
            </w:r>
          </w:p>
        </w:tc>
        <w:tc>
          <w:tcPr>
            <w:tcW w:type="dxa" w:w="2160"/>
            <w:vAlign w:val="top"/>
          </w:tcPr>
          <w:p>
            <w:pPr>
              <w:spacing w:after="40" w:before="0" w:line="259" w:lineRule="auto"/>
            </w:pPr>
            <w:r>
              <w:rPr>
                <w:rFonts w:ascii="Calibri" w:hAnsi="Calibri"/>
                <w:b w:val="0"/>
                <w:i w:val="0"/>
                <w:color w:val="212121"/>
                <w:sz w:val="19"/>
              </w:rPr>
              <w:t>Atopic or autoimmune-prone women</w:t>
            </w:r>
          </w:p>
        </w:tc>
        <w:tc>
          <w:tcPr>
            <w:tcW w:type="dxa" w:w="4276"/>
            <w:vAlign w:val="top"/>
          </w:tcPr>
          <w:p>
            <w:pPr>
              <w:spacing w:after="60" w:line="259" w:lineRule="auto"/>
            </w:pPr>
            <w:r>
              <w:rPr>
                <w:rFonts w:ascii="Calibri" w:hAnsi="Calibri"/>
                <w:b w:val="0"/>
                <w:i w:val="0"/>
                <w:color w:val="212121"/>
                <w:sz w:val="19"/>
              </w:rPr>
              <w:t>An underlying atopic or autoimmune tendency may lower the threshold for the exaggerated, sterile granulomatous inflammation seen in idiopathic granulomatous mastitis, although inheritance is not clearly Mendelian.</w:t>
            </w:r>
          </w:p>
          <w:p>
            <w:pPr>
              <w:spacing w:after="40" w:before="60" w:line="259" w:lineRule="auto"/>
            </w:pPr>
            <w:r>
              <w:rPr>
                <w:rFonts w:ascii="Calibri" w:hAnsi="Calibri"/>
                <w:b w:val="0"/>
                <w:i w:val="0"/>
                <w:color w:val="212121"/>
                <w:sz w:val="19"/>
              </w:rPr>
              <w:t>Idiopathic granulomatous mastitis behaves as an immune-mediated, sterile inflammation rather than a classically inherited disease.</w:t>
            </w:r>
          </w:p>
          <w:p>
            <w:pPr>
              <w:spacing w:before="60" w:after="40"/>
            </w:pPr>
            <w:r>
              <w:rPr>
                <w:rFonts w:ascii="Calibri" w:hAnsi="Calibri"/>
                <w:b w:val="0"/>
                <w:i w:val="0"/>
                <w:color w:val="5A5A5A"/>
                <w:sz w:val="18"/>
              </w:rPr>
              <w:t>#autoimmune  #atopy  #immunemediated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Immunocompromised women (HIV, steroids, chemotherapy)</w:t>
            </w:r>
          </w:p>
        </w:tc>
        <w:tc>
          <w:tcPr>
            <w:tcW w:type="dxa" w:w="4276"/>
            <w:vAlign w:val="top"/>
          </w:tcPr>
          <w:p>
            <w:pPr>
              <w:spacing w:after="60" w:line="259" w:lineRule="auto"/>
            </w:pPr>
            <w:r>
              <w:rPr>
                <w:rFonts w:ascii="Calibri" w:hAnsi="Calibri"/>
                <w:b w:val="0"/>
                <w:i w:val="0"/>
                <w:color w:val="212121"/>
                <w:sz w:val="19"/>
              </w:rPr>
              <w:t>Impaired cell-mediated and neutrophil immunity permits more severe, atypical or recurrent breast infection, larger abscesses and unusual organisms, and blunts the response to standard antibiotics.</w:t>
            </w:r>
          </w:p>
          <w:p>
            <w:pPr>
              <w:spacing w:after="40" w:before="60" w:line="259" w:lineRule="auto"/>
            </w:pPr>
            <w:r>
              <w:rPr>
                <w:rFonts w:ascii="Calibri" w:hAnsi="Calibri"/>
                <w:b w:val="0"/>
                <w:i w:val="0"/>
                <w:color w:val="212121"/>
                <w:sz w:val="19"/>
              </w:rPr>
              <w:t>Immunosuppression predisposes to more severe and atypical breast infection and abscess formation.</w:t>
            </w:r>
          </w:p>
          <w:p>
            <w:pPr>
              <w:spacing w:before="60" w:after="40"/>
            </w:pPr>
            <w:r>
              <w:rPr>
                <w:rFonts w:ascii="Calibri" w:hAnsi="Calibri"/>
                <w:b w:val="0"/>
                <w:i w:val="0"/>
                <w:color w:val="5A5A5A"/>
                <w:sz w:val="18"/>
              </w:rPr>
              <w:t>#immunosuppression  #HIV  #steroids  #severeinfection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MRSA colonisation</w:t>
            </w:r>
          </w:p>
        </w:tc>
        <w:tc>
          <w:tcPr>
            <w:tcW w:type="dxa" w:w="2160"/>
            <w:vAlign w:val="top"/>
          </w:tcPr>
          <w:p>
            <w:pPr>
              <w:spacing w:after="40" w:before="0" w:line="259" w:lineRule="auto"/>
            </w:pPr>
            <w:r>
              <w:rPr>
                <w:rFonts w:ascii="Calibri" w:hAnsi="Calibri"/>
                <w:b w:val="0"/>
                <w:i w:val="0"/>
                <w:color w:val="212121"/>
                <w:sz w:val="19"/>
              </w:rPr>
              <w:t>Women colonised with, or previously infected by, MRSA</w:t>
            </w:r>
          </w:p>
        </w:tc>
        <w:tc>
          <w:tcPr>
            <w:tcW w:type="dxa" w:w="4276"/>
            <w:vAlign w:val="top"/>
          </w:tcPr>
          <w:p>
            <w:pPr>
              <w:spacing w:after="60" w:line="259" w:lineRule="auto"/>
            </w:pPr>
            <w:r>
              <w:rPr>
                <w:rFonts w:ascii="Calibri" w:hAnsi="Calibri"/>
                <w:b w:val="0"/>
                <w:i w:val="0"/>
                <w:color w:val="212121"/>
                <w:sz w:val="19"/>
              </w:rPr>
              <w:t>Prior MRSA carriage or infection greatly raises the chance that a breast abscess is caused by MRSA, mandating culture-guided therapy and often changing empirical antibiotic choice.</w:t>
            </w:r>
          </w:p>
          <w:p>
            <w:pPr>
              <w:spacing w:after="40" w:before="60" w:line="259" w:lineRule="auto"/>
            </w:pPr>
            <w:r>
              <w:rPr>
                <w:rFonts w:ascii="Calibri" w:hAnsi="Calibri"/>
                <w:b w:val="0"/>
                <w:i w:val="0"/>
                <w:color w:val="212121"/>
                <w:sz w:val="19"/>
              </w:rPr>
              <w:t>MRSA is an increasingly common cause of postpartum breast abscess, including in tertiary centres in lower-middle-income countries, and drives risk-factor–based empirical antibiotic selection.</w:t>
            </w:r>
          </w:p>
          <w:p>
            <w:pPr>
              <w:spacing w:after="40" w:line="252" w:lineRule="auto"/>
            </w:pPr>
            <w:hyperlink r:id="rId15">
              <w:r>
                <w:rPr>
                  <w:rFonts w:ascii="Calibri" w:hAnsi="Calibri" w:cs="Calibri"/>
                  <w:sz w:val="18"/>
                  <w:color w:val="1155CC"/>
                  <w:u w:val="single"/>
                </w:rPr>
                <w:t xml:space="preserve">pubmed.ncbi.nlm.nih.gov/42136789 — MRSA breast abscesses, LMIC tertiary centre</w:t>
              </w:r>
            </w:hyperlink>
          </w:p>
          <w:p>
            <w:pPr>
              <w:spacing w:before="60" w:after="40"/>
            </w:pPr>
            <w:r>
              <w:rPr>
                <w:rFonts w:ascii="Calibri" w:hAnsi="Calibri"/>
                <w:b w:val="0"/>
                <w:i w:val="0"/>
                <w:color w:val="5A5A5A"/>
                <w:sz w:val="18"/>
              </w:rPr>
              <w:t>#MRSA  #resistantinfection  #cultureguided  #recurrentabscess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pregnancy / hyperprolactinaemia</w:t>
            </w:r>
          </w:p>
        </w:tc>
        <w:tc>
          <w:tcPr>
            <w:tcW w:type="dxa" w:w="2160"/>
            <w:vAlign w:val="top"/>
          </w:tcPr>
          <w:p>
            <w:pPr>
              <w:spacing w:after="40" w:before="0" w:line="259" w:lineRule="auto"/>
            </w:pPr>
            <w:r>
              <w:rPr>
                <w:rFonts w:ascii="Calibri" w:hAnsi="Calibri"/>
                <w:b w:val="0"/>
                <w:i w:val="0"/>
                <w:color w:val="212121"/>
                <w:sz w:val="19"/>
              </w:rPr>
              <w:t>Recently parous or hyperprolactinaemic women</w:t>
            </w:r>
          </w:p>
        </w:tc>
        <w:tc>
          <w:tcPr>
            <w:tcW w:type="dxa" w:w="4276"/>
            <w:vAlign w:val="top"/>
          </w:tcPr>
          <w:p>
            <w:pPr>
              <w:spacing w:after="60" w:line="259" w:lineRule="auto"/>
            </w:pPr>
            <w:r>
              <w:rPr>
                <w:rFonts w:ascii="Calibri" w:hAnsi="Calibri"/>
                <w:b w:val="0"/>
                <w:i w:val="0"/>
                <w:color w:val="212121"/>
                <w:sz w:val="19"/>
              </w:rPr>
              <w:t>Recent pregnancy, ongoing lactation and raised prolactin (including drug-induced) are the characteristic background for idiopathic granulomatous mastitis, which presents as a firm, sometimes abscess-forming mass mimicking cancer.</w:t>
            </w:r>
          </w:p>
          <w:p>
            <w:pPr>
              <w:spacing w:after="40" w:before="60" w:line="259" w:lineRule="auto"/>
            </w:pPr>
            <w:r>
              <w:rPr>
                <w:rFonts w:ascii="Calibri" w:hAnsi="Calibri"/>
                <w:b w:val="0"/>
                <w:i w:val="0"/>
                <w:color w:val="212121"/>
                <w:sz w:val="19"/>
              </w:rPr>
              <w:t>In granulomatous mastitis series most patients are parous women within a few years of pregnancy, with frequent oral-contraceptive exposure (~55%).</w:t>
            </w:r>
          </w:p>
          <w:p>
            <w:pPr>
              <w:spacing w:after="40" w:line="252" w:lineRule="auto"/>
            </w:pPr>
            <w:hyperlink r:id="rId14">
              <w:r>
                <w:rPr>
                  <w:rFonts w:ascii="Calibri" w:hAnsi="Calibri" w:cs="Calibri"/>
                  <w:sz w:val="18"/>
                  <w:color w:val="1155CC"/>
                  <w:u w:val="single"/>
                </w:rPr>
                <w:t xml:space="preserve">pubmed.ncbi.nlm.nih.gov/28740959 — idiopathic granulomatous mastitis series</w:t>
              </w:r>
            </w:hyperlink>
          </w:p>
          <w:p>
            <w:pPr>
              <w:spacing w:before="60" w:after="40"/>
            </w:pPr>
            <w:r>
              <w:rPr>
                <w:rFonts w:ascii="Calibri" w:hAnsi="Calibri"/>
                <w:b w:val="0"/>
                <w:i w:val="0"/>
                <w:color w:val="5A5A5A"/>
                <w:sz w:val="18"/>
              </w:rPr>
              <w:t>#hyperprolactinaemia  #recentpregnancy  #granulomatous  #cancermimic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 recurrent mastitis</w:t>
            </w:r>
          </w:p>
        </w:tc>
        <w:tc>
          <w:tcPr>
            <w:tcW w:type="dxa" w:w="2160"/>
            <w:vAlign w:val="top"/>
          </w:tcPr>
          <w:p>
            <w:pPr>
              <w:spacing w:after="40" w:before="0" w:line="259" w:lineRule="auto"/>
            </w:pPr>
            <w:r>
              <w:rPr>
                <w:rFonts w:ascii="Calibri" w:hAnsi="Calibri"/>
                <w:b w:val="0"/>
                <w:i w:val="0"/>
                <w:color w:val="212121"/>
                <w:sz w:val="19"/>
              </w:rPr>
              <w:t>Women with previous mastitis or breast abscess</w:t>
            </w:r>
          </w:p>
        </w:tc>
        <w:tc>
          <w:tcPr>
            <w:tcW w:type="dxa" w:w="4276"/>
            <w:vAlign w:val="top"/>
          </w:tcPr>
          <w:p>
            <w:pPr>
              <w:spacing w:after="60" w:line="259" w:lineRule="auto"/>
            </w:pPr>
            <w:r>
              <w:rPr>
                <w:rFonts w:ascii="Calibri" w:hAnsi="Calibri"/>
                <w:b w:val="0"/>
                <w:i w:val="0"/>
                <w:color w:val="212121"/>
                <w:sz w:val="19"/>
              </w:rPr>
              <w:t>A previous episode marks persistent risk factors (poor latch, ductal anatomy, smoking, diabetes, MRSA carriage), so recurrence is common and warrants attention to modifiable drivers.</w:t>
            </w:r>
          </w:p>
          <w:p>
            <w:pPr>
              <w:spacing w:after="40" w:before="60" w:line="259" w:lineRule="auto"/>
            </w:pPr>
            <w:r>
              <w:rPr>
                <w:rFonts w:ascii="Calibri" w:hAnsi="Calibri"/>
                <w:b w:val="0"/>
                <w:i w:val="0"/>
                <w:color w:val="212121"/>
                <w:sz w:val="19"/>
              </w:rPr>
              <w:t>Recurrent mastitis affects roughly 6.5–8.5% of previously affected women.</w:t>
            </w:r>
          </w:p>
          <w:p>
            <w:pPr>
              <w:spacing w:after="40" w:line="252" w:lineRule="auto"/>
            </w:pPr>
            <w:hyperlink r:id="rId9">
              <w:r>
                <w:rPr>
                  <w:rFonts w:ascii="Calibri" w:hAnsi="Calibri" w:cs="Calibri"/>
                  <w:sz w:val="18"/>
                  <w:color w:val="1155CC"/>
                  <w:u w:val="single"/>
                </w:rPr>
                <w:t xml:space="preserve">ncbi.nlm.nih.gov — StatPearls: Lactational Mastitis</w:t>
              </w:r>
            </w:hyperlink>
          </w:p>
          <w:p>
            <w:pPr>
              <w:spacing w:before="60" w:after="40"/>
            </w:pPr>
            <w:r>
              <w:rPr>
                <w:rFonts w:ascii="Calibri" w:hAnsi="Calibri"/>
                <w:b w:val="0"/>
                <w:i w:val="0"/>
                <w:color w:val="5A5A5A"/>
                <w:sz w:val="18"/>
              </w:rPr>
              <w:t>#recurrence  #chronic  #modifiablerisk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Obesity and higher body weight increase the risk that mastitis progresses to abscess and impair wound healing; regular activity supports healthy weight and immune function, though a direct effect on lactational mastitis is modest.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single food causes mastitis, but adequate maternal nutrition, hydration and good glycaemic control (in diabetics) support immunity, milk flow and healing; poor glycaemic control raises abscess and MRSA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Postpartum sleep deprivation and fatigue are recognised contributory factors — exhaustion leads to missed or rushed feeds, incomplete emptying and lowered immune competence.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Cigarette smoking is the strongest modifiable risk factor for periductal (non-lactational) mastitis and recurrent subareolar abscess / mammary-duct fistula, with higher recurrence after drainage in continuing smokers.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association with mastitis; heavy use may impair immunity and healing and is discouraged during breastfeeding for infant-safety reasons.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Postpartum stress, anxiety and depression are linked to early or abrupt weaning and missed feeds (promoting stasis); pain and breastfeeding difficulty in turn worsen mood — a bidirectional loop.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lactation and milk flow and dehydration may aggravate stasis, but direct evidence linking water intake to mastitis prevention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mastitis or breast abscess; moderate intake is generally considered compatible with breastfeeding.</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Nipple hygiene and prompt care of cracks / fissures, plus hand hygiene, are central to prevention because a fissured nipple is the usual portal of entry for Staphylococcus aureus.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Milk stasis from missed or skipped feeds, blocked ducts, abrupt weaning, engorgement, oversupply and external pressure (tight bra) directly precipitates lactational mastitis.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breastfeeding position and latch, sleeping on the breast, and localised pressure (tight bra, bag or seat-belt strap) cause incomplete emptying and focal stasis that can seed mastitis.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 / postpartum women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30 kg/m² (obesity)</w:t>
            </w:r>
          </w:p>
        </w:tc>
        <w:tc>
          <w:tcPr>
            <w:tcW w:type="dxa" w:w="1468"/>
            <w:vAlign w:val="top"/>
          </w:tcPr>
          <w:p>
            <w:pPr>
              <w:spacing w:after="60" w:line="259" w:lineRule="auto"/>
            </w:pPr>
            <w:r>
              <w:rPr>
                <w:rFonts w:ascii="Calibri" w:hAnsi="Calibri"/>
                <w:b w:val="0"/>
                <w:i w:val="0"/>
                <w:color w:val="212121"/>
                <w:sz w:val="19"/>
              </w:rPr>
              <w:t>Higher body weight is associated with greater risk of breast abscess and slower healing.</w:t>
            </w:r>
          </w:p>
          <w:p>
            <w:pPr>
              <w:spacing w:after="40" w:line="252" w:lineRule="auto"/>
            </w:pPr>
            <w:hyperlink r:id="rId9">
              <w:r>
                <w:rPr>
                  <w:rFonts w:ascii="Calibri" w:hAnsi="Calibri" w:cs="Calibri"/>
                  <w:sz w:val="18"/>
                  <w:color w:val="1155CC"/>
                  <w:u w:val="single"/>
                </w:rPr>
                <w:t xml:space="preserve">https://www.ncbi.nlm.nih.gov/books/NBK557782/</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Breastfeeds / expressions per 24 h</w:t>
            </w:r>
          </w:p>
        </w:tc>
        <w:tc>
          <w:tcPr>
            <w:tcW w:type="dxa" w:w="1655"/>
            <w:vAlign w:val="top"/>
          </w:tcPr>
          <w:p>
            <w:pPr>
              <w:spacing w:after="40" w:before="0" w:line="259" w:lineRule="auto"/>
            </w:pPr>
            <w:r>
              <w:rPr>
                <w:rFonts w:ascii="Calibri" w:hAnsi="Calibri"/>
                <w:b w:val="0"/>
                <w:i w:val="0"/>
                <w:color w:val="212121"/>
                <w:sz w:val="19"/>
              </w:rPr>
              <w:t>Breastfeeding mothers</w:t>
            </w:r>
          </w:p>
        </w:tc>
        <w:tc>
          <w:tcPr>
            <w:tcW w:type="dxa" w:w="1512"/>
            <w:vAlign w:val="top"/>
          </w:tcPr>
          <w:p>
            <w:pPr>
              <w:spacing w:after="40" w:before="0" w:line="259" w:lineRule="auto"/>
            </w:pPr>
            <w:r>
              <w:rPr>
                <w:rFonts w:ascii="Calibri" w:hAnsi="Calibri"/>
                <w:b w:val="0"/>
                <w:i w:val="0"/>
                <w:color w:val="212121"/>
                <w:sz w:val="19"/>
              </w:rPr>
              <w:t>8–12 effective feeds/24 h (on demand)</w:t>
            </w:r>
          </w:p>
        </w:tc>
        <w:tc>
          <w:tcPr>
            <w:tcW w:type="dxa" w:w="1512"/>
            <w:vAlign w:val="top"/>
          </w:tcPr>
          <w:p>
            <w:pPr>
              <w:spacing w:after="40" w:before="0" w:line="259" w:lineRule="auto"/>
            </w:pPr>
            <w:r>
              <w:rPr>
                <w:rFonts w:ascii="Calibri" w:hAnsi="Calibri"/>
                <w:b w:val="0"/>
                <w:i w:val="0"/>
                <w:color w:val="212121"/>
                <w:sz w:val="19"/>
              </w:rPr>
              <w:t>&lt; 8 feeds/24 h or long gaps / skipped feeds</w:t>
            </w:r>
          </w:p>
        </w:tc>
        <w:tc>
          <w:tcPr>
            <w:tcW w:type="dxa" w:w="1468"/>
            <w:vAlign w:val="top"/>
          </w:tcPr>
          <w:p>
            <w:pPr>
              <w:spacing w:after="40" w:before="0" w:line="259" w:lineRule="auto"/>
            </w:pPr>
            <w:r>
              <w:rPr>
                <w:rFonts w:ascii="Calibri" w:hAnsi="Calibri"/>
                <w:b w:val="0"/>
                <w:i w:val="0"/>
                <w:color w:val="212121"/>
                <w:sz w:val="19"/>
              </w:rPr>
              <w:t>Infrequent or incomplete emptying is the core mechanism of milk stasis and mastitis.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Interval since last effective emptying</w:t>
            </w:r>
          </w:p>
        </w:tc>
        <w:tc>
          <w:tcPr>
            <w:tcW w:type="dxa" w:w="1655"/>
            <w:vAlign w:val="top"/>
          </w:tcPr>
          <w:p>
            <w:pPr>
              <w:spacing w:after="40" w:before="0" w:line="259" w:lineRule="auto"/>
            </w:pPr>
            <w:r>
              <w:rPr>
                <w:rFonts w:ascii="Calibri" w:hAnsi="Calibri"/>
                <w:b w:val="0"/>
                <w:i w:val="0"/>
                <w:color w:val="212121"/>
                <w:sz w:val="19"/>
              </w:rPr>
              <w:t>Lactating women</w:t>
            </w:r>
          </w:p>
        </w:tc>
        <w:tc>
          <w:tcPr>
            <w:tcW w:type="dxa" w:w="1512"/>
            <w:vAlign w:val="top"/>
          </w:tcPr>
          <w:p>
            <w:pPr>
              <w:spacing w:after="40" w:before="0" w:line="259" w:lineRule="auto"/>
            </w:pPr>
            <w:r>
              <w:rPr>
                <w:rFonts w:ascii="Calibri" w:hAnsi="Calibri"/>
                <w:b w:val="0"/>
                <w:i w:val="0"/>
                <w:color w:val="212121"/>
                <w:sz w:val="19"/>
              </w:rPr>
              <w:t>≤ 3–4 h between feeds/expression</w:t>
            </w:r>
          </w:p>
        </w:tc>
        <w:tc>
          <w:tcPr>
            <w:tcW w:type="dxa" w:w="1512"/>
            <w:vAlign w:val="top"/>
          </w:tcPr>
          <w:p>
            <w:pPr>
              <w:spacing w:after="40" w:before="0" w:line="259" w:lineRule="auto"/>
            </w:pPr>
            <w:r>
              <w:rPr>
                <w:rFonts w:ascii="Calibri" w:hAnsi="Calibri"/>
                <w:b w:val="0"/>
                <w:i w:val="0"/>
                <w:color w:val="212121"/>
                <w:sz w:val="19"/>
              </w:rPr>
              <w:t>&gt; 6 h with engorgement</w:t>
            </w:r>
          </w:p>
        </w:tc>
        <w:tc>
          <w:tcPr>
            <w:tcW w:type="dxa" w:w="1468"/>
            <w:vAlign w:val="top"/>
          </w:tcPr>
          <w:p>
            <w:pPr>
              <w:spacing w:after="40" w:before="0" w:line="259" w:lineRule="auto"/>
            </w:pPr>
            <w:r>
              <w:rPr>
                <w:rFonts w:ascii="Calibri" w:hAnsi="Calibri"/>
                <w:b w:val="0"/>
                <w:i w:val="0"/>
                <w:color w:val="212121"/>
                <w:sz w:val="19"/>
              </w:rPr>
              <w:t>Prolonged stasis and unrelieved engorgement precede inflammatory and infective mastitis.</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Nipple integrity</w:t>
            </w:r>
          </w:p>
        </w:tc>
        <w:tc>
          <w:tcPr>
            <w:tcW w:type="dxa" w:w="1655"/>
            <w:vAlign w:val="top"/>
          </w:tcPr>
          <w:p>
            <w:pPr>
              <w:spacing w:after="40" w:before="0" w:line="259" w:lineRule="auto"/>
            </w:pPr>
            <w:r>
              <w:rPr>
                <w:rFonts w:ascii="Calibri" w:hAnsi="Calibri"/>
                <w:b w:val="0"/>
                <w:i w:val="0"/>
                <w:color w:val="212121"/>
                <w:sz w:val="19"/>
              </w:rPr>
              <w:t>Breastfeeding mothers</w:t>
            </w:r>
          </w:p>
        </w:tc>
        <w:tc>
          <w:tcPr>
            <w:tcW w:type="dxa" w:w="1512"/>
            <w:vAlign w:val="top"/>
          </w:tcPr>
          <w:p>
            <w:pPr>
              <w:spacing w:after="40" w:before="0" w:line="259" w:lineRule="auto"/>
            </w:pPr>
            <w:r>
              <w:rPr>
                <w:rFonts w:ascii="Calibri" w:hAnsi="Calibri"/>
                <w:b w:val="0"/>
                <w:i w:val="0"/>
                <w:color w:val="212121"/>
                <w:sz w:val="19"/>
              </w:rPr>
              <w:t>Intact, non-fissured nipples</w:t>
            </w:r>
          </w:p>
        </w:tc>
        <w:tc>
          <w:tcPr>
            <w:tcW w:type="dxa" w:w="1512"/>
            <w:vAlign w:val="top"/>
          </w:tcPr>
          <w:p>
            <w:pPr>
              <w:spacing w:after="40" w:before="0" w:line="259" w:lineRule="auto"/>
            </w:pPr>
            <w:r>
              <w:rPr>
                <w:rFonts w:ascii="Calibri" w:hAnsi="Calibri"/>
                <w:b w:val="0"/>
                <w:i w:val="0"/>
                <w:color w:val="212121"/>
                <w:sz w:val="19"/>
              </w:rPr>
              <w:t>Cracked / fissured / bleeding nipple</w:t>
            </w:r>
          </w:p>
        </w:tc>
        <w:tc>
          <w:tcPr>
            <w:tcW w:type="dxa" w:w="1468"/>
            <w:vAlign w:val="top"/>
          </w:tcPr>
          <w:p>
            <w:pPr>
              <w:spacing w:after="40" w:before="0" w:line="259" w:lineRule="auto"/>
            </w:pPr>
            <w:r>
              <w:rPr>
                <w:rFonts w:ascii="Calibri" w:hAnsi="Calibri"/>
                <w:b w:val="0"/>
                <w:i w:val="0"/>
                <w:color w:val="212121"/>
                <w:sz w:val="19"/>
              </w:rPr>
              <w:t>A nipple fissure is the usual bacterial portal of entry; treat latch and skin promptly.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Non-lactating women (periductal risk)</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smoking strongly predisposes to periductal mastitis and recurrent subareolar abscess.</w:t>
            </w:r>
          </w:p>
          <w:p>
            <w:pPr>
              <w:spacing w:after="40" w:line="252" w:lineRule="auto"/>
            </w:pPr>
            <w:hyperlink r:id="rId13">
              <w:r>
                <w:rPr>
                  <w:rFonts w:ascii="Calibri" w:hAnsi="Calibri" w:cs="Calibri"/>
                  <w:sz w:val="18"/>
                  <w:color w:val="1155CC"/>
                  <w:u w:val="single"/>
                </w:rPr>
                <w:t xml:space="preserve">https://pubmed.ncbi.nlm.nih.gov/8219949/</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(glycaemic control)</w:t>
            </w:r>
          </w:p>
        </w:tc>
        <w:tc>
          <w:tcPr>
            <w:tcW w:type="dxa" w:w="1655"/>
            <w:vAlign w:val="top"/>
          </w:tcPr>
          <w:p>
            <w:pPr>
              <w:spacing w:after="40" w:before="0" w:line="259" w:lineRule="auto"/>
            </w:pPr>
            <w:r>
              <w:rPr>
                <w:rFonts w:ascii="Calibri" w:hAnsi="Calibri"/>
                <w:b w:val="0"/>
                <w:i w:val="0"/>
                <w:color w:val="212121"/>
                <w:sz w:val="19"/>
              </w:rPr>
              <w:t>Women with / at risk of diabetes</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w:t>
            </w:r>
          </w:p>
        </w:tc>
        <w:tc>
          <w:tcPr>
            <w:tcW w:type="dxa" w:w="1468"/>
            <w:vAlign w:val="top"/>
          </w:tcPr>
          <w:p>
            <w:pPr>
              <w:spacing w:after="40" w:before="0" w:line="259" w:lineRule="auto"/>
            </w:pPr>
            <w:r>
              <w:rPr>
                <w:rFonts w:ascii="Calibri" w:hAnsi="Calibri"/>
                <w:b w:val="0"/>
                <w:i w:val="0"/>
                <w:color w:val="212121"/>
                <w:sz w:val="19"/>
              </w:rPr>
              <w:t>Uncontrolled diabetes increases abscess, MRSA and delayed-healing risk.</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(hours/night, may be fragmented)</w:t>
            </w:r>
          </w:p>
        </w:tc>
        <w:tc>
          <w:tcPr>
            <w:tcW w:type="dxa" w:w="1655"/>
            <w:vAlign w:val="top"/>
          </w:tcPr>
          <w:p>
            <w:pPr>
              <w:spacing w:after="40" w:before="0" w:line="259" w:lineRule="auto"/>
            </w:pPr>
            <w:r>
              <w:rPr>
                <w:rFonts w:ascii="Calibri" w:hAnsi="Calibri"/>
                <w:b w:val="0"/>
                <w:i w:val="0"/>
                <w:color w:val="212121"/>
                <w:sz w:val="19"/>
              </w:rPr>
              <w:t>Postpartum mothers</w:t>
            </w:r>
          </w:p>
        </w:tc>
        <w:tc>
          <w:tcPr>
            <w:tcW w:type="dxa" w:w="1512"/>
            <w:vAlign w:val="top"/>
          </w:tcPr>
          <w:p>
            <w:pPr>
              <w:spacing w:after="40" w:before="0" w:line="259" w:lineRule="auto"/>
            </w:pPr>
            <w:r>
              <w:rPr>
                <w:rFonts w:ascii="Calibri" w:hAnsi="Calibri"/>
                <w:b w:val="0"/>
                <w:i w:val="0"/>
                <w:color w:val="212121"/>
                <w:sz w:val="19"/>
              </w:rPr>
              <w:t>Aim 7–9 h total in 24 h</w:t>
            </w:r>
          </w:p>
        </w:tc>
        <w:tc>
          <w:tcPr>
            <w:tcW w:type="dxa" w:w="1512"/>
            <w:vAlign w:val="top"/>
          </w:tcPr>
          <w:p>
            <w:pPr>
              <w:spacing w:after="40" w:before="0" w:line="259" w:lineRule="auto"/>
            </w:pPr>
            <w:r>
              <w:rPr>
                <w:rFonts w:ascii="Calibri" w:hAnsi="Calibri"/>
                <w:b w:val="0"/>
                <w:i w:val="0"/>
                <w:color w:val="212121"/>
                <w:sz w:val="19"/>
              </w:rPr>
              <w:t>Chronic &lt; 6 h with exhaustion</w:t>
            </w:r>
          </w:p>
        </w:tc>
        <w:tc>
          <w:tcPr>
            <w:tcW w:type="dxa" w:w="1468"/>
            <w:vAlign w:val="top"/>
          </w:tcPr>
          <w:p>
            <w:pPr>
              <w:spacing w:after="40" w:before="0" w:line="259" w:lineRule="auto"/>
            </w:pPr>
            <w:r>
              <w:rPr>
                <w:rFonts w:ascii="Calibri" w:hAnsi="Calibri"/>
                <w:b w:val="0"/>
                <w:i w:val="0"/>
                <w:color w:val="212121"/>
                <w:sz w:val="19"/>
              </w:rPr>
              <w:t>Fatigue promotes missed feeds and lowers immune competence.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Body temperature</w:t>
            </w:r>
          </w:p>
        </w:tc>
        <w:tc>
          <w:tcPr>
            <w:tcW w:type="dxa" w:w="1655"/>
            <w:vAlign w:val="top"/>
          </w:tcPr>
          <w:p>
            <w:pPr>
              <w:spacing w:after="40" w:before="0" w:line="259" w:lineRule="auto"/>
            </w:pPr>
            <w:r>
              <w:rPr>
                <w:rFonts w:ascii="Calibri" w:hAnsi="Calibri"/>
                <w:b w:val="0"/>
                <w:i w:val="0"/>
                <w:color w:val="212121"/>
                <w:sz w:val="19"/>
              </w:rPr>
              <w:t>Women with breast inflammation</w:t>
            </w:r>
          </w:p>
        </w:tc>
        <w:tc>
          <w:tcPr>
            <w:tcW w:type="dxa" w:w="1512"/>
            <w:vAlign w:val="top"/>
          </w:tcPr>
          <w:p>
            <w:pPr>
              <w:spacing w:after="40" w:before="0" w:line="259" w:lineRule="auto"/>
            </w:pPr>
            <w:r>
              <w:rPr>
                <w:rFonts w:ascii="Calibri" w:hAnsi="Calibri"/>
                <w:b w:val="0"/>
                <w:i w:val="0"/>
                <w:color w:val="212121"/>
                <w:sz w:val="19"/>
              </w:rPr>
              <w:t>&lt; 37.5 °C</w:t>
            </w:r>
          </w:p>
        </w:tc>
        <w:tc>
          <w:tcPr>
            <w:tcW w:type="dxa" w:w="1512"/>
            <w:vAlign w:val="top"/>
          </w:tcPr>
          <w:p>
            <w:pPr>
              <w:spacing w:after="40" w:before="0" w:line="259" w:lineRule="auto"/>
            </w:pPr>
            <w:r>
              <w:rPr>
                <w:rFonts w:ascii="Calibri" w:hAnsi="Calibri"/>
                <w:b w:val="0"/>
                <w:i w:val="0"/>
                <w:color w:val="212121"/>
                <w:sz w:val="19"/>
              </w:rPr>
              <w:t>≥ 38.5 °C with systemic symptoms</w:t>
            </w:r>
          </w:p>
        </w:tc>
        <w:tc>
          <w:tcPr>
            <w:tcW w:type="dxa" w:w="1468"/>
            <w:vAlign w:val="top"/>
          </w:tcPr>
          <w:p>
            <w:pPr>
              <w:spacing w:after="40" w:before="0" w:line="259" w:lineRule="auto"/>
            </w:pPr>
            <w:r>
              <w:rPr>
                <w:rFonts w:ascii="Calibri" w:hAnsi="Calibri"/>
                <w:b w:val="0"/>
                <w:i w:val="0"/>
                <w:color w:val="212121"/>
                <w:sz w:val="19"/>
              </w:rPr>
              <w:t>High fever with a red tender breast favours infective mastitis over simple engorgement.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Abscess diameter on ultrasound</w:t>
            </w:r>
          </w:p>
        </w:tc>
        <w:tc>
          <w:tcPr>
            <w:tcW w:type="dxa" w:w="1655"/>
            <w:vAlign w:val="top"/>
          </w:tcPr>
          <w:p>
            <w:pPr>
              <w:spacing w:after="40" w:before="0" w:line="259" w:lineRule="auto"/>
            </w:pPr>
            <w:r>
              <w:rPr>
                <w:rFonts w:ascii="Calibri" w:hAnsi="Calibri"/>
                <w:b w:val="0"/>
                <w:i w:val="0"/>
                <w:color w:val="212121"/>
                <w:sz w:val="19"/>
              </w:rPr>
              <w:t>Suspected breast abscess</w:t>
            </w:r>
          </w:p>
        </w:tc>
        <w:tc>
          <w:tcPr>
            <w:tcW w:type="dxa" w:w="1512"/>
            <w:vAlign w:val="top"/>
          </w:tcPr>
          <w:p>
            <w:pPr>
              <w:spacing w:after="40" w:before="0" w:line="259" w:lineRule="auto"/>
            </w:pPr>
            <w:r>
              <w:rPr>
                <w:rFonts w:ascii="Calibri" w:hAnsi="Calibri"/>
                <w:b w:val="0"/>
                <w:i w:val="0"/>
                <w:color w:val="212121"/>
                <w:sz w:val="19"/>
              </w:rPr>
              <w:t>No discrete collection</w:t>
            </w:r>
          </w:p>
        </w:tc>
        <w:tc>
          <w:tcPr>
            <w:tcW w:type="dxa" w:w="1512"/>
            <w:vAlign w:val="top"/>
          </w:tcPr>
          <w:p>
            <w:pPr>
              <w:spacing w:after="40" w:before="0" w:line="259" w:lineRule="auto"/>
            </w:pPr>
            <w:r>
              <w:rPr>
                <w:rFonts w:ascii="Calibri" w:hAnsi="Calibri"/>
                <w:b w:val="0"/>
                <w:i w:val="0"/>
                <w:color w:val="212121"/>
                <w:sz w:val="19"/>
              </w:rPr>
              <w:t>Discrete collection (≥ ~3 cm often needs aspiration/drainage)</w:t>
            </w:r>
          </w:p>
        </w:tc>
        <w:tc>
          <w:tcPr>
            <w:tcW w:type="dxa" w:w="1468"/>
            <w:vAlign w:val="top"/>
          </w:tcPr>
          <w:p>
            <w:pPr>
              <w:spacing w:after="60" w:line="259" w:lineRule="auto"/>
            </w:pPr>
            <w:r>
              <w:rPr>
                <w:rFonts w:ascii="Calibri" w:hAnsi="Calibri"/>
                <w:b w:val="0"/>
                <w:i w:val="0"/>
                <w:color w:val="212121"/>
                <w:sz w:val="19"/>
              </w:rPr>
              <w:t>Small collections suit ultrasound-guided needle aspiration; large or multiloculated ones may need catheter or incision and drainage.</w:t>
            </w:r>
          </w:p>
          <w:p>
            <w:pPr>
              <w:spacing w:after="40" w:line="252" w:lineRule="auto"/>
            </w:pPr>
            <w:hyperlink r:id="rId11">
              <w:r>
                <w:rPr>
                  <w:rFonts w:ascii="Calibri" w:hAnsi="Calibri" w:cs="Calibri"/>
                  <w:sz w:val="18"/>
                  <w:color w:val="1155CC"/>
                  <w:u w:val="single"/>
                </w:rPr>
                <w:t xml:space="preserve">https://pubmed.ncbi.nlm.nih.gov/24465097/</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Lactating women</w:t>
            </w:r>
          </w:p>
        </w:tc>
        <w:tc>
          <w:tcPr>
            <w:tcW w:type="dxa" w:w="1512"/>
            <w:vAlign w:val="top"/>
          </w:tcPr>
          <w:p>
            <w:pPr>
              <w:spacing w:after="40" w:before="0" w:line="259" w:lineRule="auto"/>
            </w:pPr>
            <w:r>
              <w:rPr>
                <w:rFonts w:ascii="Calibri" w:hAnsi="Calibri"/>
                <w:b w:val="0"/>
                <w:i w:val="0"/>
                <w:color w:val="212121"/>
                <w:sz w:val="19"/>
              </w:rPr>
              <w:t>≈ 3–3.8 L/day (to thirst)</w:t>
            </w:r>
          </w:p>
        </w:tc>
        <w:tc>
          <w:tcPr>
            <w:tcW w:type="dxa" w:w="1512"/>
            <w:vAlign w:val="top"/>
          </w:tcPr>
          <w:p>
            <w:pPr>
              <w:spacing w:after="40" w:before="0" w:line="259" w:lineRule="auto"/>
            </w:pPr>
            <w:r>
              <w:rPr>
                <w:rFonts w:ascii="Calibri" w:hAnsi="Calibri"/>
                <w:b w:val="0"/>
                <w:i w:val="0"/>
                <w:color w:val="212121"/>
                <w:sz w:val="19"/>
              </w:rPr>
              <w:t>Signs of dehydration</w:t>
            </w:r>
          </w:p>
        </w:tc>
        <w:tc>
          <w:tcPr>
            <w:tcW w:type="dxa" w:w="1468"/>
            <w:vAlign w:val="top"/>
          </w:tcPr>
          <w:p>
            <w:pPr>
              <w:spacing w:after="40" w:before="0" w:line="259" w:lineRule="auto"/>
            </w:pPr>
            <w:r>
              <w:rPr>
                <w:rFonts w:ascii="Calibri" w:hAnsi="Calibri"/>
                <w:b w:val="0"/>
                <w:i w:val="0"/>
                <w:color w:val="212121"/>
                <w:sz w:val="19"/>
              </w:rPr>
              <w:t>Adequate hydration supports milk flow; overall evidence for mastitis prevention is weak.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Breastfeeding women</w:t>
            </w:r>
          </w:p>
        </w:tc>
        <w:tc>
          <w:tcPr>
            <w:tcW w:type="dxa" w:w="1512"/>
            <w:vAlign w:val="top"/>
          </w:tcPr>
          <w:p>
            <w:pPr>
              <w:spacing w:after="40" w:before="0" w:line="259" w:lineRule="auto"/>
            </w:pPr>
            <w:r>
              <w:rPr>
                <w:rFonts w:ascii="Calibri" w:hAnsi="Calibri"/>
                <w:b w:val="0"/>
                <w:i w:val="0"/>
                <w:color w:val="212121"/>
                <w:sz w:val="19"/>
              </w:rPr>
              <w:t>0 while breastfeeding</w:t>
            </w:r>
          </w:p>
        </w:tc>
        <w:tc>
          <w:tcPr>
            <w:tcW w:type="dxa" w:w="1512"/>
            <w:vAlign w:val="top"/>
          </w:tcPr>
          <w:p>
            <w:pPr>
              <w:spacing w:after="40" w:before="0" w:line="259" w:lineRule="auto"/>
            </w:pPr>
            <w:r>
              <w:rPr>
                <w:rFonts w:ascii="Calibri" w:hAnsi="Calibri"/>
                <w:b w:val="0"/>
                <w:i w:val="0"/>
                <w:color w:val="212121"/>
                <w:sz w:val="19"/>
              </w:rPr>
              <w:t>Any regular intake</w:t>
            </w:r>
          </w:p>
        </w:tc>
        <w:tc>
          <w:tcPr>
            <w:tcW w:type="dxa" w:w="1468"/>
            <w:vAlign w:val="top"/>
          </w:tcPr>
          <w:p>
            <w:pPr>
              <w:spacing w:after="40" w:before="0" w:line="259" w:lineRule="auto"/>
            </w:pPr>
            <w:r>
              <w:rPr>
                <w:rFonts w:ascii="Calibri" w:hAnsi="Calibri"/>
                <w:b w:val="0"/>
                <w:i w:val="0"/>
                <w:color w:val="212121"/>
                <w:sz w:val="19"/>
              </w:rPr>
              <w:t>Avoided mainly for infant safety; heavy use may impair immunity and healing.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Breast ultrasound</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No fluid collection; diffuse oedema only</w:t>
            </w:r>
          </w:p>
        </w:tc>
        <w:tc>
          <w:tcPr>
            <w:tcW w:type="dxa" w:w="950"/>
            <w:vAlign w:val="top"/>
          </w:tcPr>
          <w:p>
            <w:pPr>
              <w:spacing w:after="40" w:before="0" w:line="259" w:lineRule="auto"/>
            </w:pPr>
            <w:r>
              <w:rPr>
                <w:rFonts w:ascii="Calibri" w:hAnsi="Calibri"/>
                <w:b w:val="0"/>
                <w:i w:val="0"/>
                <w:color w:val="212121"/>
                <w:sz w:val="16"/>
              </w:rPr>
              <w:t>Hypoechoic / complex fluid collection</w:t>
            </w:r>
          </w:p>
        </w:tc>
        <w:tc>
          <w:tcPr>
            <w:tcW w:type="dxa" w:w="1036"/>
            <w:vAlign w:val="top"/>
          </w:tcPr>
          <w:p>
            <w:pPr>
              <w:spacing w:after="40" w:before="0" w:line="259" w:lineRule="auto"/>
            </w:pPr>
            <w:r>
              <w:rPr>
                <w:rFonts w:ascii="Calibri" w:hAnsi="Calibri"/>
                <w:b w:val="0"/>
                <w:i w:val="0"/>
                <w:color w:val="212121"/>
                <w:sz w:val="16"/>
              </w:rPr>
              <w:t>Detects and characterises abscess; guides needle aspiration and follow-up</w:t>
            </w:r>
          </w:p>
        </w:tc>
        <w:tc>
          <w:tcPr>
            <w:tcW w:type="dxa" w:w="1036"/>
            <w:vAlign w:val="top"/>
          </w:tcPr>
          <w:p>
            <w:pPr>
              <w:spacing w:after="40" w:before="0" w:line="259" w:lineRule="auto"/>
            </w:pPr>
            <w:r>
              <w:rPr>
                <w:rFonts w:ascii="Calibri" w:hAnsi="Calibri"/>
                <w:b w:val="0"/>
                <w:i w:val="0"/>
                <w:color w:val="212121"/>
                <w:sz w:val="16"/>
              </w:rPr>
              <w:t>Lactating women with persistent lump or non-response at 48–72 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Investigation of choice for abscess</w:t>
            </w:r>
          </w:p>
        </w:tc>
        <w:tc>
          <w:tcPr>
            <w:tcW w:type="dxa" w:w="720"/>
            <w:vAlign w:val="top"/>
          </w:tcPr>
          <w:p>
            <w:pPr>
              <w:spacing w:after="40" w:before="0" w:line="259" w:lineRule="auto"/>
            </w:pPr>
            <w:r>
              <w:rPr>
                <w:rFonts w:ascii="Calibri" w:hAnsi="Calibri"/>
                <w:b w:val="0"/>
                <w:i w:val="0"/>
                <w:color w:val="212121"/>
                <w:sz w:val="16"/>
              </w:rPr>
              <w:t>Preferred first imaging in young / lactating breast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Pus / milk culture &amp; sensitivity</w:t>
            </w:r>
          </w:p>
        </w:tc>
        <w:tc>
          <w:tcPr>
            <w:tcW w:type="dxa" w:w="892"/>
            <w:vAlign w:val="top"/>
          </w:tcPr>
          <w:p>
            <w:pPr>
              <w:spacing w:after="40" w:before="0" w:line="259" w:lineRule="auto"/>
            </w:pPr>
            <w:r>
              <w:rPr>
                <w:rFonts w:ascii="Calibri" w:hAnsi="Calibri"/>
                <w:b w:val="0"/>
                <w:i w:val="0"/>
                <w:color w:val="212121"/>
                <w:sz w:val="16"/>
              </w:rPr>
              <w:t>Aspirate culture</w:t>
            </w:r>
          </w:p>
        </w:tc>
        <w:tc>
          <w:tcPr>
            <w:tcW w:type="dxa" w:w="950"/>
            <w:vAlign w:val="top"/>
          </w:tcPr>
          <w:p>
            <w:pPr>
              <w:spacing w:after="40" w:before="0" w:line="259" w:lineRule="auto"/>
            </w:pPr>
            <w:r>
              <w:rPr>
                <w:rFonts w:ascii="Calibri" w:hAnsi="Calibri"/>
                <w:b w:val="0"/>
                <w:i w:val="0"/>
                <w:color w:val="212121"/>
                <w:sz w:val="16"/>
              </w:rPr>
              <w:t>No growth / skin commensals</w:t>
            </w:r>
          </w:p>
        </w:tc>
        <w:tc>
          <w:tcPr>
            <w:tcW w:type="dxa" w:w="950"/>
            <w:vAlign w:val="top"/>
          </w:tcPr>
          <w:p>
            <w:pPr>
              <w:spacing w:after="40" w:before="0" w:line="259" w:lineRule="auto"/>
            </w:pPr>
            <w:r>
              <w:rPr>
                <w:rFonts w:ascii="Calibri" w:hAnsi="Calibri"/>
                <w:b w:val="0"/>
                <w:i w:val="0"/>
                <w:color w:val="212121"/>
                <w:sz w:val="16"/>
              </w:rPr>
              <w:t>S. aureus (incl. MRSA), Streptococcus</w:t>
            </w:r>
          </w:p>
        </w:tc>
        <w:tc>
          <w:tcPr>
            <w:tcW w:type="dxa" w:w="1036"/>
            <w:vAlign w:val="top"/>
          </w:tcPr>
          <w:p>
            <w:pPr>
              <w:spacing w:after="40" w:before="0" w:line="259" w:lineRule="auto"/>
            </w:pPr>
            <w:r>
              <w:rPr>
                <w:rFonts w:ascii="Calibri" w:hAnsi="Calibri"/>
                <w:b w:val="0"/>
                <w:i w:val="0"/>
                <w:color w:val="212121"/>
                <w:sz w:val="16"/>
              </w:rPr>
              <w:t>Identifies organism and guides targeted antibiotics; essential if MRSA suspected</w:t>
            </w:r>
          </w:p>
        </w:tc>
        <w:tc>
          <w:tcPr>
            <w:tcW w:type="dxa" w:w="1036"/>
            <w:vAlign w:val="top"/>
          </w:tcPr>
          <w:p>
            <w:pPr>
              <w:spacing w:after="40" w:before="0" w:line="259" w:lineRule="auto"/>
            </w:pPr>
            <w:r>
              <w:rPr>
                <w:rFonts w:ascii="Calibri" w:hAnsi="Calibri"/>
                <w:b w:val="0"/>
                <w:i w:val="0"/>
                <w:color w:val="212121"/>
                <w:sz w:val="16"/>
              </w:rPr>
              <w:t>Severe, recurrent, hospital-acquired or non-responding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Guides definitive therapy</w:t>
            </w:r>
          </w:p>
        </w:tc>
        <w:tc>
          <w:tcPr>
            <w:tcW w:type="dxa" w:w="720"/>
            <w:vAlign w:val="top"/>
          </w:tcPr>
          <w:p>
            <w:pPr>
              <w:spacing w:after="40" w:before="0" w:line="259" w:lineRule="auto"/>
            </w:pPr>
            <w:r>
              <w:rPr>
                <w:rFonts w:ascii="Calibri" w:hAnsi="Calibri"/>
                <w:b w:val="0"/>
                <w:i w:val="0"/>
                <w:color w:val="212121"/>
                <w:sz w:val="16"/>
              </w:rPr>
              <w:t>Send aspirate before/at drainage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Gram stain of aspirate</w:t>
            </w:r>
          </w:p>
        </w:tc>
        <w:tc>
          <w:tcPr>
            <w:tcW w:type="dxa" w:w="892"/>
            <w:vAlign w:val="top"/>
          </w:tcPr>
          <w:p>
            <w:pPr>
              <w:spacing w:after="40" w:before="0" w:line="259" w:lineRule="auto"/>
            </w:pPr>
            <w:r>
              <w:rPr>
                <w:rFonts w:ascii="Calibri" w:hAnsi="Calibri"/>
                <w:b w:val="0"/>
                <w:i w:val="0"/>
                <w:color w:val="212121"/>
                <w:sz w:val="16"/>
              </w:rPr>
              <w:t>Microscopy</w:t>
            </w:r>
          </w:p>
        </w:tc>
        <w:tc>
          <w:tcPr>
            <w:tcW w:type="dxa" w:w="950"/>
            <w:vAlign w:val="top"/>
          </w:tcPr>
          <w:p>
            <w:pPr>
              <w:spacing w:after="40" w:before="0" w:line="259" w:lineRule="auto"/>
            </w:pPr>
            <w:r>
              <w:rPr>
                <w:rFonts w:ascii="Calibri" w:hAnsi="Calibri"/>
                <w:b w:val="0"/>
                <w:i w:val="0"/>
                <w:color w:val="212121"/>
                <w:sz w:val="16"/>
              </w:rPr>
              <w:t>No organisms</w:t>
            </w:r>
          </w:p>
        </w:tc>
        <w:tc>
          <w:tcPr>
            <w:tcW w:type="dxa" w:w="950"/>
            <w:vAlign w:val="top"/>
          </w:tcPr>
          <w:p>
            <w:pPr>
              <w:spacing w:after="40" w:before="0" w:line="259" w:lineRule="auto"/>
            </w:pPr>
            <w:r>
              <w:rPr>
                <w:rFonts w:ascii="Calibri" w:hAnsi="Calibri"/>
                <w:b w:val="0"/>
                <w:i w:val="0"/>
                <w:color w:val="212121"/>
                <w:sz w:val="16"/>
              </w:rPr>
              <w:t>Gram-positive cocci in clusters (staphylococci)</w:t>
            </w:r>
          </w:p>
        </w:tc>
        <w:tc>
          <w:tcPr>
            <w:tcW w:type="dxa" w:w="1036"/>
            <w:vAlign w:val="top"/>
          </w:tcPr>
          <w:p>
            <w:pPr>
              <w:spacing w:after="40" w:before="0" w:line="259" w:lineRule="auto"/>
            </w:pPr>
            <w:r>
              <w:rPr>
                <w:rFonts w:ascii="Calibri" w:hAnsi="Calibri"/>
                <w:b w:val="0"/>
                <w:i w:val="0"/>
                <w:color w:val="212121"/>
                <w:sz w:val="16"/>
              </w:rPr>
              <w:t>Rapid clue to staphylococcal infection pending culture</w:t>
            </w:r>
          </w:p>
        </w:tc>
        <w:tc>
          <w:tcPr>
            <w:tcW w:type="dxa" w:w="1036"/>
            <w:vAlign w:val="top"/>
          </w:tcPr>
          <w:p>
            <w:pPr>
              <w:spacing w:after="40" w:before="0" w:line="259" w:lineRule="auto"/>
            </w:pPr>
            <w:r>
              <w:rPr>
                <w:rFonts w:ascii="Calibri" w:hAnsi="Calibri"/>
                <w:b w:val="0"/>
                <w:i w:val="0"/>
                <w:color w:val="212121"/>
                <w:sz w:val="16"/>
              </w:rPr>
              <w:t>Aspirated / drained abscess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Rapid orientation</w:t>
            </w:r>
          </w:p>
        </w:tc>
        <w:tc>
          <w:tcPr>
            <w:tcW w:type="dxa" w:w="720"/>
            <w:vAlign w:val="top"/>
          </w:tcPr>
          <w:p>
            <w:pPr>
              <w:spacing w:after="40" w:before="0" w:line="259" w:lineRule="auto"/>
            </w:pPr>
            <w:r>
              <w:rPr>
                <w:rFonts w:ascii="Calibri" w:hAnsi="Calibri"/>
                <w:b w:val="0"/>
                <w:i w:val="0"/>
                <w:color w:val="212121"/>
                <w:sz w:val="16"/>
              </w:rPr>
              <w:t>Complements culture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Normal WBC</w:t>
            </w:r>
          </w:p>
        </w:tc>
        <w:tc>
          <w:tcPr>
            <w:tcW w:type="dxa" w:w="950"/>
            <w:vAlign w:val="top"/>
          </w:tcPr>
          <w:p>
            <w:pPr>
              <w:spacing w:after="40" w:before="0" w:line="259" w:lineRule="auto"/>
            </w:pPr>
            <w:r>
              <w:rPr>
                <w:rFonts w:ascii="Calibri" w:hAnsi="Calibri"/>
                <w:b w:val="0"/>
                <w:i w:val="0"/>
                <w:color w:val="212121"/>
                <w:sz w:val="16"/>
              </w:rPr>
              <w:t>Leukocytosis with neutrophilia</w:t>
            </w:r>
          </w:p>
        </w:tc>
        <w:tc>
          <w:tcPr>
            <w:tcW w:type="dxa" w:w="1036"/>
            <w:vAlign w:val="top"/>
          </w:tcPr>
          <w:p>
            <w:pPr>
              <w:spacing w:after="40" w:before="0" w:line="259" w:lineRule="auto"/>
            </w:pPr>
            <w:r>
              <w:rPr>
                <w:rFonts w:ascii="Calibri" w:hAnsi="Calibri"/>
                <w:b w:val="0"/>
                <w:i w:val="0"/>
                <w:color w:val="212121"/>
                <w:sz w:val="16"/>
              </w:rPr>
              <w:t>Supports systemic / abscess-forming infection and severity</w:t>
            </w:r>
          </w:p>
        </w:tc>
        <w:tc>
          <w:tcPr>
            <w:tcW w:type="dxa" w:w="1036"/>
            <w:vAlign w:val="top"/>
          </w:tcPr>
          <w:p>
            <w:pPr>
              <w:spacing w:after="40" w:before="0" w:line="259" w:lineRule="auto"/>
            </w:pPr>
            <w:r>
              <w:rPr>
                <w:rFonts w:ascii="Calibri" w:hAnsi="Calibri"/>
                <w:b w:val="0"/>
                <w:i w:val="0"/>
                <w:color w:val="212121"/>
                <w:sz w:val="16"/>
              </w:rPr>
              <w:t>Febrile or systemically unwell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Severity marker</w:t>
            </w:r>
          </w:p>
        </w:tc>
        <w:tc>
          <w:tcPr>
            <w:tcW w:type="dxa" w:w="720"/>
            <w:vAlign w:val="top"/>
          </w:tcPr>
          <w:p>
            <w:pPr>
              <w:spacing w:after="40" w:before="0" w:line="259" w:lineRule="auto"/>
            </w:pPr>
            <w:r>
              <w:rPr>
                <w:rFonts w:ascii="Calibri" w:hAnsi="Calibri"/>
                <w:b w:val="0"/>
                <w:i w:val="0"/>
                <w:color w:val="212121"/>
                <w:sz w:val="16"/>
              </w:rPr>
              <w:t>Non-specific; 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C-reactive protein</w:t>
            </w:r>
          </w:p>
        </w:tc>
        <w:tc>
          <w:tcPr>
            <w:tcW w:type="dxa" w:w="892"/>
            <w:vAlign w:val="top"/>
          </w:tcPr>
          <w:p>
            <w:pPr>
              <w:spacing w:after="40" w:before="0" w:line="259" w:lineRule="auto"/>
            </w:pPr>
            <w:r>
              <w:rPr>
                <w:rFonts w:ascii="Calibri" w:hAnsi="Calibri"/>
                <w:b w:val="0"/>
                <w:i w:val="0"/>
                <w:color w:val="212121"/>
                <w:sz w:val="16"/>
              </w:rPr>
              <w:t>CRP</w:t>
            </w:r>
          </w:p>
        </w:tc>
        <w:tc>
          <w:tcPr>
            <w:tcW w:type="dxa" w:w="950"/>
            <w:vAlign w:val="top"/>
          </w:tcPr>
          <w:p>
            <w:pPr>
              <w:spacing w:after="40" w:before="0" w:line="259" w:lineRule="auto"/>
            </w:pPr>
            <w:r>
              <w:rPr>
                <w:rFonts w:ascii="Calibri" w:hAnsi="Calibri"/>
                <w:b w:val="0"/>
                <w:i w:val="0"/>
                <w:color w:val="212121"/>
                <w:sz w:val="16"/>
              </w:rPr>
              <w:t>&lt; 5 mg/L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Rises with infective / abscess-forming mastitis and helps monitor response</w:t>
            </w:r>
          </w:p>
        </w:tc>
        <w:tc>
          <w:tcPr>
            <w:tcW w:type="dxa" w:w="1036"/>
            <w:vAlign w:val="top"/>
          </w:tcPr>
          <w:p>
            <w:pPr>
              <w:spacing w:after="40" w:before="0" w:line="259" w:lineRule="auto"/>
            </w:pPr>
            <w:r>
              <w:rPr>
                <w:rFonts w:ascii="Calibri" w:hAnsi="Calibri"/>
                <w:b w:val="0"/>
                <w:i w:val="0"/>
                <w:color w:val="212121"/>
                <w:sz w:val="16"/>
              </w:rPr>
              <w:t>Moderate-to-severe or non-resolving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monitoring</w:t>
            </w:r>
          </w:p>
        </w:tc>
        <w:tc>
          <w:tcPr>
            <w:tcW w:type="dxa" w:w="720"/>
            <w:vAlign w:val="top"/>
          </w:tcPr>
          <w:p>
            <w:pPr>
              <w:spacing w:after="40" w:before="0" w:line="259" w:lineRule="auto"/>
            </w:pPr>
            <w:r>
              <w:rPr>
                <w:rFonts w:ascii="Calibri" w:hAnsi="Calibri"/>
                <w:b w:val="0"/>
                <w:i w:val="0"/>
                <w:color w:val="212121"/>
                <w:sz w:val="16"/>
              </w:rPr>
              <w:t>Trend more useful than single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 / Histopathology</w:t>
            </w:r>
          </w:p>
        </w:tc>
        <w:tc>
          <w:tcPr>
            <w:tcW w:type="dxa" w:w="1036"/>
            <w:vAlign w:val="top"/>
          </w:tcPr>
          <w:p>
            <w:pPr>
              <w:spacing w:after="40" w:before="0" w:line="259" w:lineRule="auto"/>
            </w:pPr>
            <w:r>
              <w:rPr>
                <w:rFonts w:ascii="Calibri" w:hAnsi="Calibri"/>
                <w:b w:val="0"/>
                <w:i w:val="0"/>
                <w:color w:val="212121"/>
                <w:sz w:val="16"/>
              </w:rPr>
              <w:t>FNAC or core-needle biopsy</w:t>
            </w:r>
          </w:p>
        </w:tc>
        <w:tc>
          <w:tcPr>
            <w:tcW w:type="dxa" w:w="892"/>
            <w:vAlign w:val="top"/>
          </w:tcPr>
          <w:p>
            <w:pPr>
              <w:spacing w:after="40" w:before="0" w:line="259" w:lineRule="auto"/>
            </w:pPr>
            <w:r>
              <w:rPr>
                <w:rFonts w:ascii="Calibri" w:hAnsi="Calibri"/>
                <w:b w:val="0"/>
                <w:i w:val="0"/>
                <w:color w:val="212121"/>
                <w:sz w:val="16"/>
              </w:rPr>
              <w:t>Tissue sampling</w:t>
            </w:r>
          </w:p>
        </w:tc>
        <w:tc>
          <w:tcPr>
            <w:tcW w:type="dxa" w:w="950"/>
            <w:vAlign w:val="top"/>
          </w:tcPr>
          <w:p>
            <w:pPr>
              <w:spacing w:after="40" w:before="0" w:line="259" w:lineRule="auto"/>
            </w:pPr>
            <w:r>
              <w:rPr>
                <w:rFonts w:ascii="Calibri" w:hAnsi="Calibri"/>
                <w:b w:val="0"/>
                <w:i w:val="0"/>
                <w:color w:val="212121"/>
                <w:sz w:val="16"/>
              </w:rPr>
              <w:t>Reactive / inflammatory only</w:t>
            </w:r>
          </w:p>
        </w:tc>
        <w:tc>
          <w:tcPr>
            <w:tcW w:type="dxa" w:w="950"/>
            <w:vAlign w:val="top"/>
          </w:tcPr>
          <w:p>
            <w:pPr>
              <w:spacing w:after="40" w:before="0" w:line="259" w:lineRule="auto"/>
            </w:pPr>
            <w:r>
              <w:rPr>
                <w:rFonts w:ascii="Calibri" w:hAnsi="Calibri"/>
                <w:b w:val="0"/>
                <w:i w:val="0"/>
                <w:color w:val="212121"/>
                <w:sz w:val="16"/>
              </w:rPr>
              <w:t>Non-caseating granulomas (IGM); caseation + AFB (TB); malignant cells (carcinoma)</w:t>
            </w:r>
          </w:p>
        </w:tc>
        <w:tc>
          <w:tcPr>
            <w:tcW w:type="dxa" w:w="1036"/>
            <w:vAlign w:val="top"/>
          </w:tcPr>
          <w:p>
            <w:pPr>
              <w:spacing w:after="40" w:before="0" w:line="259" w:lineRule="auto"/>
            </w:pPr>
            <w:r>
              <w:rPr>
                <w:rFonts w:ascii="Calibri" w:hAnsi="Calibri"/>
                <w:b w:val="0"/>
                <w:i w:val="0"/>
                <w:color w:val="212121"/>
                <w:sz w:val="16"/>
              </w:rPr>
              <w:t>Distinguishes granulomatous, tuberculous and neoplastic causes in non-lactational / non-resolving disease</w:t>
            </w:r>
          </w:p>
        </w:tc>
        <w:tc>
          <w:tcPr>
            <w:tcW w:type="dxa" w:w="1036"/>
            <w:vAlign w:val="top"/>
          </w:tcPr>
          <w:p>
            <w:pPr>
              <w:spacing w:after="40" w:before="0" w:line="259" w:lineRule="auto"/>
            </w:pPr>
            <w:r>
              <w:rPr>
                <w:rFonts w:ascii="Calibri" w:hAnsi="Calibri"/>
                <w:b w:val="0"/>
                <w:i w:val="0"/>
                <w:color w:val="212121"/>
                <w:sz w:val="16"/>
              </w:rPr>
              <w:t>Non-lactating, chronic or suspicious masses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Excludes carcinoma / defines granulomatous cause</w:t>
            </w:r>
          </w:p>
        </w:tc>
        <w:tc>
          <w:tcPr>
            <w:tcW w:type="dxa" w:w="720"/>
            <w:vAlign w:val="top"/>
          </w:tcPr>
          <w:p>
            <w:pPr>
              <w:spacing w:after="40" w:before="0" w:line="259" w:lineRule="auto"/>
            </w:pPr>
            <w:r>
              <w:rPr>
                <w:rFonts w:ascii="Calibri" w:hAnsi="Calibri"/>
                <w:b w:val="0"/>
                <w:i w:val="0"/>
                <w:color w:val="212121"/>
                <w:sz w:val="16"/>
              </w:rPr>
              <w:t>Mandatory for any persistent inflammatory mass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AFB smear / GeneXpert / TB culture</w:t>
            </w:r>
          </w:p>
        </w:tc>
        <w:tc>
          <w:tcPr>
            <w:tcW w:type="dxa" w:w="892"/>
            <w:vAlign w:val="top"/>
          </w:tcPr>
          <w:p>
            <w:pPr>
              <w:spacing w:after="40" w:before="0" w:line="259" w:lineRule="auto"/>
            </w:pPr>
            <w:r>
              <w:rPr>
                <w:rFonts w:ascii="Calibri" w:hAnsi="Calibri"/>
                <w:b w:val="0"/>
                <w:i w:val="0"/>
                <w:color w:val="212121"/>
                <w:sz w:val="16"/>
              </w:rPr>
              <w:t>TB workup</w:t>
            </w:r>
          </w:p>
        </w:tc>
        <w:tc>
          <w:tcPr>
            <w:tcW w:type="dxa" w:w="950"/>
            <w:vAlign w:val="top"/>
          </w:tcPr>
          <w:p>
            <w:pPr>
              <w:spacing w:after="40" w:before="0" w:line="259" w:lineRule="auto"/>
            </w:pPr>
            <w:r>
              <w:rPr>
                <w:rFonts w:ascii="Calibri" w:hAnsi="Calibri"/>
                <w:b w:val="0"/>
                <w:i w:val="0"/>
                <w:color w:val="212121"/>
                <w:sz w:val="16"/>
              </w:rPr>
              <w:t>No AFB; MTB not detected</w:t>
            </w:r>
          </w:p>
        </w:tc>
        <w:tc>
          <w:tcPr>
            <w:tcW w:type="dxa" w:w="950"/>
            <w:vAlign w:val="top"/>
          </w:tcPr>
          <w:p>
            <w:pPr>
              <w:spacing w:after="40" w:before="0" w:line="259" w:lineRule="auto"/>
            </w:pPr>
            <w:r>
              <w:rPr>
                <w:rFonts w:ascii="Calibri" w:hAnsi="Calibri"/>
                <w:b w:val="0"/>
                <w:i w:val="0"/>
                <w:color w:val="212121"/>
                <w:sz w:val="16"/>
              </w:rPr>
              <w:t>AFB seen / MTB detected</w:t>
            </w:r>
          </w:p>
        </w:tc>
        <w:tc>
          <w:tcPr>
            <w:tcW w:type="dxa" w:w="1036"/>
            <w:vAlign w:val="top"/>
          </w:tcPr>
          <w:p>
            <w:pPr>
              <w:spacing w:after="40" w:before="0" w:line="259" w:lineRule="auto"/>
            </w:pPr>
            <w:r>
              <w:rPr>
                <w:rFonts w:ascii="Calibri" w:hAnsi="Calibri"/>
                <w:b w:val="0"/>
                <w:i w:val="0"/>
                <w:color w:val="212121"/>
                <w:sz w:val="16"/>
              </w:rPr>
              <w:t>Confirms tuberculous mastitis, an important cause of chronic breast abscess/sinus in India</w:t>
            </w:r>
          </w:p>
        </w:tc>
        <w:tc>
          <w:tcPr>
            <w:tcW w:type="dxa" w:w="1036"/>
            <w:vAlign w:val="top"/>
          </w:tcPr>
          <w:p>
            <w:pPr>
              <w:spacing w:after="40" w:before="0" w:line="259" w:lineRule="auto"/>
            </w:pPr>
            <w:r>
              <w:rPr>
                <w:rFonts w:ascii="Calibri" w:hAnsi="Calibri"/>
                <w:b w:val="0"/>
                <w:i w:val="0"/>
                <w:color w:val="212121"/>
                <w:sz w:val="16"/>
              </w:rPr>
              <w:t>Chronic abscess, discharging sinus, granulomatous histology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in TB-endemic setting</w:t>
            </w:r>
          </w:p>
        </w:tc>
        <w:tc>
          <w:tcPr>
            <w:tcW w:type="dxa" w:w="720"/>
            <w:vAlign w:val="top"/>
          </w:tcPr>
          <w:p>
            <w:pPr>
              <w:spacing w:after="40" w:before="0" w:line="259" w:lineRule="auto"/>
            </w:pPr>
            <w:r>
              <w:rPr>
                <w:rFonts w:ascii="Calibri" w:hAnsi="Calibri"/>
                <w:b w:val="0"/>
                <w:i w:val="0"/>
                <w:color w:val="212121"/>
                <w:sz w:val="16"/>
              </w:rPr>
              <w:t>Low threshold in India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Lactation &amp; feeding history</w:t>
            </w:r>
          </w:p>
        </w:tc>
        <w:tc>
          <w:tcPr>
            <w:tcW w:type="dxa" w:w="979"/>
            <w:vAlign w:val="top"/>
          </w:tcPr>
          <w:p>
            <w:pPr>
              <w:spacing w:after="40" w:before="0" w:line="259" w:lineRule="auto"/>
            </w:pPr>
            <w:r>
              <w:rPr>
                <w:rFonts w:ascii="Calibri" w:hAnsi="Calibri"/>
                <w:b w:val="0"/>
                <w:i w:val="0"/>
                <w:color w:val="212121"/>
                <w:sz w:val="16"/>
              </w:rPr>
              <w:t>Onset, latch, feed frequency, weaning</w:t>
            </w:r>
          </w:p>
        </w:tc>
        <w:tc>
          <w:tcPr>
            <w:tcW w:type="dxa" w:w="950"/>
            <w:vAlign w:val="top"/>
          </w:tcPr>
          <w:p>
            <w:pPr>
              <w:spacing w:after="40" w:before="0" w:line="259" w:lineRule="auto"/>
            </w:pPr>
            <w:r>
              <w:rPr>
                <w:rFonts w:ascii="Calibri" w:hAnsi="Calibri"/>
                <w:b w:val="0"/>
                <w:i w:val="0"/>
                <w:color w:val="212121"/>
                <w:sz w:val="16"/>
              </w:rPr>
              <w:t>Effective, frequent, pain-free feeding</w:t>
            </w:r>
          </w:p>
        </w:tc>
        <w:tc>
          <w:tcPr>
            <w:tcW w:type="dxa" w:w="950"/>
            <w:vAlign w:val="top"/>
          </w:tcPr>
          <w:p>
            <w:pPr>
              <w:spacing w:after="40" w:before="0" w:line="259" w:lineRule="auto"/>
            </w:pPr>
            <w:r>
              <w:rPr>
                <w:rFonts w:ascii="Calibri" w:hAnsi="Calibri"/>
                <w:b w:val="0"/>
                <w:i w:val="0"/>
                <w:color w:val="212121"/>
                <w:sz w:val="16"/>
              </w:rPr>
              <w:t>Poor latch, missed feeds, engorgement, abrupt weaning</w:t>
            </w:r>
          </w:p>
        </w:tc>
        <w:tc>
          <w:tcPr>
            <w:tcW w:type="dxa" w:w="1036"/>
            <w:vAlign w:val="top"/>
          </w:tcPr>
          <w:p>
            <w:pPr>
              <w:spacing w:after="40" w:before="0" w:line="259" w:lineRule="auto"/>
            </w:pPr>
            <w:r>
              <w:rPr>
                <w:rFonts w:ascii="Calibri" w:hAnsi="Calibri"/>
                <w:b w:val="0"/>
                <w:i w:val="0"/>
                <w:color w:val="212121"/>
                <w:sz w:val="16"/>
              </w:rPr>
              <w:t>Identifies milk-stasis mechanism and modifiable drivers</w:t>
            </w:r>
          </w:p>
        </w:tc>
        <w:tc>
          <w:tcPr>
            <w:tcW w:type="dxa" w:w="1036"/>
            <w:vAlign w:val="top"/>
          </w:tcPr>
          <w:p>
            <w:pPr>
              <w:spacing w:after="40" w:before="0" w:line="259" w:lineRule="auto"/>
            </w:pPr>
            <w:r>
              <w:rPr>
                <w:rFonts w:ascii="Calibri" w:hAnsi="Calibri"/>
                <w:b w:val="0"/>
                <w:i w:val="0"/>
                <w:color w:val="212121"/>
                <w:sz w:val="16"/>
              </w:rPr>
              <w:t>Breastfeeding mothers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 to diagnosis &amp; prevention</w:t>
            </w:r>
          </w:p>
        </w:tc>
        <w:tc>
          <w:tcPr>
            <w:tcW w:type="dxa" w:w="720"/>
            <w:vAlign w:val="top"/>
          </w:tcPr>
          <w:p>
            <w:pPr>
              <w:spacing w:after="40" w:before="0" w:line="259" w:lineRule="auto"/>
            </w:pPr>
            <w:r>
              <w:rPr>
                <w:rFonts w:ascii="Calibri" w:hAnsi="Calibri"/>
                <w:b w:val="0"/>
                <w:i w:val="0"/>
                <w:color w:val="212121"/>
                <w:sz w:val="16"/>
              </w:rPr>
              <w:t>Also record days postpartum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Unilateral breast pain, redness, swelling, fever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Wedge-shaped painful red area ± flu-like symptoms</w:t>
            </w:r>
          </w:p>
        </w:tc>
        <w:tc>
          <w:tcPr>
            <w:tcW w:type="dxa" w:w="1036"/>
            <w:vAlign w:val="top"/>
          </w:tcPr>
          <w:p>
            <w:pPr>
              <w:spacing w:after="40" w:before="0" w:line="259" w:lineRule="auto"/>
            </w:pPr>
            <w:r>
              <w:rPr>
                <w:rFonts w:ascii="Calibri" w:hAnsi="Calibri"/>
                <w:b w:val="0"/>
                <w:i w:val="0"/>
                <w:color w:val="212121"/>
                <w:sz w:val="16"/>
              </w:rPr>
              <w:t>Typical presentation of mastitis; systemic features suggest infective disease</w:t>
            </w:r>
          </w:p>
        </w:tc>
        <w:tc>
          <w:tcPr>
            <w:tcW w:type="dxa" w:w="1036"/>
            <w:vAlign w:val="top"/>
          </w:tcPr>
          <w:p>
            <w:pPr>
              <w:spacing w:after="40" w:before="0" w:line="259" w:lineRule="auto"/>
            </w:pPr>
            <w:r>
              <w:rPr>
                <w:rFonts w:ascii="Calibri" w:hAnsi="Calibri"/>
                <w:b w:val="0"/>
                <w:i w:val="0"/>
                <w:color w:val="212121"/>
                <w:sz w:val="16"/>
              </w:rPr>
              <w:t>Lactating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Usually one breast, one segment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history</w:t>
            </w:r>
          </w:p>
        </w:tc>
        <w:tc>
          <w:tcPr>
            <w:tcW w:type="dxa" w:w="979"/>
            <w:vAlign w:val="top"/>
          </w:tcPr>
          <w:p>
            <w:pPr>
              <w:spacing w:after="40" w:before="0" w:line="259" w:lineRule="auto"/>
            </w:pPr>
            <w:r>
              <w:rPr>
                <w:rFonts w:ascii="Calibri" w:hAnsi="Calibri"/>
                <w:b w:val="0"/>
                <w:i w:val="0"/>
                <w:color w:val="212121"/>
                <w:sz w:val="16"/>
              </w:rPr>
              <w:t>Smoking, diabetes, immunosuppression, prior mastitis, recent pregnancy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Flags non-lactational / periductal, granulomatous, MRSA and recurrence risk</w:t>
            </w:r>
          </w:p>
        </w:tc>
        <w:tc>
          <w:tcPr>
            <w:tcW w:type="dxa" w:w="1036"/>
            <w:vAlign w:val="top"/>
          </w:tcPr>
          <w:p>
            <w:pPr>
              <w:spacing w:after="40" w:before="0" w:line="259" w:lineRule="auto"/>
            </w:pPr>
            <w:r>
              <w:rPr>
                <w:rFonts w:ascii="Calibri" w:hAnsi="Calibri"/>
                <w:b w:val="0"/>
                <w:i w:val="0"/>
                <w:color w:val="212121"/>
                <w:sz w:val="16"/>
              </w:rPr>
              <w:t>Non-lactating or recurrent cases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 / directs work-up</w:t>
            </w:r>
          </w:p>
        </w:tc>
        <w:tc>
          <w:tcPr>
            <w:tcW w:type="dxa" w:w="720"/>
            <w:vAlign w:val="top"/>
          </w:tcPr>
          <w:p>
            <w:pPr>
              <w:spacing w:after="40" w:before="0" w:line="259" w:lineRule="auto"/>
            </w:pPr>
            <w:r>
              <w:rPr>
                <w:rFonts w:ascii="Calibri" w:hAnsi="Calibri"/>
                <w:b w:val="0"/>
                <w:i w:val="0"/>
                <w:color w:val="212121"/>
                <w:sz w:val="16"/>
              </w:rPr>
              <w:t>Ask specifically about smoking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Inspection</w:t>
            </w:r>
          </w:p>
        </w:tc>
        <w:tc>
          <w:tcPr>
            <w:tcW w:type="dxa" w:w="979"/>
            <w:vAlign w:val="top"/>
          </w:tcPr>
          <w:p>
            <w:pPr>
              <w:spacing w:after="40" w:before="0" w:line="259" w:lineRule="auto"/>
            </w:pPr>
            <w:r>
              <w:rPr>
                <w:rFonts w:ascii="Calibri" w:hAnsi="Calibri"/>
                <w:b w:val="0"/>
                <w:i w:val="0"/>
                <w:color w:val="212121"/>
                <w:sz w:val="16"/>
              </w:rPr>
              <w:t>Skin colour, swelling, nipple, peau d’orange</w:t>
            </w:r>
          </w:p>
        </w:tc>
        <w:tc>
          <w:tcPr>
            <w:tcW w:type="dxa" w:w="950"/>
            <w:vAlign w:val="top"/>
          </w:tcPr>
          <w:p>
            <w:pPr>
              <w:spacing w:after="40" w:before="0" w:line="259" w:lineRule="auto"/>
            </w:pPr>
            <w:r>
              <w:rPr>
                <w:rFonts w:ascii="Calibri" w:hAnsi="Calibri"/>
                <w:b w:val="0"/>
                <w:i w:val="0"/>
                <w:color w:val="212121"/>
                <w:sz w:val="16"/>
              </w:rPr>
              <w:t>Symmetrical, normal skin &amp; nipple</w:t>
            </w:r>
          </w:p>
        </w:tc>
        <w:tc>
          <w:tcPr>
            <w:tcW w:type="dxa" w:w="950"/>
            <w:vAlign w:val="top"/>
          </w:tcPr>
          <w:p>
            <w:pPr>
              <w:spacing w:after="40" w:before="0" w:line="259" w:lineRule="auto"/>
            </w:pPr>
            <w:r>
              <w:rPr>
                <w:rFonts w:ascii="Calibri" w:hAnsi="Calibri"/>
                <w:b w:val="0"/>
                <w:i w:val="0"/>
                <w:color w:val="212121"/>
                <w:sz w:val="16"/>
              </w:rPr>
              <w:t>Erythema, wedge swelling, fissure, retraction, peau d’orange</w:t>
            </w:r>
          </w:p>
        </w:tc>
        <w:tc>
          <w:tcPr>
            <w:tcW w:type="dxa" w:w="1036"/>
            <w:vAlign w:val="top"/>
          </w:tcPr>
          <w:p>
            <w:pPr>
              <w:spacing w:after="40" w:before="0" w:line="259" w:lineRule="auto"/>
            </w:pPr>
            <w:r>
              <w:rPr>
                <w:rFonts w:ascii="Calibri" w:hAnsi="Calibri"/>
                <w:b w:val="0"/>
                <w:i w:val="0"/>
                <w:color w:val="212121"/>
                <w:sz w:val="16"/>
              </w:rPr>
              <w:t>Confirms inflammation; skin dimpling / retraction raises carcinoma suspicion</w:t>
            </w:r>
          </w:p>
        </w:tc>
        <w:tc>
          <w:tcPr>
            <w:tcW w:type="dxa" w:w="1036"/>
            <w:vAlign w:val="top"/>
          </w:tcPr>
          <w:p>
            <w:pPr>
              <w:spacing w:after="40" w:before="0" w:line="259" w:lineRule="auto"/>
            </w:pPr>
            <w:r>
              <w:rPr>
                <w:rFonts w:ascii="Calibri" w:hAnsi="Calibri"/>
                <w:b w:val="0"/>
                <w:i w:val="0"/>
                <w:color w:val="212121"/>
                <w:sz w:val="16"/>
              </w:rPr>
              <w:t>All</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Compare both breasts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Palpation</w:t>
            </w:r>
          </w:p>
        </w:tc>
        <w:tc>
          <w:tcPr>
            <w:tcW w:type="dxa" w:w="979"/>
            <w:vAlign w:val="top"/>
          </w:tcPr>
          <w:p>
            <w:pPr>
              <w:spacing w:after="40" w:before="0" w:line="259" w:lineRule="auto"/>
            </w:pPr>
            <w:r>
              <w:rPr>
                <w:rFonts w:ascii="Calibri" w:hAnsi="Calibri"/>
                <w:b w:val="0"/>
                <w:i w:val="0"/>
                <w:color w:val="212121"/>
                <w:sz w:val="16"/>
              </w:rPr>
              <w:t>Tender induration, fluctuant lump, axillary nodes</w:t>
            </w:r>
          </w:p>
        </w:tc>
        <w:tc>
          <w:tcPr>
            <w:tcW w:type="dxa" w:w="950"/>
            <w:vAlign w:val="top"/>
          </w:tcPr>
          <w:p>
            <w:pPr>
              <w:spacing w:after="40" w:before="0" w:line="259" w:lineRule="auto"/>
            </w:pPr>
            <w:r>
              <w:rPr>
                <w:rFonts w:ascii="Calibri" w:hAnsi="Calibri"/>
                <w:b w:val="0"/>
                <w:i w:val="0"/>
                <w:color w:val="212121"/>
                <w:sz w:val="16"/>
              </w:rPr>
              <w:t>Soft, non-tender</w:t>
            </w:r>
          </w:p>
        </w:tc>
        <w:tc>
          <w:tcPr>
            <w:tcW w:type="dxa" w:w="950"/>
            <w:vAlign w:val="top"/>
          </w:tcPr>
          <w:p>
            <w:pPr>
              <w:spacing w:after="40" w:before="0" w:line="259" w:lineRule="auto"/>
            </w:pPr>
            <w:r>
              <w:rPr>
                <w:rFonts w:ascii="Calibri" w:hAnsi="Calibri"/>
                <w:b w:val="0"/>
                <w:i w:val="0"/>
                <w:color w:val="212121"/>
                <w:sz w:val="16"/>
              </w:rPr>
              <w:t>Firm tender segment; fluctuant mass = abscess; tender axillary nodes</w:t>
            </w:r>
          </w:p>
        </w:tc>
        <w:tc>
          <w:tcPr>
            <w:tcW w:type="dxa" w:w="1036"/>
            <w:vAlign w:val="top"/>
          </w:tcPr>
          <w:p>
            <w:pPr>
              <w:spacing w:after="40" w:before="0" w:line="259" w:lineRule="auto"/>
            </w:pPr>
            <w:r>
              <w:rPr>
                <w:rFonts w:ascii="Calibri" w:hAnsi="Calibri"/>
                <w:b w:val="0"/>
                <w:i w:val="0"/>
                <w:color w:val="212121"/>
                <w:sz w:val="16"/>
              </w:rPr>
              <w:t>Fluctuance indicates a drainable collection warranting ultrasound / aspiration</w:t>
            </w:r>
          </w:p>
        </w:tc>
        <w:tc>
          <w:tcPr>
            <w:tcW w:type="dxa" w:w="1036"/>
            <w:vAlign w:val="top"/>
          </w:tcPr>
          <w:p>
            <w:pPr>
              <w:spacing w:after="40" w:before="0" w:line="259" w:lineRule="auto"/>
            </w:pPr>
            <w:r>
              <w:rPr>
                <w:rFonts w:ascii="Calibri" w:hAnsi="Calibri"/>
                <w:b w:val="0"/>
                <w:i w:val="0"/>
                <w:color w:val="212121"/>
                <w:sz w:val="16"/>
              </w:rPr>
              <w:t>All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Detects abscess</w:t>
            </w:r>
          </w:p>
        </w:tc>
        <w:tc>
          <w:tcPr>
            <w:tcW w:type="dxa" w:w="720"/>
            <w:vAlign w:val="top"/>
          </w:tcPr>
          <w:p>
            <w:pPr>
              <w:spacing w:after="40" w:before="0" w:line="259" w:lineRule="auto"/>
            </w:pPr>
            <w:r>
              <w:rPr>
                <w:rFonts w:ascii="Calibri" w:hAnsi="Calibri"/>
                <w:b w:val="0"/>
                <w:i w:val="0"/>
                <w:color w:val="212121"/>
                <w:sz w:val="16"/>
              </w:rPr>
              <w:t>Fluctuance may be absent in deep abscess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Nipple–areolar assessment</w:t>
            </w:r>
          </w:p>
        </w:tc>
        <w:tc>
          <w:tcPr>
            <w:tcW w:type="dxa" w:w="979"/>
            <w:vAlign w:val="top"/>
          </w:tcPr>
          <w:p>
            <w:pPr>
              <w:spacing w:after="40" w:before="0" w:line="259" w:lineRule="auto"/>
            </w:pPr>
            <w:r>
              <w:rPr>
                <w:rFonts w:ascii="Calibri" w:hAnsi="Calibri"/>
                <w:b w:val="0"/>
                <w:i w:val="0"/>
                <w:color w:val="212121"/>
                <w:sz w:val="16"/>
              </w:rPr>
              <w:t>Discharge, inversion, fistula</w:t>
            </w:r>
          </w:p>
        </w:tc>
        <w:tc>
          <w:tcPr>
            <w:tcW w:type="dxa" w:w="950"/>
            <w:vAlign w:val="top"/>
          </w:tcPr>
          <w:p>
            <w:pPr>
              <w:spacing w:after="40" w:before="0" w:line="259" w:lineRule="auto"/>
            </w:pPr>
            <w:r>
              <w:rPr>
                <w:rFonts w:ascii="Calibri" w:hAnsi="Calibri"/>
                <w:b w:val="0"/>
                <w:i w:val="0"/>
                <w:color w:val="212121"/>
                <w:sz w:val="16"/>
              </w:rPr>
              <w:t>No discharge / fistula</w:t>
            </w:r>
          </w:p>
        </w:tc>
        <w:tc>
          <w:tcPr>
            <w:tcW w:type="dxa" w:w="950"/>
            <w:vAlign w:val="top"/>
          </w:tcPr>
          <w:p>
            <w:pPr>
              <w:spacing w:after="40" w:before="0" w:line="259" w:lineRule="auto"/>
            </w:pPr>
            <w:r>
              <w:rPr>
                <w:rFonts w:ascii="Calibri" w:hAnsi="Calibri"/>
                <w:b w:val="0"/>
                <w:i w:val="0"/>
                <w:color w:val="212121"/>
                <w:sz w:val="16"/>
              </w:rPr>
              <w:t>Purulent / blood-stained discharge, inversion, discharging sinus</w:t>
            </w:r>
          </w:p>
        </w:tc>
        <w:tc>
          <w:tcPr>
            <w:tcW w:type="dxa" w:w="1036"/>
            <w:vAlign w:val="top"/>
          </w:tcPr>
          <w:p>
            <w:pPr>
              <w:spacing w:after="40" w:before="0" w:line="259" w:lineRule="auto"/>
            </w:pPr>
            <w:r>
              <w:rPr>
                <w:rFonts w:ascii="Calibri" w:hAnsi="Calibri"/>
                <w:b w:val="0"/>
                <w:i w:val="0"/>
                <w:color w:val="212121"/>
                <w:sz w:val="16"/>
              </w:rPr>
              <w:t>Subareolar sinus / fistula and inversion point to periductal mastitis / duct ectasia</w:t>
            </w:r>
          </w:p>
        </w:tc>
        <w:tc>
          <w:tcPr>
            <w:tcW w:type="dxa" w:w="1036"/>
            <w:vAlign w:val="top"/>
          </w:tcPr>
          <w:p>
            <w:pPr>
              <w:spacing w:after="40" w:before="0" w:line="259" w:lineRule="auto"/>
            </w:pPr>
            <w:r>
              <w:rPr>
                <w:rFonts w:ascii="Calibri" w:hAnsi="Calibri"/>
                <w:b w:val="0"/>
                <w:i w:val="0"/>
                <w:color w:val="212121"/>
                <w:sz w:val="16"/>
              </w:rPr>
              <w:t>Non-lactating, recurrent subareolar disease</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Directs diagnosis</w:t>
            </w:r>
          </w:p>
        </w:tc>
        <w:tc>
          <w:tcPr>
            <w:tcW w:type="dxa" w:w="720"/>
            <w:vAlign w:val="top"/>
          </w:tcPr>
          <w:p>
            <w:pPr>
              <w:spacing w:after="40" w:before="0" w:line="259" w:lineRule="auto"/>
            </w:pPr>
            <w:r>
              <w:rPr>
                <w:rFonts w:ascii="Calibri" w:hAnsi="Calibri"/>
                <w:b w:val="0"/>
                <w:i w:val="0"/>
                <w:color w:val="212121"/>
                <w:sz w:val="16"/>
              </w:rPr>
              <w:t>Note recurrence pattern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Vital signs</w:t>
            </w:r>
          </w:p>
        </w:tc>
        <w:tc>
          <w:tcPr>
            <w:tcW w:type="dxa" w:w="979"/>
            <w:vAlign w:val="top"/>
          </w:tcPr>
          <w:p>
            <w:pPr>
              <w:spacing w:after="40" w:before="0" w:line="259" w:lineRule="auto"/>
            </w:pPr>
            <w:r>
              <w:rPr>
                <w:rFonts w:ascii="Calibri" w:hAnsi="Calibri"/>
                <w:b w:val="0"/>
                <w:i w:val="0"/>
                <w:color w:val="212121"/>
                <w:sz w:val="16"/>
              </w:rPr>
              <w:t>Temperature, heart rate, blood pressure</w:t>
            </w:r>
          </w:p>
        </w:tc>
        <w:tc>
          <w:tcPr>
            <w:tcW w:type="dxa" w:w="950"/>
            <w:vAlign w:val="top"/>
          </w:tcPr>
          <w:p>
            <w:pPr>
              <w:spacing w:after="40" w:before="0" w:line="259" w:lineRule="auto"/>
            </w:pPr>
            <w:r>
              <w:rPr>
                <w:rFonts w:ascii="Calibri" w:hAnsi="Calibri"/>
                <w:b w:val="0"/>
                <w:i w:val="0"/>
                <w:color w:val="212121"/>
                <w:sz w:val="16"/>
              </w:rPr>
              <w:t>Afebrile, stable</w:t>
            </w:r>
          </w:p>
        </w:tc>
        <w:tc>
          <w:tcPr>
            <w:tcW w:type="dxa" w:w="950"/>
            <w:vAlign w:val="top"/>
          </w:tcPr>
          <w:p>
            <w:pPr>
              <w:spacing w:after="40" w:before="0" w:line="259" w:lineRule="auto"/>
            </w:pPr>
            <w:r>
              <w:rPr>
                <w:rFonts w:ascii="Calibri" w:hAnsi="Calibri"/>
                <w:b w:val="0"/>
                <w:i w:val="0"/>
                <w:color w:val="212121"/>
                <w:sz w:val="16"/>
              </w:rPr>
              <w:t>Fever ≥ 38.5 °C, tachycardia, hypotension</w:t>
            </w:r>
          </w:p>
        </w:tc>
        <w:tc>
          <w:tcPr>
            <w:tcW w:type="dxa" w:w="1036"/>
            <w:vAlign w:val="top"/>
          </w:tcPr>
          <w:p>
            <w:pPr>
              <w:spacing w:after="40" w:before="0" w:line="259" w:lineRule="auto"/>
            </w:pPr>
            <w:r>
              <w:rPr>
                <w:rFonts w:ascii="Calibri" w:hAnsi="Calibri"/>
                <w:b w:val="0"/>
                <w:i w:val="0"/>
                <w:color w:val="212121"/>
                <w:sz w:val="16"/>
              </w:rPr>
              <w:t>Grades severity and flags evolving sepsis needing admission / IV therapy</w:t>
            </w:r>
          </w:p>
        </w:tc>
        <w:tc>
          <w:tcPr>
            <w:tcW w:type="dxa" w:w="1036"/>
            <w:vAlign w:val="top"/>
          </w:tcPr>
          <w:p>
            <w:pPr>
              <w:spacing w:after="40" w:before="0" w:line="259" w:lineRule="auto"/>
            </w:pPr>
            <w:r>
              <w:rPr>
                <w:rFonts w:ascii="Calibri" w:hAnsi="Calibri"/>
                <w:b w:val="0"/>
                <w:i w:val="0"/>
                <w:color w:val="212121"/>
                <w:sz w:val="16"/>
              </w:rPr>
              <w:t>Systemically unwell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Triage / safety</w:t>
            </w:r>
          </w:p>
        </w:tc>
        <w:tc>
          <w:tcPr>
            <w:tcW w:type="dxa" w:w="720"/>
            <w:vAlign w:val="top"/>
          </w:tcPr>
          <w:p>
            <w:pPr>
              <w:spacing w:after="40" w:before="0" w:line="259" w:lineRule="auto"/>
            </w:pPr>
            <w:r>
              <w:rPr>
                <w:rFonts w:ascii="Calibri" w:hAnsi="Calibri"/>
                <w:b w:val="0"/>
                <w:i w:val="0"/>
                <w:color w:val="212121"/>
                <w:sz w:val="16"/>
              </w:rPr>
              <w:t>Escalate if septic</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Unilateral breast pain (mastalgia)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or throbbing pain localised to one segment of one breast.</w:t>
            </w:r>
          </w:p>
        </w:tc>
      </w:tr>
      <w:tr>
        <w:trPr>
          <w:cantSplit/>
        </w:trPr>
        <w:tc>
          <w:tcPr>
            <w:tcW w:type="dxa" w:w="2304"/>
            <w:vAlign w:val="top"/>
          </w:tcPr>
          <w:p>
            <w:pPr>
              <w:spacing w:after="40" w:before="0" w:line="259" w:lineRule="auto"/>
            </w:pPr>
            <w:r>
              <w:rPr>
                <w:rFonts w:ascii="Calibri" w:hAnsi="Calibri"/>
                <w:b/>
                <w:i w:val="0"/>
                <w:color w:val="212121"/>
                <w:sz w:val="19"/>
              </w:rPr>
              <w:t>Localised redness / erythema (often wedge-shaped)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Overlying skin becomes red and inflamed over the affected lobule.</w:t>
            </w:r>
          </w:p>
        </w:tc>
      </w:tr>
      <w:tr>
        <w:trPr>
          <w:cantSplit/>
        </w:trPr>
        <w:tc>
          <w:tcPr>
            <w:tcW w:type="dxa" w:w="2304"/>
            <w:vAlign w:val="top"/>
          </w:tcPr>
          <w:p>
            <w:pPr>
              <w:spacing w:after="40" w:before="0" w:line="259" w:lineRule="auto"/>
            </w:pPr>
            <w:r>
              <w:rPr>
                <w:rFonts w:ascii="Calibri" w:hAnsi="Calibri"/>
                <w:b/>
                <w:i w:val="0"/>
                <w:color w:val="212121"/>
                <w:sz w:val="19"/>
              </w:rPr>
              <w:t>Breast swelling, firmness or engorgement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segment feels swollen, hard and heavy from inflammation and retained milk.</w:t>
            </w:r>
          </w:p>
        </w:tc>
      </w:tr>
      <w:tr>
        <w:trPr>
          <w:cantSplit/>
        </w:trPr>
        <w:tc>
          <w:tcPr>
            <w:tcW w:type="dxa" w:w="2304"/>
            <w:vAlign w:val="top"/>
          </w:tcPr>
          <w:p>
            <w:pPr>
              <w:spacing w:after="40" w:before="0" w:line="259" w:lineRule="auto"/>
            </w:pPr>
            <w:r>
              <w:rPr>
                <w:rFonts w:ascii="Calibri" w:hAnsi="Calibri"/>
                <w:b/>
                <w:i w:val="0"/>
                <w:color w:val="212121"/>
                <w:sz w:val="19"/>
              </w:rPr>
              <w:t>Warmth and tenderness of the area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skin is hot and exquisitely tender to touch.</w:t>
            </w:r>
          </w:p>
        </w:tc>
      </w:tr>
      <w:tr>
        <w:trPr>
          <w:cantSplit/>
        </w:trPr>
        <w:tc>
          <w:tcPr>
            <w:tcW w:type="dxa" w:w="2304"/>
            <w:vAlign w:val="top"/>
          </w:tcPr>
          <w:p>
            <w:pPr>
              <w:spacing w:after="40" w:before="0" w:line="259" w:lineRule="auto"/>
            </w:pPr>
            <w:r>
              <w:rPr>
                <w:rFonts w:ascii="Calibri" w:hAnsi="Calibri"/>
                <w:b/>
                <w:i w:val="0"/>
                <w:color w:val="212121"/>
                <w:sz w:val="19"/>
              </w:rPr>
              <w:t>Fever, chills and flu-like malaise / myalgia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features that help distinguish infective mastitis from simple engorgement.</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 tiredness accompanying the systemic inflammatory response, compounded by postpartum exhaustion.</w:t>
            </w:r>
          </w:p>
        </w:tc>
      </w:tr>
      <w:tr>
        <w:trPr>
          <w:cantSplit/>
        </w:trPr>
        <w:tc>
          <w:tcPr>
            <w:tcW w:type="dxa" w:w="2304"/>
            <w:vAlign w:val="top"/>
          </w:tcPr>
          <w:p>
            <w:pPr>
              <w:spacing w:after="40" w:before="0" w:line="259" w:lineRule="auto"/>
            </w:pPr>
            <w:r>
              <w:rPr>
                <w:rFonts w:ascii="Calibri" w:hAnsi="Calibri"/>
                <w:b/>
                <w:i w:val="0"/>
                <w:color w:val="212121"/>
                <w:sz w:val="19"/>
              </w:rPr>
              <w:t>Palpable tender lump / induration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firm, tender area or lump within the inflamed segment.</w:t>
            </w:r>
          </w:p>
        </w:tc>
      </w:tr>
      <w:tr>
        <w:trPr>
          <w:cantSplit/>
        </w:trPr>
        <w:tc>
          <w:tcPr>
            <w:tcW w:type="dxa" w:w="2304"/>
            <w:vAlign w:val="top"/>
          </w:tcPr>
          <w:p>
            <w:pPr>
              <w:spacing w:after="40" w:before="0" w:line="259" w:lineRule="auto"/>
            </w:pPr>
            <w:r>
              <w:rPr>
                <w:rFonts w:ascii="Calibri" w:hAnsi="Calibri"/>
                <w:b/>
                <w:i w:val="0"/>
                <w:color w:val="212121"/>
                <w:sz w:val="19"/>
              </w:rPr>
              <w:t>Fluctuant, tender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 breast abscess (a localised pus collection) needing drainage.</w:t>
            </w:r>
          </w:p>
        </w:tc>
      </w:tr>
      <w:tr>
        <w:trPr>
          <w:cantSplit/>
        </w:trPr>
        <w:tc>
          <w:tcPr>
            <w:tcW w:type="dxa" w:w="2304"/>
            <w:vAlign w:val="top"/>
          </w:tcPr>
          <w:p>
            <w:pPr>
              <w:spacing w:after="40" w:before="0" w:line="259" w:lineRule="auto"/>
            </w:pPr>
            <w:r>
              <w:rPr>
                <w:rFonts w:ascii="Calibri" w:hAnsi="Calibri"/>
                <w:b/>
                <w:i w:val="0"/>
                <w:color w:val="212121"/>
                <w:sz w:val="19"/>
              </w:rPr>
              <w:t>Reduced milk flow / difficulty feeding on the affected side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swelling and oedema hinder let-down and effective emptying.</w:t>
            </w:r>
          </w:p>
        </w:tc>
      </w:tr>
      <w:tr>
        <w:trPr>
          <w:cantSplit/>
        </w:trPr>
        <w:tc>
          <w:tcPr>
            <w:tcW w:type="dxa" w:w="2304"/>
            <w:vAlign w:val="top"/>
          </w:tcPr>
          <w:p>
            <w:pPr>
              <w:spacing w:after="40" w:before="0" w:line="259" w:lineRule="auto"/>
            </w:pPr>
            <w:r>
              <w:rPr>
                <w:rFonts w:ascii="Calibri" w:hAnsi="Calibri"/>
                <w:b/>
                <w:i w:val="0"/>
                <w:color w:val="212121"/>
                <w:sz w:val="19"/>
              </w:rPr>
              <w:t>Purulent or blood-stained nipple discharge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abscess or periductal / duct-ectasia disease.</w:t>
            </w:r>
          </w:p>
        </w:tc>
      </w:tr>
      <w:tr>
        <w:trPr>
          <w:cantSplit/>
        </w:trPr>
        <w:tc>
          <w:tcPr>
            <w:tcW w:type="dxa" w:w="2304"/>
            <w:vAlign w:val="top"/>
          </w:tcPr>
          <w:p>
            <w:pPr>
              <w:spacing w:after="40" w:before="0" w:line="259" w:lineRule="auto"/>
            </w:pPr>
            <w:r>
              <w:rPr>
                <w:rFonts w:ascii="Calibri" w:hAnsi="Calibri"/>
                <w:b/>
                <w:i w:val="0"/>
                <w:color w:val="212121"/>
                <w:sz w:val="19"/>
              </w:rPr>
              <w:t>Tender axillary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Reactive enlargement of ipsilateral axillary lymph nodes.</w:t>
            </w:r>
          </w:p>
        </w:tc>
      </w:tr>
      <w:tr>
        <w:trPr>
          <w:cantSplit/>
        </w:trPr>
        <w:tc>
          <w:tcPr>
            <w:tcW w:type="dxa" w:w="2304"/>
            <w:vAlign w:val="top"/>
          </w:tcPr>
          <w:p>
            <w:pPr>
              <w:spacing w:after="40" w:before="0" w:line="259" w:lineRule="auto"/>
            </w:pPr>
            <w:r>
              <w:rPr>
                <w:rFonts w:ascii="Calibri" w:hAnsi="Calibri"/>
                <w:b/>
                <w:i w:val="0"/>
                <w:color w:val="212121"/>
                <w:sz w:val="19"/>
              </w:rPr>
              <w:t>Skin ulceration, spontaneous pus discharge or sinus / fistula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Neglected or recurrent (periductal) abscess may point and discharge, forming a chronic sinus or mammary-duct fistula.</w:t>
            </w:r>
          </w:p>
        </w:tc>
      </w:tr>
      <w:tr>
        <w:trPr>
          <w:cantSplit/>
        </w:trPr>
        <w:tc>
          <w:tcPr>
            <w:tcW w:type="dxa" w:w="2304"/>
            <w:vAlign w:val="top"/>
          </w:tcPr>
          <w:p>
            <w:pPr>
              <w:spacing w:after="40" w:before="0" w:line="259" w:lineRule="auto"/>
            </w:pPr>
            <w:r>
              <w:rPr>
                <w:rFonts w:ascii="Calibri" w:hAnsi="Calibri"/>
                <w:b/>
                <w:i w:val="0"/>
                <w:color w:val="212121"/>
                <w:sz w:val="19"/>
              </w:rPr>
              <w:t>Systemic sepsis (rigors, hypotension, confusion)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infective mastitis / abscess can progress to bacteraemia and sepsis, especially in diabetics or the immunocompromised.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Localised erythema and warmth on inspection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red, hot, often wedge-shaped area over the affected segment.</w:t>
            </w:r>
          </w:p>
        </w:tc>
      </w:tr>
      <w:tr>
        <w:trPr>
          <w:cantSplit/>
        </w:trPr>
        <w:tc>
          <w:tcPr>
            <w:tcW w:type="dxa" w:w="3456"/>
            <w:vAlign w:val="top"/>
          </w:tcPr>
          <w:p>
            <w:pPr>
              <w:spacing w:after="40" w:before="0" w:line="259" w:lineRule="auto"/>
            </w:pPr>
            <w:r>
              <w:rPr>
                <w:rFonts w:ascii="Calibri" w:hAnsi="Calibri"/>
                <w:b/>
                <w:i w:val="0"/>
                <w:color w:val="212121"/>
                <w:sz w:val="19"/>
              </w:rPr>
              <w:t>Tender, firm, indurated segment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induration corresponding to the inflamed lobule and stagnant milk.</w:t>
            </w:r>
          </w:p>
        </w:tc>
      </w:tr>
      <w:tr>
        <w:trPr>
          <w:cantSplit/>
        </w:trPr>
        <w:tc>
          <w:tcPr>
            <w:tcW w:type="dxa" w:w="3456"/>
            <w:vAlign w:val="top"/>
          </w:tcPr>
          <w:p>
            <w:pPr>
              <w:spacing w:after="40" w:before="0" w:line="259" w:lineRule="auto"/>
            </w:pPr>
            <w:r>
              <w:rPr>
                <w:rFonts w:ascii="Calibri" w:hAnsi="Calibri"/>
                <w:b/>
                <w:i w:val="0"/>
                <w:color w:val="212121"/>
                <w:sz w:val="19"/>
              </w:rPr>
              <w:t>Fluctuant tender mass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Key sign of a breast abscess; confirm and localise with ultrasound.</w:t>
            </w:r>
          </w:p>
        </w:tc>
      </w:tr>
      <w:tr>
        <w:trPr>
          <w:cantSplit/>
        </w:trPr>
        <w:tc>
          <w:tcPr>
            <w:tcW w:type="dxa" w:w="3456"/>
            <w:vAlign w:val="top"/>
          </w:tcPr>
          <w:p>
            <w:pPr>
              <w:spacing w:after="40" w:before="0" w:line="259" w:lineRule="auto"/>
            </w:pPr>
            <w:r>
              <w:rPr>
                <w:rFonts w:ascii="Calibri" w:hAnsi="Calibri"/>
                <w:b/>
                <w:i w:val="0"/>
                <w:color w:val="212121"/>
                <w:sz w:val="19"/>
              </w:rPr>
              <w:t>Fever (≥ 38.5 °C) and 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Systemic signs supporting infective rather than purely inflammatory mastitis.</w:t>
            </w:r>
          </w:p>
        </w:tc>
      </w:tr>
      <w:tr>
        <w:trPr>
          <w:cantSplit/>
        </w:trPr>
        <w:tc>
          <w:tcPr>
            <w:tcW w:type="dxa" w:w="3456"/>
            <w:vAlign w:val="top"/>
          </w:tcPr>
          <w:p>
            <w:pPr>
              <w:spacing w:after="40" w:before="0" w:line="259" w:lineRule="auto"/>
            </w:pPr>
            <w:r>
              <w:rPr>
                <w:rFonts w:ascii="Calibri" w:hAnsi="Calibri"/>
                <w:b/>
                <w:i w:val="0"/>
                <w:color w:val="212121"/>
                <w:sz w:val="19"/>
              </w:rPr>
              <w:t>Cracked / fissured nipple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Frequently present as the bacterial portal of entry in lactational disease.</w:t>
            </w:r>
          </w:p>
        </w:tc>
      </w:tr>
      <w:tr>
        <w:trPr>
          <w:cantSplit/>
        </w:trPr>
        <w:tc>
          <w:tcPr>
            <w:tcW w:type="dxa" w:w="3456"/>
            <w:vAlign w:val="top"/>
          </w:tcPr>
          <w:p>
            <w:pPr>
              <w:spacing w:after="40" w:before="0" w:line="259" w:lineRule="auto"/>
            </w:pPr>
            <w:r>
              <w:rPr>
                <w:rFonts w:ascii="Calibri" w:hAnsi="Calibri"/>
                <w:b/>
                <w:i w:val="0"/>
                <w:color w:val="212121"/>
                <w:sz w:val="19"/>
              </w:rPr>
              <w:t>Ipsilateral axillary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 enlarged draining nodes accompanying breast infection.</w:t>
            </w:r>
          </w:p>
        </w:tc>
      </w:tr>
      <w:tr>
        <w:trPr>
          <w:cantSplit/>
        </w:trPr>
        <w:tc>
          <w:tcPr>
            <w:tcW w:type="dxa" w:w="3456"/>
            <w:vAlign w:val="top"/>
          </w:tcPr>
          <w:p>
            <w:pPr>
              <w:spacing w:after="40" w:before="0" w:line="259" w:lineRule="auto"/>
            </w:pPr>
            <w:r>
              <w:rPr>
                <w:rFonts w:ascii="Calibri" w:hAnsi="Calibri"/>
                <w:b/>
                <w:i w:val="0"/>
                <w:color w:val="212121"/>
                <w:sz w:val="19"/>
              </w:rPr>
              <w:t>Purulent or blood-stained nipple discharge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with abscess and with periductal mastitis / duct ectasia.</w:t>
            </w:r>
          </w:p>
        </w:tc>
      </w:tr>
      <w:tr>
        <w:trPr>
          <w:cantSplit/>
        </w:trPr>
        <w:tc>
          <w:tcPr>
            <w:tcW w:type="dxa" w:w="3456"/>
            <w:vAlign w:val="top"/>
          </w:tcPr>
          <w:p>
            <w:pPr>
              <w:spacing w:after="40" w:before="0" w:line="259" w:lineRule="auto"/>
            </w:pPr>
            <w:r>
              <w:rPr>
                <w:rFonts w:ascii="Calibri" w:hAnsi="Calibri"/>
                <w:b/>
                <w:i w:val="0"/>
                <w:color w:val="212121"/>
                <w:sz w:val="19"/>
              </w:rPr>
              <w:t>Nipple / skin retraction or peau d’orange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Can occur with inflammation but must prompt exclusion of inflammatory breast carcinoma.</w:t>
            </w:r>
          </w:p>
        </w:tc>
      </w:tr>
      <w:tr>
        <w:trPr>
          <w:cantSplit/>
        </w:trPr>
        <w:tc>
          <w:tcPr>
            <w:tcW w:type="dxa" w:w="3456"/>
            <w:vAlign w:val="top"/>
          </w:tcPr>
          <w:p>
            <w:pPr>
              <w:spacing w:after="40" w:before="0" w:line="259" w:lineRule="auto"/>
            </w:pPr>
            <w:r>
              <w:rPr>
                <w:rFonts w:ascii="Calibri" w:hAnsi="Calibri"/>
                <w:b/>
                <w:i w:val="0"/>
                <w:color w:val="212121"/>
                <w:sz w:val="19"/>
              </w:rPr>
              <w:t>Chronically discharging subareolar sinus / mammary-duct fistula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Hallmark of recurrent periductal mastitis (Zuska disease) in smokers.</w:t>
            </w:r>
          </w:p>
        </w:tc>
      </w:tr>
      <w:tr>
        <w:trPr>
          <w:cantSplit/>
        </w:trPr>
        <w:tc>
          <w:tcPr>
            <w:tcW w:type="dxa" w:w="3456"/>
            <w:vAlign w:val="top"/>
          </w:tcPr>
          <w:p>
            <w:pPr>
              <w:spacing w:after="40" w:before="0" w:line="259" w:lineRule="auto"/>
            </w:pPr>
            <w:r>
              <w:rPr>
                <w:rFonts w:ascii="Calibri" w:hAnsi="Calibri"/>
                <w:b/>
                <w:i w:val="0"/>
                <w:color w:val="212121"/>
                <w:sz w:val="19"/>
              </w:rPr>
              <w:t>Overlying skin necrosis / pointing abscess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large, neglected collection thinning and pointing through the skin.</w:t>
            </w:r>
          </w:p>
        </w:tc>
      </w:tr>
      <w:tr>
        <w:trPr>
          <w:cantSplit/>
        </w:trPr>
        <w:tc>
          <w:tcPr>
            <w:tcW w:type="dxa" w:w="3456"/>
            <w:vAlign w:val="top"/>
          </w:tcPr>
          <w:p>
            <w:pPr>
              <w:spacing w:after="40" w:before="0" w:line="259" w:lineRule="auto"/>
            </w:pPr>
            <w:r>
              <w:rPr>
                <w:rFonts w:ascii="Calibri" w:hAnsi="Calibri"/>
                <w:b/>
                <w:i w:val="0"/>
                <w:color w:val="212121"/>
                <w:sz w:val="19"/>
              </w:rPr>
              <w:t>Firm irregular mass with skin nodularity (sterile)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Typical of idiopathic granulomatous mastitis, closely mimicking carcinoma.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 abscess (localised pus collection) — the principal acute complication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 failure / persistent or worsening mastitis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pain, engorgement and premature cessation of breastfeeding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infection with high fever and dehydration</w:t>
            </w:r>
          </w:p>
        </w:tc>
        <w:tc>
          <w:tcPr>
            <w:tcW w:type="dxa" w:w="2980"/>
            <w:vAlign w:val="top"/>
          </w:tcPr>
          <w:p>
            <w:pPr>
              <w:spacing w:after="40" w:before="0" w:line="259" w:lineRule="auto"/>
            </w:pPr>
            <w:r>
              <w:rPr>
                <w:rFonts w:ascii="Calibri" w:hAnsi="Calibri"/>
                <w:b w:val="0"/>
                <w:i w:val="0"/>
                <w:color w:val="212121"/>
                <w:sz w:val="19"/>
              </w:rPr>
              <w:t>Direct acute consequences of unresolved milk stasis and bacterial infection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chronic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Mammary-duct fistula (Zuska disease) and chronic discharging sinus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Milk fistula following incision and drainage in a lactating breast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MRSA infection requiring second-line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 sepsis, particularly in diabetics or the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wound healing after drainage</w:t>
            </w:r>
          </w:p>
        </w:tc>
        <w:tc>
          <w:tcPr>
            <w:tcW w:type="dxa" w:w="2980"/>
            <w:vAlign w:val="top"/>
          </w:tcPr>
          <w:p>
            <w:pPr>
              <w:spacing w:after="40" w:before="0" w:line="259" w:lineRule="auto"/>
            </w:pPr>
            <w:r>
              <w:rPr>
                <w:rFonts w:ascii="Calibri" w:hAnsi="Calibri"/>
                <w:b w:val="0"/>
                <w:i w:val="0"/>
                <w:color w:val="212121"/>
                <w:sz w:val="19"/>
              </w:rPr>
              <w:t>Result from progression, recurrence, resistant organisms and impaired host defences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recurrent non-lactational (periductal) mastitis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Disfiguring scarring, breast deformity and nipple retraction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Breastfeeding failure with impact on infant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impact — anxiety, postpartum depression, loss of confidence in breastfeeding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Diagnostic delay of inflammatory or occult breast carcinoma masquerading as ‘mastitis’</w:t>
            </w:r>
          </w:p>
        </w:tc>
        <w:tc>
          <w:tcPr>
            <w:tcW w:type="dxa" w:w="2980"/>
            <w:vAlign w:val="top"/>
          </w:tcPr>
          <w:p>
            <w:pPr>
              <w:spacing w:after="40" w:before="0" w:line="259" w:lineRule="auto"/>
            </w:pPr>
            <w:r>
              <w:rPr>
                <w:rFonts w:ascii="Calibri" w:hAnsi="Calibri"/>
                <w:b w:val="0"/>
                <w:i w:val="0"/>
                <w:color w:val="212121"/>
                <w:sz w:val="19"/>
              </w:rPr>
              <w:t>Long-term, disabling or high-stakes outcomes of recurrent, chronic or misdiagnosed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neutrophil function and microcirculation, raising the risk of abscess formation, MRSA involvement, recurrence and delayed healing.</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Larger, poorly draining breasts plus adiposity-related immune impairment increase the chance that mastitis progresses to abscess and heals slowly.</w:t>
            </w:r>
          </w:p>
        </w:tc>
      </w:tr>
      <w:tr>
        <w:trPr>
          <w:cantSplit/>
        </w:trPr>
        <w:tc>
          <w:tcPr>
            <w:tcW w:type="dxa" w:w="2232"/>
            <w:vAlign w:val="top"/>
          </w:tcPr>
          <w:p>
            <w:pPr>
              <w:spacing w:after="40" w:before="0" w:line="259" w:lineRule="auto"/>
            </w:pPr>
            <w:r>
              <w:rPr>
                <w:rFonts w:ascii="Calibri" w:hAnsi="Calibri"/>
                <w:b/>
                <w:i w:val="0"/>
                <w:color w:val="212121"/>
                <w:sz w:val="19"/>
              </w:rPr>
              <w:t>MRSA / methicillin-resistant S. aureus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increasingly common cause of breast abscess; prior colonisation drives empirical antibiotic choice and often mandates culture-guided therapy.</w:t>
            </w:r>
          </w:p>
        </w:tc>
      </w:tr>
      <w:tr>
        <w:trPr>
          <w:cantSplit/>
        </w:trPr>
        <w:tc>
          <w:tcPr>
            <w:tcW w:type="dxa" w:w="2232"/>
            <w:vAlign w:val="top"/>
          </w:tcPr>
          <w:p>
            <w:pPr>
              <w:spacing w:after="40" w:before="0" w:line="259" w:lineRule="auto"/>
            </w:pPr>
            <w:r>
              <w:rPr>
                <w:rFonts w:ascii="Calibri" w:hAnsi="Calibri"/>
                <w:b/>
                <w:i w:val="0"/>
                <w:color w:val="212121"/>
                <w:sz w:val="19"/>
              </w:rPr>
              <w:t>Cracked nipples / nipple trauma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Fissures are the usual portal of bacterial entry in lactational mastitis and frequently coexist with early infection.</w:t>
            </w:r>
          </w:p>
        </w:tc>
      </w:tr>
      <w:tr>
        <w:trPr>
          <w:cantSplit/>
        </w:trPr>
        <w:tc>
          <w:tcPr>
            <w:tcW w:type="dxa" w:w="2232"/>
            <w:vAlign w:val="top"/>
          </w:tcPr>
          <w:p>
            <w:pPr>
              <w:spacing w:after="40" w:before="0" w:line="259" w:lineRule="auto"/>
            </w:pPr>
            <w:r>
              <w:rPr>
                <w:rFonts w:ascii="Calibri" w:hAnsi="Calibri"/>
                <w:b/>
                <w:i w:val="0"/>
                <w:color w:val="212121"/>
                <w:sz w:val="19"/>
              </w:rPr>
              <w:t>Breast engorgement / milk stasis / oversupply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Unrelieved stasis is the immediate precursor of both inflammatory and infective lactational mastitis.</w:t>
            </w:r>
          </w:p>
        </w:tc>
      </w:tr>
      <w:tr>
        <w:trPr>
          <w:cantSplit/>
        </w:trPr>
        <w:tc>
          <w:tcPr>
            <w:tcW w:type="dxa" w:w="2232"/>
            <w:vAlign w:val="top"/>
          </w:tcPr>
          <w:p>
            <w:pPr>
              <w:spacing w:after="40" w:before="0" w:line="259" w:lineRule="auto"/>
            </w:pPr>
            <w:r>
              <w:rPr>
                <w:rFonts w:ascii="Calibri" w:hAnsi="Calibri"/>
                <w:b/>
                <w:i w:val="0"/>
                <w:color w:val="212121"/>
                <w:sz w:val="19"/>
              </w:rPr>
              <w:t>Postpartum 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 pain, fatigue and breastfeeding difficulty worsen mood, while low mood promotes early weaning and missed feeds that trigger stasis.</w:t>
            </w:r>
          </w:p>
        </w:tc>
      </w:tr>
      <w:tr>
        <w:trPr>
          <w:cantSplit/>
        </w:trPr>
        <w:tc>
          <w:tcPr>
            <w:tcW w:type="dxa" w:w="2232"/>
            <w:vAlign w:val="top"/>
          </w:tcPr>
          <w:p>
            <w:pPr>
              <w:spacing w:after="40" w:before="0" w:line="259" w:lineRule="auto"/>
            </w:pPr>
            <w:r>
              <w:rPr>
                <w:rFonts w:ascii="Calibri" w:hAnsi="Calibri"/>
                <w:b/>
                <w:i w:val="0"/>
                <w:color w:val="212121"/>
                <w:sz w:val="19"/>
              </w:rPr>
              <w:t>Idiopathic granulomatous mastitis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chronic sterile granulomatous form in parous women (often within a few years of pregnancy, ~55% OCP users) that mimics carcinoma and needs biopsy.</w:t>
            </w:r>
          </w:p>
        </w:tc>
      </w:tr>
      <w:tr>
        <w:trPr>
          <w:cantSplit/>
        </w:trPr>
        <w:tc>
          <w:tcPr>
            <w:tcW w:type="dxa" w:w="2232"/>
            <w:vAlign w:val="top"/>
          </w:tcPr>
          <w:p>
            <w:pPr>
              <w:spacing w:after="40" w:before="0" w:line="259" w:lineRule="auto"/>
            </w:pPr>
            <w:r>
              <w:rPr>
                <w:rFonts w:ascii="Calibri" w:hAnsi="Calibri"/>
                <w:b/>
                <w:i w:val="0"/>
                <w:color w:val="212121"/>
                <w:sz w:val="19"/>
              </w:rPr>
              <w:t>Periductal mastitis / duct ectasia (smoking-related)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Non-lactational subareolar inflammation strongly linked to smoking, causing recurrent abscess and mammary-duct fistula.</w:t>
            </w:r>
          </w:p>
        </w:tc>
      </w:tr>
      <w:tr>
        <w:trPr>
          <w:cantSplit/>
        </w:trPr>
        <w:tc>
          <w:tcPr>
            <w:tcW w:type="dxa" w:w="2232"/>
            <w:vAlign w:val="top"/>
          </w:tcPr>
          <w:p>
            <w:pPr>
              <w:spacing w:after="40" w:before="0" w:line="259" w:lineRule="auto"/>
            </w:pPr>
            <w:r>
              <w:rPr>
                <w:rFonts w:ascii="Calibri" w:hAnsi="Calibri"/>
                <w:b/>
                <w:i w:val="0"/>
                <w:color w:val="212121"/>
                <w:sz w:val="19"/>
              </w:rPr>
              <w:t>Tuberculous mastitis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important cause of chronic breast abscess and discharging sinus in TB-endemic India, requiring AFB / molecular testing and anti-tubercular therapy.</w:t>
            </w:r>
          </w:p>
        </w:tc>
      </w:tr>
      <w:tr>
        <w:trPr>
          <w:cantSplit/>
        </w:trPr>
        <w:tc>
          <w:tcPr>
            <w:tcW w:type="dxa" w:w="2232"/>
            <w:vAlign w:val="top"/>
          </w:tcPr>
          <w:p>
            <w:pPr>
              <w:spacing w:after="40" w:before="0" w:line="259" w:lineRule="auto"/>
            </w:pPr>
            <w:r>
              <w:rPr>
                <w:rFonts w:ascii="Calibri" w:hAnsi="Calibri"/>
                <w:b/>
                <w:i w:val="0"/>
                <w:color w:val="212121"/>
                <w:sz w:val="19"/>
              </w:rPr>
              <w:t>Inflammatory breast carcinoma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critical mimic; any mastitis that fails to resolve, or a non-lactating inflammatory mass, must be biopsied to exclude malignancy.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a good latch early and feed on demand (about 8–12 times/24 h), ensuring the affected breast is well emptied.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abrupt weaning, long gaps between feeds, sleeping on the breast and tight bras that cause milk stasis.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 for nipples: correct latch, treat cracks/fissures promptly and keep nipples clean and dry.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a red, painful, hard area with fever — and seek help early rather than stopping 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hand hygiene before handling the breast, especially if a nipple is cracked.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breastfeeding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Primiparous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Antenatal women preparing to breastfeed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frequent, effective milk removal from the affected breast — do NOT stop breastfeeding; feeding is safe and aids resolution.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gentle warmth before feeds to aid let-down and cold packs after feeds to ease pain and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prescribed antibiotics for infective mastitis; review at 48–72 h if not improving.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 suspected abscess, seek ultrasound assessment and ultrasound-guided needle aspiration (or incision and drainage) rather than delaying.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simple analgesia (paracetamol / ibuprofen) as advised for pain and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Send pus / milk for culture in severe, recurrent or non-responding cases to detect MRSA.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mastitis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breast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 non-responding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gentle breast massage toward the nipple during feeds/expression to help clear blocked segments.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Vary feeding positions so the infant’s chin points toward the blocked/affected area to improve 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toward a healthy body weight, which lowers abscess risk and supports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light activity as comfort allows; avoid tight sports bras that compress an inflamed segment.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blocked ducts / mastitis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or 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postpartum mothers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protein- and micronutrient-rich maternal diet to support immunity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support milk flow, drinking to thirst across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glycaemic control if diabetic, as high blood sugar raises abscess, MRSA and poor-healing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There is no need for restrictive diets; no single food causes or cures mastitis.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Breastfeeding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or fatigued mothers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rest and share night-time infant care to reduce exhaustion that leads to missed feeds.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adequate total sleep across 24 h, napping when the baby sleeps.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severe sleep disruption early, as fatigue lowers immunity and effective emptying.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Exhausted / sleep-deprived mothers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is the strongest modifiable driver of periductal (non-lactational) mastitis and recurrent subareolar abscess/fistula.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smoking-cessation support; continued smoking markedly increases recurrence after 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which is also relevant to breast and infant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periductal mastitis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subareolar abscess / 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breastfeeding, primarily for infant safety.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heavy alcohol use, which can impair immunity and wound healing during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recovering from abscess drainage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practical lactation support to relieve the distress that pain and feeding difficulty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postpartum anxiety and depression, which are linked to early weaning and stasis.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peer / family support and lactation counselling to sustain breastfeeding through an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mental-health support when low mood, anxiety or exhaustion are significant.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mastitis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considering stopping breastfeeding</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57782/" TargetMode="External"/><Relationship Id="rId10" Type="http://schemas.openxmlformats.org/officeDocument/2006/relationships/hyperlink" Target="https://pubmed.ncbi.nlm.nih.gov/27011490/" TargetMode="External"/><Relationship Id="rId11" Type="http://schemas.openxmlformats.org/officeDocument/2006/relationships/hyperlink" Target="https://pubmed.ncbi.nlm.nih.gov/24465097/" TargetMode="External"/><Relationship Id="rId12" Type="http://schemas.openxmlformats.org/officeDocument/2006/relationships/hyperlink" Target="https://pubmed.ncbi.nlm.nih.gov/30797285/" TargetMode="External"/><Relationship Id="rId13" Type="http://schemas.openxmlformats.org/officeDocument/2006/relationships/hyperlink" Target="https://pubmed.ncbi.nlm.nih.gov/8219949/" TargetMode="External"/><Relationship Id="rId14" Type="http://schemas.openxmlformats.org/officeDocument/2006/relationships/hyperlink" Target="https://pubmed.ncbi.nlm.nih.gov/28740959/" TargetMode="External"/><Relationship Id="rId15" Type="http://schemas.openxmlformats.org/officeDocument/2006/relationships/hyperlink" Target="https://pubmed.ncbi.nlm.nih.gov/421367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