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Hyperemesis Gravidarum</w:t>
      </w:r>
    </w:p>
    <w:p>
      <w:pPr>
        <w:spacing w:before="0" w:after="160"/>
      </w:pPr>
      <w:r>
        <w:rPr>
          <w:rFonts w:ascii="Calibri" w:hAnsi="Calibri"/>
          <w:b/>
          <w:i w:val="0"/>
          <w:color w:val="212121"/>
          <w:sz w:val="22"/>
        </w:rPr>
        <w:t xml:space="preserve">AKA </w:t>
      </w:r>
      <w:r>
        <w:rPr>
          <w:rFonts w:ascii="Calibri" w:hAnsi="Calibri"/>
          <w:b w:val="0"/>
          <w:i w:val="0"/>
          <w:color w:val="212121"/>
          <w:sz w:val="22"/>
        </w:rPr>
        <w:t>i.e., HG, Severe/persistent nausea and vomiting of pregnancy (severe NVP), Severe morning sickness, Pernicious vomiting of pregnancy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Hyperemesis gravidarum (HG) is the severe end of the spectrum of nausea and vomiting of pregnancy, characterised by intractable vomiting that begins in the first trimester and is accompanied by weight loss of at least 5% of pre-pregnancy body weight, dehydration, ketonuria and electrolyte or acid-base disturbance, in the absence of another cause. It is a clinical diagnosis of exclusion that typically starts at 4-6 weeks, peaks around 9-10 weeks (mirroring the peak of human chorionic gonadotropin, hCG) and resolves by 16-20 weeks, although roughly one in five women have symptoms that persist longer. HG is the commonest cause of hospital admission in the first half of pregnancy and, if untreated, can lead to serious nutritional, metabolic and neurological complications.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Nausea and vomiting affect up to 70-85% of all pregnancies, but hyperemesis gravidarum - its severe end - complicates only about 0.3-3% of pregnancies (roughly 1% in most series) and is the leading cause of hospitalisation in early pregnancy. Indian and South-Asian hospital-based obstetric series report HG in a comparable ~0.5-3% range. The clinical consequences tend to be amplified in the Indian setting, where a high background burden of maternal undernutrition, low pre-pregnancy BMI and anaemia, together with thiamine-poor polished-rice diets and delayed antenatal presentation in rural and tribal areas, increases the risk of severe dehydration and thiamine-deficiency (Wernicke's) complications.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Hyperemesis gravidarum is primarily a clinical diagnosis of exclusion, supported by objective evidence of dehydration and catabolism. Suggestive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intractable vomiting beginning in the first trimester (usually before 9 weeks) not attributable to another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weight loss of ≥ 5% of pre-pregnancy body weight;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signs of dehydration - dry mucous membranes, tachycardia, postural hypotension, reduced skin turgor and oliguria;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ketonuria on urine dipstick, reflecting a catabolic (starvation) state;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electrolyte and acid-base derangement - typically hypokalaemia, hyponatraemia and a hypochloraemic metabolic alkalosis, with deranged renal and liver function in severe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graded with the modified PUQE-24 (Pregnancy-Unique Quantification of Emesis) score: ≤ 6 mild, 7-12 moderate, ≥ 13 severe;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causes of vomiting (urinary tract infection, gastroenteritis, thyroid disease, hepatobiliary disease) and confirmation of a viable intrauterine pregnancy with exclusion of multiple or molar gestation on ultrasound.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Hyperemesis gravidarum can be described along several complementary axes:</w:t>
      </w:r>
    </w:p>
    <w:p>
      <w:pPr>
        <w:spacing w:before="0" w:after="80"/>
      </w:pPr>
      <w:r>
        <w:rPr>
          <w:rFonts w:ascii="Calibri" w:hAnsi="Calibri"/>
          <w:b w:val="0"/>
          <w:i w:val="0"/>
          <w:color w:val="212121"/>
          <w:sz w:val="21"/>
        </w:rPr>
        <w:t>(1) By severity using the modified PUQE-24 score - mild (≤ 6), moderate (7-12) and severe (≥ 13) - which correlates with need for hospitalisation, quality of life and healthcare cost;</w:t>
      </w:r>
    </w:p>
    <w:p>
      <w:pPr>
        <w:spacing w:before="0" w:after="80"/>
      </w:pPr>
      <w:r>
        <w:rPr>
          <w:rFonts w:ascii="Calibri" w:hAnsi="Calibri"/>
          <w:b w:val="0"/>
          <w:i w:val="0"/>
          <w:color w:val="212121"/>
          <w:sz w:val="21"/>
        </w:rPr>
        <w:t>(2) Along the clinical spectrum of nausea and vomiting of pregnancy (NVP), ranging from simple/mild NVP (ordinary "morning sickness", up to 70-85% of pregnancies) at one end to hyperemesis gravidarum (the ~0.3-3% severe end defined by weight loss, dehydration and ketonuria) at the other;</w:t>
      </w:r>
    </w:p>
    <w:p>
      <w:pPr>
        <w:spacing w:before="0" w:after="80"/>
      </w:pPr>
      <w:r>
        <w:rPr>
          <w:rFonts w:ascii="Calibri" w:hAnsi="Calibri"/>
          <w:b w:val="0"/>
          <w:i w:val="0"/>
          <w:color w:val="212121"/>
          <w:sz w:val="21"/>
        </w:rPr>
        <w:t>(3) Uncomplicated versus complicated HG - the latter defined by metabolic or nutritional sequelae such as Wernicke's encephalopathy (thiamine deficiency), gestational transient thyrotoxicosis, hepatic dysfunction, vitamin-K-deficiency coagulopathy or a Mallory-Weiss tear;</w:t>
      </w:r>
    </w:p>
    <w:p>
      <w:pPr>
        <w:spacing w:before="0" w:after="80"/>
      </w:pPr>
      <w:r>
        <w:rPr>
          <w:rFonts w:ascii="Calibri" w:hAnsi="Calibri"/>
          <w:b w:val="0"/>
          <w:i w:val="0"/>
          <w:color w:val="212121"/>
          <w:sz w:val="21"/>
        </w:rPr>
        <w:t>(4) By onset and course - typical early-onset HG resolving by 16-20 weeks versus persistent HG continuing into the second or third trimester (about 20% of cases); new or late onset after 9-10 weeks should prompt a search for an alternative diagnosis.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Placental hormones (hCG): Rapidly rising human chorionic gonadotropin, which peaks around 9-10 weeks, is the leading driver; it weakly stimulates the TSH receptor and alters gastrointestinal function, and is highest in the multiple and molar pregnancies in which HG is most common.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GDF15 signalling and genetics: The placental hormone growth/differentiation factor-15 (GDF15) and variants in the GDF15, IGFBP7 and PGR genes are implicated in appetite/nausea pathways, with strong familial clustering and an up to ~3-fold higher risk when a first-degree relative has had HG.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Oestrogen and progesterone: High oestradiol and progesterone slow gastric emptying, reduce lower-oesophageal-sphincter tone and promote reflux and nausea.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Thyroid axis: hCG-mediated gestational transient thyrotoxicosis (biochemical hyperthyroidism) parallels symptom severity in a large proportion of women.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Helicobacter pylori: Maternal H. pylori infection is associated with modestly increased odds of HG (pooled odds ratio ~1.35) and is highly relevant in the Indian setting given high community prevalence.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Prior HG, female fetus and trophoblastic disease: A previous affected pregnancy strongly predicts recurrence, and carrying a female fetus, a multiple gestation or a hydatidiform mole all raise risk.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Psychological and vestibular susceptibility: A history of motion sickness or migraine predisposes, and there is a bidirectional relationship with anxiety, depression and psychological stress.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Younger women and adolescents (&lt; 25 years)</w:t>
            </w:r>
          </w:p>
        </w:tc>
        <w:tc>
          <w:tcPr>
            <w:tcW w:type="dxa" w:w="4276"/>
            <w:vAlign w:val="top"/>
          </w:tcPr>
          <w:p>
            <w:pPr>
              <w:spacing w:after="60" w:line="259" w:lineRule="auto"/>
            </w:pPr>
            <w:r>
              <w:rPr>
                <w:rFonts w:ascii="Calibri" w:hAnsi="Calibri"/>
                <w:b w:val="0"/>
                <w:i w:val="0"/>
                <w:color w:val="212121"/>
                <w:sz w:val="19"/>
              </w:rPr>
              <w:t>Hyperemesis is more common at the younger end of reproductive age. Younger and adolescent gravidae - a substantial group in India given continuing teenage marriage/pregnancy - tend to have higher relative hCG exposure and fewer nutritional reserves, so vomiting more readily tips into dehydration and ketosis.</w:t>
            </w:r>
          </w:p>
          <w:p>
            <w:pPr>
              <w:spacing w:after="40" w:before="60" w:line="259" w:lineRule="auto"/>
            </w:pPr>
            <w:r>
              <w:rPr>
                <w:rFonts w:ascii="Calibri" w:hAnsi="Calibri"/>
                <w:b w:val="0"/>
                <w:i w:val="0"/>
                <w:color w:val="212121"/>
                <w:sz w:val="19"/>
              </w:rPr>
              <w:t>HG is reported to be more common in patients under 24 years of age and at lower income levels.</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#pregnancy  #youngmaternalage  #adolescentpregnancy  #hCG  #firsttrimester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Advanced maternal age (≥ 35 years) with multiple/molar pregnancy</w:t>
            </w:r>
          </w:p>
        </w:tc>
        <w:tc>
          <w:tcPr>
            <w:tcW w:type="dxa" w:w="4276"/>
            <w:vAlign w:val="top"/>
          </w:tcPr>
          <w:p>
            <w:pPr>
              <w:spacing w:after="60" w:line="259" w:lineRule="auto"/>
            </w:pPr>
            <w:r>
              <w:rPr>
                <w:rFonts w:ascii="Calibri" w:hAnsi="Calibri"/>
                <w:b w:val="0"/>
                <w:i w:val="0"/>
                <w:color w:val="212121"/>
                <w:sz w:val="19"/>
              </w:rPr>
              <w:t>Older gravidae have a higher chance of multiple gestation (including after assisted conception) and of molar pregnancy, both of which generate very high hCG loads that strongly provoke HG, and they tolerate dehydration and electrolyte shifts less well.</w:t>
            </w:r>
          </w:p>
          <w:p>
            <w:pPr>
              <w:spacing w:after="40" w:before="60" w:line="259" w:lineRule="auto"/>
            </w:pPr>
            <w:r>
              <w:rPr>
                <w:rFonts w:ascii="Calibri" w:hAnsi="Calibri"/>
                <w:b w:val="0"/>
                <w:i w:val="0"/>
                <w:color w:val="212121"/>
                <w:sz w:val="19"/>
              </w:rPr>
              <w:t>High-hCG states such as twin and molar pregnancies are classic high-risk settings for HG.</w:t>
            </w:r>
          </w:p>
          <w:p>
            <w:pPr>
              <w:spacing w:after="40" w:line="252" w:lineRule="auto"/>
            </w:pPr>
            <w:hyperlink r:id="rId10">
              <w:r>
                <w:rPr>
                  <w:rFonts w:ascii="Calibri" w:hAnsi="Calibri" w:cs="Calibri"/>
                  <w:sz w:val="18"/>
                  <w:color w:val="1155CC"/>
                  <w:u w:val="single"/>
                </w:rPr>
                <w:t xml:space="preserve">medlineplus.gov/ency/article/001499 - Hyperemesis gravidarum</w:t>
              </w:r>
            </w:hyperlink>
          </w:p>
          <w:p>
            <w:pPr>
              <w:spacing w:before="60" w:after="40"/>
            </w:pPr>
            <w:r>
              <w:rPr>
                <w:rFonts w:ascii="Calibri" w:hAnsi="Calibri"/>
                <w:b w:val="0"/>
                <w:i w:val="0"/>
                <w:color w:val="5A5A5A"/>
                <w:sz w:val="18"/>
              </w:rPr>
              <w:t>#advancedmaternalage  #multiplepregnancy  #molarpregnancy  #hCG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(pregnancy-specific); carrying a female fetus</w:t>
            </w:r>
          </w:p>
        </w:tc>
        <w:tc>
          <w:tcPr>
            <w:tcW w:type="dxa" w:w="4276"/>
            <w:vAlign w:val="top"/>
          </w:tcPr>
          <w:p>
            <w:pPr>
              <w:spacing w:after="60" w:line="259" w:lineRule="auto"/>
            </w:pPr>
            <w:r>
              <w:rPr>
                <w:rFonts w:ascii="Calibri" w:hAnsi="Calibri"/>
                <w:b w:val="0"/>
                <w:i w:val="0"/>
                <w:color w:val="212121"/>
                <w:sz w:val="19"/>
              </w:rPr>
              <w:t>HG is by definition confined to pregnant women. Within pregnancy, carrying a female fetus is associated with a higher risk, thought to relate to higher hCG and hormonal milieu.</w:t>
            </w:r>
          </w:p>
          <w:p>
            <w:pPr>
              <w:spacing w:after="40" w:before="60" w:line="259" w:lineRule="auto"/>
            </w:pPr>
            <w:r>
              <w:rPr>
                <w:rFonts w:ascii="Calibri" w:hAnsi="Calibri"/>
                <w:b w:val="0"/>
                <w:i w:val="0"/>
                <w:color w:val="212121"/>
                <w:sz w:val="19"/>
              </w:rPr>
              <w:t>A female fetus, multiple gestation and molar pregnancy are recognised risk factors for HG.</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#women  #femalefetus  #pregnancyonly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Parity</w:t>
            </w:r>
          </w:p>
        </w:tc>
        <w:tc>
          <w:tcPr>
            <w:tcW w:type="dxa" w:w="2160"/>
            <w:vAlign w:val="top"/>
          </w:tcPr>
          <w:p>
            <w:pPr>
              <w:spacing w:after="40" w:before="0" w:line="259" w:lineRule="auto"/>
            </w:pPr>
            <w:r>
              <w:rPr>
                <w:rFonts w:ascii="Calibri" w:hAnsi="Calibri"/>
                <w:b w:val="0"/>
                <w:i w:val="0"/>
                <w:color w:val="212121"/>
                <w:sz w:val="19"/>
              </w:rPr>
              <w:t>Primigravida (first pregnancy)</w:t>
            </w:r>
          </w:p>
        </w:tc>
        <w:tc>
          <w:tcPr>
            <w:tcW w:type="dxa" w:w="4276"/>
            <w:vAlign w:val="top"/>
          </w:tcPr>
          <w:p>
            <w:pPr>
              <w:spacing w:after="60" w:line="259" w:lineRule="auto"/>
            </w:pPr>
            <w:r>
              <w:rPr>
                <w:rFonts w:ascii="Calibri" w:hAnsi="Calibri"/>
                <w:b w:val="0"/>
                <w:i w:val="0"/>
                <w:color w:val="212121"/>
                <w:sz w:val="19"/>
              </w:rPr>
              <w:t>A first pregnancy is a recognised risk factor for HG; the novel and higher hormonal exposure, together with less experience of anticipatory management, makes early nausea more likely to escalate.</w:t>
            </w:r>
          </w:p>
          <w:p>
            <w:pPr>
              <w:spacing w:after="40" w:before="60" w:line="259" w:lineRule="auto"/>
            </w:pPr>
            <w:r>
              <w:rPr>
                <w:rFonts w:ascii="Calibri" w:hAnsi="Calibri"/>
                <w:b w:val="0"/>
                <w:i w:val="0"/>
                <w:color w:val="212121"/>
                <w:sz w:val="19"/>
              </w:rPr>
              <w:t>First-time pregnancy is listed among the principal risk factors for hyperemesis gravidarum.</w:t>
            </w:r>
          </w:p>
          <w:p>
            <w:pPr>
              <w:spacing w:after="40" w:line="252" w:lineRule="auto"/>
            </w:pPr>
            <w:hyperlink r:id="rId11">
              <w:r>
                <w:rPr>
                  <w:rFonts w:ascii="Calibri" w:hAnsi="Calibri" w:cs="Calibri"/>
                  <w:sz w:val="18"/>
                  <w:color w:val="1155CC"/>
                  <w:u w:val="single"/>
                </w:rPr>
                <w:t xml:space="preserve">clevelandclinic.org - hyperemesis gravidarum</w:t>
              </w:r>
            </w:hyperlink>
          </w:p>
          <w:p>
            <w:pPr>
              <w:spacing w:before="60" w:after="40"/>
            </w:pPr>
            <w:r>
              <w:rPr>
                <w:rFonts w:ascii="Calibri" w:hAnsi="Calibri"/>
                <w:b w:val="0"/>
                <w:i w:val="0"/>
                <w:color w:val="5A5A5A"/>
                <w:sz w:val="18"/>
              </w:rPr>
              <w:t>#primigravida  #firstpregnancy  #nulliparity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poorly-nourished women</w:t>
            </w:r>
          </w:p>
        </w:tc>
        <w:tc>
          <w:tcPr>
            <w:tcW w:type="dxa" w:w="4276"/>
            <w:vAlign w:val="top"/>
          </w:tcPr>
          <w:p>
            <w:pPr>
              <w:spacing w:after="60" w:line="259" w:lineRule="auto"/>
            </w:pPr>
            <w:r>
              <w:rPr>
                <w:rFonts w:ascii="Calibri" w:hAnsi="Calibri"/>
                <w:b w:val="0"/>
                <w:i w:val="0"/>
                <w:color w:val="212121"/>
                <w:sz w:val="19"/>
              </w:rPr>
              <w:t>Lower socioeconomic status is associated with higher HG rates and, in India, with poorer baseline nutrition, low pre-pregnancy BMI and delayed presentation - so episodes are recognised and rehydrated later, increasing the risk of severe dehydration and thiamine depletion.</w:t>
            </w:r>
          </w:p>
          <w:p>
            <w:pPr>
              <w:spacing w:after="40" w:before="60" w:line="259" w:lineRule="auto"/>
            </w:pPr>
            <w:r>
              <w:rPr>
                <w:rFonts w:ascii="Calibri" w:hAnsi="Calibri"/>
                <w:b w:val="0"/>
                <w:i w:val="0"/>
                <w:color w:val="212121"/>
                <w:sz w:val="19"/>
              </w:rPr>
              <w:t>HG is more common at lower income levels; delayed care worsens dehydration and nutritional depletion.</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#socioeconomic  #undernutrition  #delayedcare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South-Asian women</w:t>
            </w:r>
          </w:p>
        </w:tc>
        <w:tc>
          <w:tcPr>
            <w:tcW w:type="dxa" w:w="4276"/>
            <w:vAlign w:val="top"/>
          </w:tcPr>
          <w:p>
            <w:pPr>
              <w:spacing w:after="60" w:line="259" w:lineRule="auto"/>
            </w:pPr>
            <w:r>
              <w:rPr>
                <w:rFonts w:ascii="Calibri" w:hAnsi="Calibri"/>
                <w:b w:val="0"/>
                <w:i w:val="0"/>
                <w:color w:val="212121"/>
                <w:sz w:val="19"/>
              </w:rPr>
              <w:t>On a background of thiamine-poor polished-rice diets, low pre-pregnancy BMI and high anaemia prevalence, persistent vomiting in Indian women depletes marginal thiamine stores quickly, making dehydration and Wernicke's encephalopathy a real hazard. Indian tertiary-centre series describe HG-related Wernicke's and hepatic dysfunction.</w:t>
            </w:r>
          </w:p>
          <w:p>
            <w:pPr>
              <w:spacing w:after="40" w:before="60" w:line="259" w:lineRule="auto"/>
            </w:pPr>
            <w:r>
              <w:rPr>
                <w:rFonts w:ascii="Calibri" w:hAnsi="Calibri"/>
                <w:b w:val="0"/>
                <w:i w:val="0"/>
                <w:color w:val="212121"/>
                <w:sz w:val="19"/>
              </w:rPr>
              <w:t>An Indian case series (Fernandez Hospital, Hyderabad) documents Wernicke's encephalopathy complicating HG, which affects 0.5-3% of pregnancies.</w:t>
            </w:r>
          </w:p>
          <w:p>
            <w:pPr>
              <w:spacing w:after="40" w:line="252" w:lineRule="auto"/>
            </w:pPr>
            <w:hyperlink r:id="rId12">
              <w:r>
                <w:rPr>
                  <w:rFonts w:ascii="Calibri" w:hAnsi="Calibri" w:cs="Calibri"/>
                  <w:sz w:val="18"/>
                  <w:color w:val="1155CC"/>
                  <w:u w:val="single"/>
                </w:rPr>
                <w:t xml:space="preserve">pubmed.ncbi.nlm.nih.gov/34167385 - Wernicke's in HG, Indian case series</w:t>
              </w:r>
            </w:hyperlink>
          </w:p>
          <w:p>
            <w:pPr>
              <w:spacing w:before="60" w:after="40"/>
            </w:pPr>
            <w:r>
              <w:rPr>
                <w:rFonts w:ascii="Calibri" w:hAnsi="Calibri"/>
                <w:b w:val="0"/>
                <w:i w:val="0"/>
                <w:color w:val="5A5A5A"/>
                <w:sz w:val="18"/>
              </w:rPr>
              <w:t>#India  #SouthAsian  #thiamine  #polishedrice  #Wernicke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and tribal areas with limited antenatal access</w:t>
            </w:r>
          </w:p>
        </w:tc>
        <w:tc>
          <w:tcPr>
            <w:tcW w:type="dxa" w:w="4276"/>
            <w:vAlign w:val="top"/>
          </w:tcPr>
          <w:p>
            <w:pPr>
              <w:spacing w:after="60" w:line="259" w:lineRule="auto"/>
            </w:pPr>
            <w:r>
              <w:rPr>
                <w:rFonts w:ascii="Calibri" w:hAnsi="Calibri"/>
                <w:b w:val="0"/>
                <w:i w:val="0"/>
                <w:color w:val="212121"/>
                <w:sz w:val="19"/>
              </w:rPr>
              <w:t>Where antenatal care, IV rehydration and parenteral thiamine are less accessible, HG is more likely to progress before treatment, so preventable metabolic and neurological complications are over-represented.</w:t>
            </w:r>
          </w:p>
          <w:p>
            <w:pPr>
              <w:spacing w:after="40" w:before="60" w:line="259" w:lineRule="auto"/>
            </w:pPr>
            <w:r>
              <w:rPr>
                <w:rFonts w:ascii="Calibri" w:hAnsi="Calibri"/>
                <w:b w:val="0"/>
                <w:i w:val="0"/>
                <w:color w:val="212121"/>
                <w:sz w:val="19"/>
              </w:rPr>
              <w:t>Delayed IV rehydration and thiamine replacement are the key modifiable drivers of severe HG complications.</w:t>
            </w:r>
          </w:p>
          <w:p>
            <w:pPr>
              <w:spacing w:after="40" w:line="252" w:lineRule="auto"/>
            </w:pPr>
            <w:hyperlink r:id="rId12">
              <w:r>
                <w:rPr>
                  <w:rFonts w:ascii="Calibri" w:hAnsi="Calibri" w:cs="Calibri"/>
                  <w:sz w:val="18"/>
                  <w:color w:val="1155CC"/>
                  <w:u w:val="single"/>
                </w:rPr>
                <w:t xml:space="preserve">pubmed.ncbi.nlm.nih.gov/34167385 - Wernicke's in HG, Indian case series</w:t>
              </w:r>
            </w:hyperlink>
          </w:p>
          <w:p>
            <w:pPr>
              <w:spacing w:before="60" w:after="40"/>
            </w:pPr>
            <w:r>
              <w:rPr>
                <w:rFonts w:ascii="Calibri" w:hAnsi="Calibri"/>
                <w:b w:val="0"/>
                <w:i w:val="0"/>
                <w:color w:val="5A5A5A"/>
                <w:sz w:val="18"/>
              </w:rPr>
              <w:t>#rural  #tribal  #antenatalcare  #accessgap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Nutritional status</w:t>
            </w:r>
          </w:p>
        </w:tc>
        <w:tc>
          <w:tcPr>
            <w:tcW w:type="dxa" w:w="2160"/>
            <w:vAlign w:val="top"/>
          </w:tcPr>
          <w:p>
            <w:pPr>
              <w:spacing w:after="40" w:before="0" w:line="259" w:lineRule="auto"/>
            </w:pPr>
            <w:r>
              <w:rPr>
                <w:rFonts w:ascii="Calibri" w:hAnsi="Calibri"/>
                <w:b w:val="0"/>
                <w:i w:val="0"/>
                <w:color w:val="212121"/>
                <w:sz w:val="19"/>
              </w:rPr>
              <w:t>Underweight / undernourished women (low pre-pregnancy BMI)</w:t>
            </w:r>
          </w:p>
        </w:tc>
        <w:tc>
          <w:tcPr>
            <w:tcW w:type="dxa" w:w="4276"/>
            <w:vAlign w:val="top"/>
          </w:tcPr>
          <w:p>
            <w:pPr>
              <w:spacing w:after="60" w:line="259" w:lineRule="auto"/>
            </w:pPr>
            <w:r>
              <w:rPr>
                <w:rFonts w:ascii="Calibri" w:hAnsi="Calibri"/>
                <w:b w:val="0"/>
                <w:i w:val="0"/>
                <w:color w:val="212121"/>
                <w:sz w:val="19"/>
              </w:rPr>
              <w:t>Low pre-pregnancy weight and poor micronutrient reserves mean less buffer against the catabolic state of persistent vomiting, so ketosis, electrolyte loss and vitamin (especially thiamine) deficiency develop faster.</w:t>
            </w:r>
          </w:p>
          <w:p>
            <w:pPr>
              <w:spacing w:after="40" w:before="60" w:line="259" w:lineRule="auto"/>
            </w:pPr>
            <w:r>
              <w:rPr>
                <w:rFonts w:ascii="Calibri" w:hAnsi="Calibri"/>
                <w:b w:val="0"/>
                <w:i w:val="0"/>
                <w:color w:val="212121"/>
                <w:sz w:val="19"/>
              </w:rPr>
              <w:t>Significant weight loss (≥ 5% of pre-pregnancy weight) is a defining feature; low reserves accelerate it.</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#underweight  #lowBMI  #malnutrition  #ketosis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Women with high stress, anxiety or unplanned pregnancy</w:t>
            </w:r>
          </w:p>
        </w:tc>
        <w:tc>
          <w:tcPr>
            <w:tcW w:type="dxa" w:w="4276"/>
            <w:vAlign w:val="top"/>
          </w:tcPr>
          <w:p>
            <w:pPr>
              <w:spacing w:after="60" w:line="259" w:lineRule="auto"/>
            </w:pPr>
            <w:r>
              <w:rPr>
                <w:rFonts w:ascii="Calibri" w:hAnsi="Calibri"/>
                <w:b w:val="0"/>
                <w:i w:val="0"/>
                <w:color w:val="212121"/>
                <w:sz w:val="19"/>
              </w:rPr>
              <w:t>Anxiety, psychological stress and an unsupported or unplanned pregnancy are linked with HG through a bidirectional relationship - stress amplifies nausea, and unremitting vomiting worsens anxiety and low mood.</w:t>
            </w:r>
          </w:p>
          <w:p>
            <w:pPr>
              <w:spacing w:after="40" w:before="60" w:line="259" w:lineRule="auto"/>
            </w:pPr>
            <w:r>
              <w:rPr>
                <w:rFonts w:ascii="Calibri" w:hAnsi="Calibri"/>
                <w:b w:val="0"/>
                <w:i w:val="0"/>
                <w:color w:val="212121"/>
                <w:sz w:val="19"/>
              </w:rPr>
              <w:t>Around 57% of women with HG have a comorbid depression or anxiety diagnosis.</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#stress  #anxiety  #mentalhealth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Non-smokers (paradoxical association)</w:t>
            </w:r>
          </w:p>
        </w:tc>
        <w:tc>
          <w:tcPr>
            <w:tcW w:type="dxa" w:w="4276"/>
            <w:vAlign w:val="top"/>
          </w:tcPr>
          <w:p>
            <w:pPr>
              <w:spacing w:after="60" w:line="259" w:lineRule="auto"/>
            </w:pPr>
            <w:r>
              <w:rPr>
                <w:rFonts w:ascii="Calibri" w:hAnsi="Calibri"/>
                <w:b w:val="0"/>
                <w:i w:val="0"/>
                <w:color w:val="212121"/>
                <w:sz w:val="19"/>
              </w:rPr>
              <w:t>Epidemiologically, maternal cigarette smoking is associated with lower hCG levels and a lower risk of HG, so non-smokers do not share this incidental association. This is an observation only and is emphatically not a reason to smoke, as tobacco (and smokeless tobacco widely used in India) harms the pregnancy in every other respect.</w:t>
            </w:r>
          </w:p>
          <w:p>
            <w:pPr>
              <w:spacing w:after="40" w:before="60" w:line="259" w:lineRule="auto"/>
            </w:pPr>
            <w:r>
              <w:rPr>
                <w:rFonts w:ascii="Calibri" w:hAnsi="Calibri"/>
                <w:b w:val="0"/>
                <w:i w:val="0"/>
                <w:color w:val="212121"/>
                <w:sz w:val="19"/>
              </w:rPr>
              <w:t>Maternal cigarette smoking is listed among factors associated with a reduced likelihood of HG.</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#smoking  #hCG  #paradox  #tobaccoharm</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 pattern</w:t>
            </w:r>
          </w:p>
        </w:tc>
        <w:tc>
          <w:tcPr>
            <w:tcW w:type="dxa" w:w="2160"/>
            <w:vAlign w:val="top"/>
          </w:tcPr>
          <w:p>
            <w:pPr>
              <w:spacing w:after="40" w:before="0" w:line="259" w:lineRule="auto"/>
            </w:pPr>
            <w:r>
              <w:rPr>
                <w:rFonts w:ascii="Calibri" w:hAnsi="Calibri"/>
                <w:b w:val="0"/>
                <w:i w:val="0"/>
                <w:color w:val="212121"/>
                <w:sz w:val="19"/>
              </w:rPr>
              <w:t>Thiamine-poor, polished-rice / refined-carbohydrate diets</w:t>
            </w:r>
          </w:p>
        </w:tc>
        <w:tc>
          <w:tcPr>
            <w:tcW w:type="dxa" w:w="4276"/>
            <w:vAlign w:val="top"/>
          </w:tcPr>
          <w:p>
            <w:pPr>
              <w:spacing w:after="60" w:line="259" w:lineRule="auto"/>
            </w:pPr>
            <w:r>
              <w:rPr>
                <w:rFonts w:ascii="Calibri" w:hAnsi="Calibri"/>
                <w:b w:val="0"/>
                <w:i w:val="0"/>
                <w:color w:val="212121"/>
                <w:sz w:val="19"/>
              </w:rPr>
              <w:t>Diets dominated by polished rice and refined carbohydrate, common across much of India, provide little thiamine (vitamin B1); when superimposed on vomiting and reduced intake, thiamine stores fall within weeks and Wernicke's encephalopathy can be precipitated - especially if dextrose is given before thiamine.</w:t>
            </w:r>
          </w:p>
          <w:p>
            <w:pPr>
              <w:spacing w:after="40" w:before="60" w:line="259" w:lineRule="auto"/>
            </w:pPr>
            <w:r>
              <w:rPr>
                <w:rFonts w:ascii="Calibri" w:hAnsi="Calibri"/>
                <w:b w:val="0"/>
                <w:i w:val="0"/>
                <w:color w:val="212121"/>
                <w:sz w:val="19"/>
              </w:rPr>
              <w:t>Wernicke's encephalopathy from thiamine deficiency is a recognised, preventable complication of HG in Indian practice.</w:t>
            </w:r>
          </w:p>
          <w:p>
            <w:pPr>
              <w:spacing w:after="40" w:line="252" w:lineRule="auto"/>
            </w:pPr>
            <w:hyperlink r:id="rId13">
              <w:r>
                <w:rPr>
                  <w:rFonts w:ascii="Calibri" w:hAnsi="Calibri" w:cs="Calibri"/>
                  <w:sz w:val="18"/>
                  <w:color w:val="1155CC"/>
                  <w:u w:val="single"/>
                </w:rPr>
                <w:t xml:space="preserve">pubmed.ncbi.nlm.nih.gov/31215137 - Wernicke-Korsakoff complicating HG</w:t>
              </w:r>
            </w:hyperlink>
          </w:p>
          <w:p>
            <w:pPr>
              <w:spacing w:before="60" w:after="40"/>
            </w:pPr>
            <w:r>
              <w:rPr>
                <w:rFonts w:ascii="Calibri" w:hAnsi="Calibri"/>
                <w:b w:val="0"/>
                <w:i w:val="0"/>
                <w:color w:val="5A5A5A"/>
                <w:sz w:val="18"/>
              </w:rPr>
              <w:t>#thiamine  #polishedrice  #vitaminB1  #Wernicke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use</w:t>
            </w:r>
          </w:p>
        </w:tc>
        <w:tc>
          <w:tcPr>
            <w:tcW w:type="dxa" w:w="2160"/>
            <w:vAlign w:val="top"/>
          </w:tcPr>
          <w:p>
            <w:pPr>
              <w:spacing w:after="40" w:before="0" w:line="259" w:lineRule="auto"/>
            </w:pPr>
            <w:r>
              <w:rPr>
                <w:rFonts w:ascii="Calibri" w:hAnsi="Calibri"/>
                <w:b w:val="0"/>
                <w:i w:val="0"/>
                <w:color w:val="212121"/>
                <w:sz w:val="19"/>
              </w:rPr>
              <w:t>Women not taking peri-conceptional multivitamins</w:t>
            </w:r>
          </w:p>
        </w:tc>
        <w:tc>
          <w:tcPr>
            <w:tcW w:type="dxa" w:w="4276"/>
            <w:vAlign w:val="top"/>
          </w:tcPr>
          <w:p>
            <w:pPr>
              <w:spacing w:after="60" w:line="259" w:lineRule="auto"/>
            </w:pPr>
            <w:r>
              <w:rPr>
                <w:rFonts w:ascii="Calibri" w:hAnsi="Calibri"/>
                <w:b w:val="0"/>
                <w:i w:val="0"/>
                <w:color w:val="212121"/>
                <w:sz w:val="19"/>
              </w:rPr>
              <w:t>Using a multivitamin around conception is associated with a lower risk of HG, so women who do not take pre-pregnancy/peri-conceptional supplementation lack this protective effect and enter pregnancy with thinner micronutrient reserves.</w:t>
            </w:r>
          </w:p>
          <w:p>
            <w:pPr>
              <w:spacing w:after="40" w:before="60" w:line="259" w:lineRule="auto"/>
            </w:pPr>
            <w:r>
              <w:rPr>
                <w:rFonts w:ascii="Calibri" w:hAnsi="Calibri"/>
                <w:b w:val="0"/>
                <w:i w:val="0"/>
                <w:color w:val="212121"/>
                <w:sz w:val="19"/>
              </w:rPr>
              <w:t>Multivitamin use before 6 weeks of gestation is reported as protective against HG.</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#multivitamin  #periconception  #micronutrients  #prevention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(mother or sister) with HG</w:t>
            </w:r>
          </w:p>
        </w:tc>
        <w:tc>
          <w:tcPr>
            <w:tcW w:type="dxa" w:w="4276"/>
            <w:vAlign w:val="top"/>
          </w:tcPr>
          <w:p>
            <w:pPr>
              <w:spacing w:after="60" w:line="259" w:lineRule="auto"/>
            </w:pPr>
            <w:r>
              <w:rPr>
                <w:rFonts w:ascii="Calibri" w:hAnsi="Calibri"/>
                <w:b w:val="0"/>
                <w:i w:val="0"/>
                <w:color w:val="212121"/>
                <w:sz w:val="19"/>
              </w:rPr>
              <w:t>HG clusters strongly in families, reflecting inherited variation in GDF15/IGFBP7/PGR and the nausea-appetite pathway; a woman whose mother or sister had HG carries substantially higher risk.</w:t>
            </w:r>
          </w:p>
          <w:p>
            <w:pPr>
              <w:spacing w:after="40" w:before="60" w:line="259" w:lineRule="auto"/>
            </w:pPr>
            <w:r>
              <w:rPr>
                <w:rFonts w:ascii="Calibri" w:hAnsi="Calibri"/>
                <w:b w:val="0"/>
                <w:i w:val="0"/>
                <w:color w:val="212121"/>
                <w:sz w:val="19"/>
              </w:rPr>
              <w:t>A positive family history increases HG risk up to about 3-fold.</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#familyhistory  #GDF15  #genetics  #heritable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Previous pregnancy history</w:t>
            </w:r>
          </w:p>
        </w:tc>
        <w:tc>
          <w:tcPr>
            <w:tcW w:type="dxa" w:w="2160"/>
            <w:vAlign w:val="top"/>
          </w:tcPr>
          <w:p>
            <w:pPr>
              <w:spacing w:after="40" w:before="0" w:line="259" w:lineRule="auto"/>
            </w:pPr>
            <w:r>
              <w:rPr>
                <w:rFonts w:ascii="Calibri" w:hAnsi="Calibri"/>
                <w:b w:val="0"/>
                <w:i w:val="0"/>
                <w:color w:val="212121"/>
                <w:sz w:val="19"/>
              </w:rPr>
              <w:t>Personal history of HG in a prior pregnancy</w:t>
            </w:r>
          </w:p>
        </w:tc>
        <w:tc>
          <w:tcPr>
            <w:tcW w:type="dxa" w:w="4276"/>
            <w:vAlign w:val="top"/>
          </w:tcPr>
          <w:p>
            <w:pPr>
              <w:spacing w:after="60" w:line="259" w:lineRule="auto"/>
            </w:pPr>
            <w:r>
              <w:rPr>
                <w:rFonts w:ascii="Calibri" w:hAnsi="Calibri"/>
                <w:b w:val="0"/>
                <w:i w:val="0"/>
                <w:color w:val="212121"/>
                <w:sz w:val="19"/>
              </w:rPr>
              <w:t>A previous pregnancy affected by HG is one of the strongest predictors of recurrence, reflecting a stable genetic and hormonal predisposition.</w:t>
            </w:r>
          </w:p>
          <w:p>
            <w:pPr>
              <w:spacing w:after="40" w:before="60" w:line="259" w:lineRule="auto"/>
            </w:pPr>
            <w:r>
              <w:rPr>
                <w:rFonts w:ascii="Calibri" w:hAnsi="Calibri"/>
                <w:b w:val="0"/>
                <w:i w:val="0"/>
                <w:color w:val="212121"/>
                <w:sz w:val="19"/>
              </w:rPr>
              <w:t>Recurrence risk in a subsequent pregnancy is about 15-24%, and women with prior HG carry a clearly elevated risk.</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#recurrence  #priorHG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Multiple / molar pregnancy</w:t>
            </w:r>
          </w:p>
        </w:tc>
        <w:tc>
          <w:tcPr>
            <w:tcW w:type="dxa" w:w="2160"/>
            <w:vAlign w:val="top"/>
          </w:tcPr>
          <w:p>
            <w:pPr>
              <w:spacing w:after="40" w:before="0" w:line="259" w:lineRule="auto"/>
            </w:pPr>
            <w:r>
              <w:rPr>
                <w:rFonts w:ascii="Calibri" w:hAnsi="Calibri"/>
                <w:b w:val="0"/>
                <w:i w:val="0"/>
                <w:color w:val="212121"/>
                <w:sz w:val="19"/>
              </w:rPr>
              <w:t>Twin/triplet or hydatidiform mole (gestational trophoblastic disease)</w:t>
            </w:r>
          </w:p>
        </w:tc>
        <w:tc>
          <w:tcPr>
            <w:tcW w:type="dxa" w:w="4276"/>
            <w:vAlign w:val="top"/>
          </w:tcPr>
          <w:p>
            <w:pPr>
              <w:spacing w:after="60" w:line="259" w:lineRule="auto"/>
            </w:pPr>
            <w:r>
              <w:rPr>
                <w:rFonts w:ascii="Calibri" w:hAnsi="Calibri"/>
                <w:b w:val="0"/>
                <w:i w:val="0"/>
                <w:color w:val="212121"/>
                <w:sz w:val="19"/>
              </w:rPr>
              <w:t>Multiple gestations and molar pregnancies produce markedly elevated hCG, the principal hormonal driver of HG; unusually severe, early or persistent hyperemesis should prompt ultrasound to exclude a molar pregnancy.</w:t>
            </w:r>
          </w:p>
          <w:p>
            <w:pPr>
              <w:spacing w:after="40" w:before="60" w:line="259" w:lineRule="auto"/>
            </w:pPr>
            <w:r>
              <w:rPr>
                <w:rFonts w:ascii="Calibri" w:hAnsi="Calibri"/>
                <w:b w:val="0"/>
                <w:i w:val="0"/>
                <w:color w:val="212121"/>
                <w:sz w:val="19"/>
              </w:rPr>
              <w:t>Carrying multiples or a hydatidiform mole substantially increases the risk of HG.</w:t>
            </w:r>
          </w:p>
          <w:p>
            <w:pPr>
              <w:spacing w:after="40" w:line="252" w:lineRule="auto"/>
            </w:pPr>
            <w:hyperlink r:id="rId10">
              <w:r>
                <w:rPr>
                  <w:rFonts w:ascii="Calibri" w:hAnsi="Calibri" w:cs="Calibri"/>
                  <w:sz w:val="18"/>
                  <w:color w:val="1155CC"/>
                  <w:u w:val="single"/>
                </w:rPr>
                <w:t xml:space="preserve">medlineplus.gov/ency/article/001499 - Hyperemesis gravidarum</w:t>
              </w:r>
            </w:hyperlink>
          </w:p>
          <w:p>
            <w:pPr>
              <w:spacing w:before="60" w:after="40"/>
            </w:pPr>
            <w:r>
              <w:rPr>
                <w:rFonts w:ascii="Calibri" w:hAnsi="Calibri"/>
                <w:b w:val="0"/>
                <w:i w:val="0"/>
                <w:color w:val="5A5A5A"/>
                <w:sz w:val="18"/>
              </w:rPr>
              <w:t>#multiplepregnancy  #molarpregnancy  #GTD  #hCG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dysfunction</w:t>
            </w:r>
          </w:p>
        </w:tc>
        <w:tc>
          <w:tcPr>
            <w:tcW w:type="dxa" w:w="2160"/>
            <w:vAlign w:val="top"/>
          </w:tcPr>
          <w:p>
            <w:pPr>
              <w:spacing w:after="40" w:before="0" w:line="259" w:lineRule="auto"/>
            </w:pPr>
            <w:r>
              <w:rPr>
                <w:rFonts w:ascii="Calibri" w:hAnsi="Calibri"/>
                <w:b w:val="0"/>
                <w:i w:val="0"/>
                <w:color w:val="212121"/>
                <w:sz w:val="19"/>
              </w:rPr>
              <w:t>Gestational transient thyrotoxicosis / pre-existing hyperthyroidism</w:t>
            </w:r>
          </w:p>
        </w:tc>
        <w:tc>
          <w:tcPr>
            <w:tcW w:type="dxa" w:w="4276"/>
            <w:vAlign w:val="top"/>
          </w:tcPr>
          <w:p>
            <w:pPr>
              <w:spacing w:after="60" w:line="259" w:lineRule="auto"/>
            </w:pPr>
            <w:r>
              <w:rPr>
                <w:rFonts w:ascii="Calibri" w:hAnsi="Calibri"/>
                <w:b w:val="0"/>
                <w:i w:val="0"/>
                <w:color w:val="212121"/>
                <w:sz w:val="19"/>
              </w:rPr>
              <w:t>Because hCG weakly stimulates the TSH receptor, a large proportion of women with HG show biochemical hyperthyroidism (suppressed TSH, raised free T4). This is usually transient and self-limiting, but it must be distinguished from true Graves' disease, which needs treatment.</w:t>
            </w:r>
          </w:p>
          <w:p>
            <w:pPr>
              <w:spacing w:after="40" w:before="60" w:line="259" w:lineRule="auto"/>
            </w:pPr>
            <w:r>
              <w:rPr>
                <w:rFonts w:ascii="Calibri" w:hAnsi="Calibri"/>
                <w:b w:val="0"/>
                <w:i w:val="0"/>
                <w:color w:val="212121"/>
                <w:sz w:val="19"/>
              </w:rPr>
              <w:t>About one-third to two-thirds of women with HG have biochemical evidence of increased thyroid function.</w:t>
            </w:r>
          </w:p>
          <w:p>
            <w:pPr>
              <w:spacing w:after="40" w:line="252" w:lineRule="auto"/>
            </w:pPr>
            <w:hyperlink r:id="rId14">
              <w:r>
                <w:rPr>
                  <w:rFonts w:ascii="Calibri" w:hAnsi="Calibri" w:cs="Calibri"/>
                  <w:sz w:val="18"/>
                  <w:color w:val="1155CC"/>
                  <w:u w:val="single"/>
                </w:rPr>
                <w:t xml:space="preserve">pubmed.ncbi.nlm.nih.gov/10447009 - hCG and the thyroid in HG</w:t>
              </w:r>
            </w:hyperlink>
          </w:p>
          <w:p>
            <w:pPr>
              <w:spacing w:before="60" w:after="40"/>
            </w:pPr>
            <w:r>
              <w:rPr>
                <w:rFonts w:ascii="Calibri" w:hAnsi="Calibri"/>
                <w:b w:val="0"/>
                <w:i w:val="0"/>
                <w:color w:val="5A5A5A"/>
                <w:sz w:val="18"/>
              </w:rPr>
              <w:t>#thyroid  #gestationalthyrotoxicosis  #TSHreceptor  #hCG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Helicobacter pylori infection</w:t>
            </w:r>
          </w:p>
        </w:tc>
        <w:tc>
          <w:tcPr>
            <w:tcW w:type="dxa" w:w="2160"/>
            <w:vAlign w:val="top"/>
          </w:tcPr>
          <w:p>
            <w:pPr>
              <w:spacing w:after="40" w:before="0" w:line="259" w:lineRule="auto"/>
            </w:pPr>
            <w:r>
              <w:rPr>
                <w:rFonts w:ascii="Calibri" w:hAnsi="Calibri"/>
                <w:b w:val="0"/>
                <w:i w:val="0"/>
                <w:color w:val="212121"/>
                <w:sz w:val="19"/>
              </w:rPr>
              <w:t>H. pylori-positive women</w:t>
            </w:r>
          </w:p>
        </w:tc>
        <w:tc>
          <w:tcPr>
            <w:tcW w:type="dxa" w:w="4276"/>
            <w:vAlign w:val="top"/>
          </w:tcPr>
          <w:p>
            <w:pPr>
              <w:spacing w:after="60" w:line="259" w:lineRule="auto"/>
            </w:pPr>
            <w:r>
              <w:rPr>
                <w:rFonts w:ascii="Calibri" w:hAnsi="Calibri"/>
                <w:b w:val="0"/>
                <w:i w:val="0"/>
                <w:color w:val="212121"/>
                <w:sz w:val="19"/>
              </w:rPr>
              <w:t>Chronic H. pylori infection is associated with an increased likelihood of HG and is highly prevalent in Indian communities; eradication is generally deferred until after delivery but the association supports evaluation in refractory cases.</w:t>
            </w:r>
          </w:p>
          <w:p>
            <w:pPr>
              <w:spacing w:after="40" w:before="60" w:line="259" w:lineRule="auto"/>
            </w:pPr>
            <w:r>
              <w:rPr>
                <w:rFonts w:ascii="Calibri" w:hAnsi="Calibri"/>
                <w:b w:val="0"/>
                <w:i w:val="0"/>
                <w:color w:val="212121"/>
                <w:sz w:val="19"/>
              </w:rPr>
              <w:t>Meta-analysis shows H. pylori infection is associated with HG (pooled OR 1.35, 95% CI 1.16-1.54).</w:t>
            </w:r>
          </w:p>
          <w:p>
            <w:pPr>
              <w:spacing w:after="40" w:line="252" w:lineRule="auto"/>
            </w:pPr>
            <w:hyperlink r:id="rId15">
              <w:r>
                <w:rPr>
                  <w:rFonts w:ascii="Calibri" w:hAnsi="Calibri" w:cs="Calibri"/>
                  <w:sz w:val="18"/>
                  <w:color w:val="1155CC"/>
                  <w:u w:val="single"/>
                </w:rPr>
                <w:t xml:space="preserve">pubmed.ncbi.nlm.nih.gov/29178407 - H. pylori and HG meta-analysis</w:t>
              </w:r>
            </w:hyperlink>
          </w:p>
          <w:p>
            <w:pPr>
              <w:spacing w:before="60" w:after="40"/>
            </w:pPr>
            <w:r>
              <w:rPr>
                <w:rFonts w:ascii="Calibri" w:hAnsi="Calibri"/>
                <w:b w:val="0"/>
                <w:i w:val="0"/>
                <w:color w:val="5A5A5A"/>
                <w:sz w:val="18"/>
              </w:rPr>
              <w:t>#Hpylori  #infection  #gastric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Psychiatric comorbidity</w:t>
            </w:r>
          </w:p>
        </w:tc>
        <w:tc>
          <w:tcPr>
            <w:tcW w:type="dxa" w:w="2160"/>
            <w:vAlign w:val="top"/>
          </w:tcPr>
          <w:p>
            <w:pPr>
              <w:spacing w:after="40" w:before="0" w:line="259" w:lineRule="auto"/>
            </w:pPr>
            <w:r>
              <w:rPr>
                <w:rFonts w:ascii="Calibri" w:hAnsi="Calibri"/>
                <w:b w:val="0"/>
                <w:i w:val="0"/>
                <w:color w:val="212121"/>
                <w:sz w:val="19"/>
              </w:rPr>
              <w:t>Depression, anxiety or PTSD</w:t>
            </w:r>
          </w:p>
        </w:tc>
        <w:tc>
          <w:tcPr>
            <w:tcW w:type="dxa" w:w="4276"/>
            <w:vAlign w:val="top"/>
          </w:tcPr>
          <w:p>
            <w:pPr>
              <w:spacing w:after="60" w:line="259" w:lineRule="auto"/>
            </w:pPr>
            <w:r>
              <w:rPr>
                <w:rFonts w:ascii="Calibri" w:hAnsi="Calibri"/>
                <w:b w:val="0"/>
                <w:i w:val="0"/>
                <w:color w:val="212121"/>
                <w:sz w:val="19"/>
              </w:rPr>
              <w:t>Pre-existing or reactive depression and anxiety are common with HG and interact bidirectionally; the burden of prolonged, distressing vomiting and repeated admissions can also generate PTSD and, rarely, requests for pregnancy termination.</w:t>
            </w:r>
          </w:p>
          <w:p>
            <w:pPr>
              <w:spacing w:after="40" w:before="60" w:line="259" w:lineRule="auto"/>
            </w:pPr>
            <w:r>
              <w:rPr>
                <w:rFonts w:ascii="Calibri" w:hAnsi="Calibri"/>
                <w:b w:val="0"/>
                <w:i w:val="0"/>
                <w:color w:val="212121"/>
                <w:sz w:val="19"/>
              </w:rPr>
              <w:t>Roughly 57% of women with HG carry a comorbid depression or anxiety diagnosis.</w:t>
            </w:r>
          </w:p>
          <w:p>
            <w:pPr>
              <w:spacing w:after="40" w:line="252" w:lineRule="auto"/>
            </w:pPr>
            <w:hyperlink r:id="rId16">
              <w:r>
                <w:rPr>
                  <w:rFonts w:ascii="Calibri" w:hAnsi="Calibri" w:cs="Calibri"/>
                  <w:sz w:val="18"/>
                  <w:color w:val="1155CC"/>
                  <w:u w:val="single"/>
                </w:rPr>
                <w:t xml:space="preserve">pubmed.ncbi.nlm.nih.gov/25646155 - depression levels in HG (case-control)</w:t>
              </w:r>
            </w:hyperlink>
          </w:p>
          <w:p>
            <w:pPr>
              <w:spacing w:before="60" w:after="40"/>
            </w:pPr>
            <w:r>
              <w:rPr>
                <w:rFonts w:ascii="Calibri" w:hAnsi="Calibri"/>
                <w:b w:val="0"/>
                <w:i w:val="0"/>
                <w:color w:val="5A5A5A"/>
                <w:sz w:val="18"/>
              </w:rPr>
              <w:t>#depression  #anxiety  #PTSD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Migraine / motion sickness</w:t>
            </w:r>
          </w:p>
        </w:tc>
        <w:tc>
          <w:tcPr>
            <w:tcW w:type="dxa" w:w="2160"/>
            <w:vAlign w:val="top"/>
          </w:tcPr>
          <w:p>
            <w:pPr>
              <w:spacing w:after="40" w:before="0" w:line="259" w:lineRule="auto"/>
            </w:pPr>
            <w:r>
              <w:rPr>
                <w:rFonts w:ascii="Calibri" w:hAnsi="Calibri"/>
                <w:b w:val="0"/>
                <w:i w:val="0"/>
                <w:color w:val="212121"/>
                <w:sz w:val="19"/>
              </w:rPr>
              <w:t>History of migraine or motion sickness</w:t>
            </w:r>
          </w:p>
        </w:tc>
        <w:tc>
          <w:tcPr>
            <w:tcW w:type="dxa" w:w="4276"/>
            <w:vAlign w:val="top"/>
          </w:tcPr>
          <w:p>
            <w:pPr>
              <w:spacing w:after="60" w:line="259" w:lineRule="auto"/>
            </w:pPr>
            <w:r>
              <w:rPr>
                <w:rFonts w:ascii="Calibri" w:hAnsi="Calibri"/>
                <w:b w:val="0"/>
                <w:i w:val="0"/>
                <w:color w:val="212121"/>
                <w:sz w:val="19"/>
              </w:rPr>
              <w:t>A prior history of migraine or susceptibility to motion sickness reflects a shared nausea-vomiting sensitivity and predisposes to HG.</w:t>
            </w:r>
          </w:p>
          <w:p>
            <w:pPr>
              <w:spacing w:after="40" w:before="60" w:line="259" w:lineRule="auto"/>
            </w:pPr>
            <w:r>
              <w:rPr>
                <w:rFonts w:ascii="Calibri" w:hAnsi="Calibri"/>
                <w:b w:val="0"/>
                <w:i w:val="0"/>
                <w:color w:val="212121"/>
                <w:sz w:val="19"/>
              </w:rPr>
              <w:t>Personal history of migraine or motion sickness is a recognised HG risk factor.</w:t>
            </w:r>
          </w:p>
          <w:p>
            <w:pPr>
              <w:spacing w:after="40" w:line="252" w:lineRule="auto"/>
            </w:pPr>
            <w:hyperlink r:id="rId9">
              <w:r>
                <w:rPr>
                  <w:rFonts w:ascii="Calibri" w:hAnsi="Calibri" w:cs="Calibri"/>
                  <w:sz w:val="18"/>
                  <w:color w:val="1155CC"/>
                  <w:u w:val="single"/>
                </w:rPr>
                <w:t xml:space="preserve">ncbi.nlm.nih.gov/books/NBK532917 - StatPearls: Hyperemesis Gravidarum</w:t>
              </w:r>
            </w:hyperlink>
          </w:p>
          <w:p>
            <w:pPr>
              <w:spacing w:before="60" w:after="40"/>
            </w:pPr>
            <w:r>
              <w:rPr>
                <w:rFonts w:ascii="Calibri" w:hAnsi="Calibri"/>
                <w:b w:val="0"/>
                <w:i w:val="0"/>
                <w:color w:val="5A5A5A"/>
                <w:sz w:val="18"/>
              </w:rPr>
              <w:t>#migraine  #motionsickness  #nausea  #susceptibility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driver of HG; rather, severe HG limits activity and daily function. Rest during acute exacerbations is appropriate, but prolonged bed rest is discouraged because of venous thromboembolism risk in a dehydrated, immobile patient.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Meal pattern strongly modifies symptoms: small, frequent, bland, low-fat carbohydrate meals and separating solids from fluids reduce nausea, while an empty stomach, and fatty, spicy or strong-smelling foods, provoke vomiting.</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Fatigue and poor, fragmented sleep worsen nausea, and the exhaustion of repeated vomiting disrupts sleep; adequate rest and pacing help symptom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smoking is epidemiologically associated with lower hCG and a lower risk of HG - an observation, not advice: tobacco and smokeless tobacco (widely used in India) harm the pregnancy and cessation is recommended.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contraindicated in pregnancy and is not implicated in the causation of HG; its relevance here is limited to universal pregnancy abstinence.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There is a strong bidirectional link between HG and anxiety, depression and PTSD; around 57% of women with HG have a comorbid depression or anxiety diagnosis, and distress amplifies symptom severity.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Hydration is central to HG - dehydration defines its severity and intravenous rehydration is a first-line treatment; oral rehydration solution and sipping fluids between meals are core self-management.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may aggravate reflux and nausea in some women and has no proven benefit; moderation is sensible but direct evidence in HG is limited.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Oral hygiene matters because recurrent vomiting causes acid dental erosion (rinse rather than brush immediately after vomiting), and improved sanitation reduces H. pylori transmission - a modifiable HG-associated infection especially relevant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triggers - strong odours (cooking, perfume, incense), an empty stomach, oral iron tablets, tooth-brushing, motion and fatty foods - reliably precipitate episodes, and avoiding them is a mainstay of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Lying flat soon after eating worsens reflux and nausea; staying upright for a period after meals and rising slowly to avoid postural dizziness give modest symptomatic benefit.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Weight change (% of pre-pregnancy weight)</w:t>
            </w:r>
          </w:p>
        </w:tc>
        <w:tc>
          <w:tcPr>
            <w:tcW w:type="dxa" w:w="1655"/>
            <w:vAlign w:val="top"/>
          </w:tcPr>
          <w:p>
            <w:pPr>
              <w:spacing w:after="40" w:before="0" w:line="259" w:lineRule="auto"/>
            </w:pPr>
            <w:r>
              <w:rPr>
                <w:rFonts w:ascii="Calibri" w:hAnsi="Calibri"/>
                <w:b w:val="0"/>
                <w:i w:val="0"/>
                <w:color w:val="212121"/>
                <w:sz w:val="19"/>
              </w:rPr>
              <w:t>Pregnant women, first trimester</w:t>
            </w:r>
          </w:p>
        </w:tc>
        <w:tc>
          <w:tcPr>
            <w:tcW w:type="dxa" w:w="1512"/>
            <w:vAlign w:val="top"/>
          </w:tcPr>
          <w:p>
            <w:pPr>
              <w:spacing w:after="40" w:before="0" w:line="259" w:lineRule="auto"/>
            </w:pPr>
            <w:r>
              <w:rPr>
                <w:rFonts w:ascii="Calibri" w:hAnsi="Calibri"/>
                <w:b w:val="0"/>
                <w:i w:val="0"/>
                <w:color w:val="212121"/>
                <w:sz w:val="19"/>
              </w:rPr>
              <w:t>No loss / appropriate early gestational gain</w:t>
            </w:r>
          </w:p>
        </w:tc>
        <w:tc>
          <w:tcPr>
            <w:tcW w:type="dxa" w:w="1512"/>
            <w:vAlign w:val="top"/>
          </w:tcPr>
          <w:p>
            <w:pPr>
              <w:spacing w:after="40" w:before="0" w:line="259" w:lineRule="auto"/>
            </w:pPr>
            <w:r>
              <w:rPr>
                <w:rFonts w:ascii="Calibri" w:hAnsi="Calibri"/>
                <w:b w:val="0"/>
                <w:i w:val="0"/>
                <w:color w:val="212121"/>
                <w:sz w:val="19"/>
              </w:rPr>
              <w:t>≥ 5% loss of pre-pregnancy weight</w:t>
            </w:r>
          </w:p>
        </w:tc>
        <w:tc>
          <w:tcPr>
            <w:tcW w:type="dxa" w:w="1468"/>
            <w:vAlign w:val="top"/>
          </w:tcPr>
          <w:p>
            <w:pPr>
              <w:spacing w:after="60" w:line="259" w:lineRule="auto"/>
            </w:pPr>
            <w:r>
              <w:rPr>
                <w:rFonts w:ascii="Calibri" w:hAnsi="Calibri"/>
                <w:b w:val="0"/>
                <w:i w:val="0"/>
                <w:color w:val="212121"/>
                <w:sz w:val="19"/>
              </w:rPr>
              <w:t>Defining diagnostic threshold for HG; track with serial weights</w:t>
            </w:r>
          </w:p>
          <w:p>
            <w:pPr>
              <w:spacing w:after="40" w:line="252" w:lineRule="auto"/>
            </w:pPr>
            <w:hyperlink r:id="rId9">
              <w:r>
                <w:rPr>
                  <w:rFonts w:ascii="Calibri" w:hAnsi="Calibri" w:cs="Calibri"/>
                  <w:sz w:val="18"/>
                  <w:color w:val="1155CC"/>
                  <w:u w:val="single"/>
                </w:rPr>
                <w:t xml:space="preserve">https://www.ncbi.nlm.nih.gov/books/NBK532917/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Modified PUQE-24 score</w:t>
            </w:r>
          </w:p>
        </w:tc>
        <w:tc>
          <w:tcPr>
            <w:tcW w:type="dxa" w:w="1655"/>
            <w:vAlign w:val="top"/>
          </w:tcPr>
          <w:p>
            <w:pPr>
              <w:spacing w:after="40" w:before="0" w:line="259" w:lineRule="auto"/>
            </w:pPr>
            <w:r>
              <w:rPr>
                <w:rFonts w:ascii="Calibri" w:hAnsi="Calibri"/>
                <w:b w:val="0"/>
                <w:i w:val="0"/>
                <w:color w:val="212121"/>
                <w:sz w:val="19"/>
              </w:rPr>
              <w:t>Women with NVP/HG</w:t>
            </w:r>
          </w:p>
        </w:tc>
        <w:tc>
          <w:tcPr>
            <w:tcW w:type="dxa" w:w="1512"/>
            <w:vAlign w:val="top"/>
          </w:tcPr>
          <w:p>
            <w:pPr>
              <w:spacing w:after="40" w:before="0" w:line="259" w:lineRule="auto"/>
            </w:pPr>
            <w:r>
              <w:rPr>
                <w:rFonts w:ascii="Calibri" w:hAnsi="Calibri"/>
                <w:b w:val="0"/>
                <w:i w:val="0"/>
                <w:color w:val="212121"/>
                <w:sz w:val="19"/>
              </w:rPr>
              <w:t>≤ 6 (mild)</w:t>
            </w:r>
          </w:p>
        </w:tc>
        <w:tc>
          <w:tcPr>
            <w:tcW w:type="dxa" w:w="1512"/>
            <w:vAlign w:val="top"/>
          </w:tcPr>
          <w:p>
            <w:pPr>
              <w:spacing w:after="40" w:before="0" w:line="259" w:lineRule="auto"/>
            </w:pPr>
            <w:r>
              <w:rPr>
                <w:rFonts w:ascii="Calibri" w:hAnsi="Calibri"/>
                <w:b w:val="0"/>
                <w:i w:val="0"/>
                <w:color w:val="212121"/>
                <w:sz w:val="19"/>
              </w:rPr>
              <w:t>≥ 13 (severe)</w:t>
            </w:r>
          </w:p>
        </w:tc>
        <w:tc>
          <w:tcPr>
            <w:tcW w:type="dxa" w:w="1468"/>
            <w:vAlign w:val="top"/>
          </w:tcPr>
          <w:p>
            <w:pPr>
              <w:spacing w:after="60" w:line="259" w:lineRule="auto"/>
            </w:pPr>
            <w:r>
              <w:rPr>
                <w:rFonts w:ascii="Calibri" w:hAnsi="Calibri"/>
                <w:b w:val="0"/>
                <w:i w:val="0"/>
                <w:color w:val="212121"/>
                <w:sz w:val="19"/>
              </w:rPr>
              <w:t>Grades severity and predicts need for admission</w:t>
            </w:r>
          </w:p>
          <w:p>
            <w:pPr>
              <w:spacing w:after="40" w:line="252" w:lineRule="auto"/>
            </w:pPr>
            <w:hyperlink r:id="rId9">
              <w:r>
                <w:rPr>
                  <w:rFonts w:ascii="Calibri" w:hAnsi="Calibri" w:cs="Calibri"/>
                  <w:sz w:val="18"/>
                  <w:color w:val="1155CC"/>
                  <w:u w:val="single"/>
                </w:rPr>
                <w:t xml:space="preserve">https://www.ncbi.nlm.nih.gov/books/NBK532917/</w:t>
              </w:r>
            </w:hyperlink>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Urine ketones (dipstick)</w:t>
            </w:r>
          </w:p>
        </w:tc>
        <w:tc>
          <w:tcPr>
            <w:tcW w:type="dxa" w:w="1655"/>
            <w:vAlign w:val="top"/>
          </w:tcPr>
          <w:p>
            <w:pPr>
              <w:spacing w:after="40" w:before="0" w:line="259" w:lineRule="auto"/>
            </w:pPr>
            <w:r>
              <w:rPr>
                <w:rFonts w:ascii="Calibri" w:hAnsi="Calibri"/>
                <w:b w:val="0"/>
                <w:i w:val="0"/>
                <w:color w:val="212121"/>
                <w:sz w:val="19"/>
              </w:rPr>
              <w:t>Women with persistent vomiting</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 1+ (moderate-large)</w:t>
            </w:r>
          </w:p>
        </w:tc>
        <w:tc>
          <w:tcPr>
            <w:tcW w:type="dxa" w:w="1468"/>
            <w:vAlign w:val="top"/>
          </w:tcPr>
          <w:p>
            <w:pPr>
              <w:spacing w:after="60" w:line="259" w:lineRule="auto"/>
            </w:pPr>
            <w:r>
              <w:rPr>
                <w:rFonts w:ascii="Calibri" w:hAnsi="Calibri"/>
                <w:b w:val="0"/>
                <w:i w:val="0"/>
                <w:color w:val="212121"/>
                <w:sz w:val="19"/>
              </w:rPr>
              <w:t>Marker of catabolic starvation state; clears with rehydration and carbohydrate</w:t>
            </w:r>
          </w:p>
          <w:p>
            <w:pPr>
              <w:spacing w:after="40" w:line="252" w:lineRule="auto"/>
            </w:pPr>
            <w:hyperlink r:id="rId17">
              <w:r>
                <w:rPr>
                  <w:rFonts w:ascii="Calibri" w:hAnsi="Calibri" w:cs="Calibri"/>
                  <w:sz w:val="18"/>
                  <w:color w:val="1155CC"/>
                  <w:u w:val="single"/>
                </w:rPr>
                <w:t xml:space="preserve">https://pmc.ncbi.nlm.nih.gov/articles/PMC3410506/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Hydration / urine output</w:t>
            </w:r>
          </w:p>
        </w:tc>
        <w:tc>
          <w:tcPr>
            <w:tcW w:type="dxa" w:w="1655"/>
            <w:vAlign w:val="top"/>
          </w:tcPr>
          <w:p>
            <w:pPr>
              <w:spacing w:after="40" w:before="0" w:line="259" w:lineRule="auto"/>
            </w:pPr>
            <w:r>
              <w:rPr>
                <w:rFonts w:ascii="Calibri" w:hAnsi="Calibri"/>
                <w:b w:val="0"/>
                <w:i w:val="0"/>
                <w:color w:val="212121"/>
                <w:sz w:val="19"/>
              </w:rPr>
              <w:t>Dehydrated HG</w:t>
            </w:r>
          </w:p>
        </w:tc>
        <w:tc>
          <w:tcPr>
            <w:tcW w:type="dxa" w:w="1512"/>
            <w:vAlign w:val="top"/>
          </w:tcPr>
          <w:p>
            <w:pPr>
              <w:spacing w:after="40" w:before="0" w:line="259" w:lineRule="auto"/>
            </w:pPr>
            <w:r>
              <w:rPr>
                <w:rFonts w:ascii="Calibri" w:hAnsi="Calibri"/>
                <w:b w:val="0"/>
                <w:i w:val="0"/>
                <w:color w:val="212121"/>
                <w:sz w:val="19"/>
              </w:rPr>
              <w:t>Pale urine, ≥ 100 mL/h output, no postural drop</w:t>
            </w:r>
          </w:p>
        </w:tc>
        <w:tc>
          <w:tcPr>
            <w:tcW w:type="dxa" w:w="1512"/>
            <w:vAlign w:val="top"/>
          </w:tcPr>
          <w:p>
            <w:pPr>
              <w:spacing w:after="40" w:before="0" w:line="259" w:lineRule="auto"/>
            </w:pPr>
            <w:r>
              <w:rPr>
                <w:rFonts w:ascii="Calibri" w:hAnsi="Calibri"/>
                <w:b w:val="0"/>
                <w:i w:val="0"/>
                <w:color w:val="212121"/>
                <w:sz w:val="19"/>
              </w:rPr>
              <w:t>Dark/scanty urine, oliguria, postural hypotension</w:t>
            </w:r>
          </w:p>
        </w:tc>
        <w:tc>
          <w:tcPr>
            <w:tcW w:type="dxa" w:w="1468"/>
            <w:vAlign w:val="top"/>
          </w:tcPr>
          <w:p>
            <w:pPr>
              <w:spacing w:after="40" w:before="0" w:line="259" w:lineRule="auto"/>
            </w:pPr>
            <w:r>
              <w:rPr>
                <w:rFonts w:ascii="Calibri" w:hAnsi="Calibri"/>
                <w:b w:val="0"/>
                <w:i w:val="0"/>
                <w:color w:val="212121"/>
                <w:sz w:val="19"/>
              </w:rPr>
              <w:t>Guides intravenous fluid resuscitation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potassium</w:t>
            </w:r>
          </w:p>
        </w:tc>
        <w:tc>
          <w:tcPr>
            <w:tcW w:type="dxa" w:w="1655"/>
            <w:vAlign w:val="top"/>
          </w:tcPr>
          <w:p>
            <w:pPr>
              <w:spacing w:after="40" w:before="0" w:line="259" w:lineRule="auto"/>
            </w:pPr>
            <w:r>
              <w:rPr>
                <w:rFonts w:ascii="Calibri" w:hAnsi="Calibri"/>
                <w:b w:val="0"/>
                <w:i w:val="0"/>
                <w:color w:val="212121"/>
                <w:sz w:val="19"/>
              </w:rPr>
              <w:t>Severe / hospitalised HG</w:t>
            </w:r>
          </w:p>
        </w:tc>
        <w:tc>
          <w:tcPr>
            <w:tcW w:type="dxa" w:w="1512"/>
            <w:vAlign w:val="top"/>
          </w:tcPr>
          <w:p>
            <w:pPr>
              <w:spacing w:after="40" w:before="0" w:line="259" w:lineRule="auto"/>
            </w:pPr>
            <w:r>
              <w:rPr>
                <w:rFonts w:ascii="Calibri" w:hAnsi="Calibri"/>
                <w:b w:val="0"/>
                <w:i w:val="0"/>
                <w:color w:val="212121"/>
                <w:sz w:val="19"/>
              </w:rPr>
              <w:t>3.5-5.0 mmol/L</w:t>
            </w:r>
          </w:p>
        </w:tc>
        <w:tc>
          <w:tcPr>
            <w:tcW w:type="dxa" w:w="1512"/>
            <w:vAlign w:val="top"/>
          </w:tcPr>
          <w:p>
            <w:pPr>
              <w:spacing w:after="40" w:before="0" w:line="259" w:lineRule="auto"/>
            </w:pPr>
            <w:r>
              <w:rPr>
                <w:rFonts w:ascii="Calibri" w:hAnsi="Calibri"/>
                <w:b w:val="0"/>
                <w:i w:val="0"/>
                <w:color w:val="212121"/>
                <w:sz w:val="19"/>
              </w:rPr>
              <w:t>&lt; 3.5 mmol/L (hypokalaemia)</w:t>
            </w:r>
          </w:p>
        </w:tc>
        <w:tc>
          <w:tcPr>
            <w:tcW w:type="dxa" w:w="1468"/>
            <w:vAlign w:val="top"/>
          </w:tcPr>
          <w:p>
            <w:pPr>
              <w:spacing w:after="60" w:line="259" w:lineRule="auto"/>
            </w:pPr>
            <w:r>
              <w:rPr>
                <w:rFonts w:ascii="Calibri" w:hAnsi="Calibri"/>
                <w:b w:val="0"/>
                <w:i w:val="0"/>
                <w:color w:val="212121"/>
                <w:sz w:val="19"/>
              </w:rPr>
              <w:t>Vomiting losses; arrhythmia risk - replace and monitor ECG</w:t>
            </w:r>
          </w:p>
          <w:p>
            <w:pPr>
              <w:spacing w:after="40" w:line="252" w:lineRule="auto"/>
            </w:pPr>
            <w:hyperlink r:id="rId17">
              <w:r>
                <w:rPr>
                  <w:rFonts w:ascii="Calibri" w:hAnsi="Calibri" w:cs="Calibri"/>
                  <w:sz w:val="18"/>
                  <w:color w:val="1155CC"/>
                  <w:u w:val="single"/>
                </w:rPr>
                <w:t xml:space="preserve">https://pmc.ncbi.nlm.nih.gov/articles/PMC3410506/</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w:t>
            </w:r>
          </w:p>
        </w:tc>
        <w:tc>
          <w:tcPr>
            <w:tcW w:type="dxa" w:w="1655"/>
            <w:vAlign w:val="top"/>
          </w:tcPr>
          <w:p>
            <w:pPr>
              <w:spacing w:after="40" w:before="0" w:line="259" w:lineRule="auto"/>
            </w:pPr>
            <w:r>
              <w:rPr>
                <w:rFonts w:ascii="Calibri" w:hAnsi="Calibri"/>
                <w:b w:val="0"/>
                <w:i w:val="0"/>
                <w:color w:val="212121"/>
                <w:sz w:val="19"/>
              </w:rPr>
              <w:t>Severe HG</w:t>
            </w:r>
          </w:p>
        </w:tc>
        <w:tc>
          <w:tcPr>
            <w:tcW w:type="dxa" w:w="1512"/>
            <w:vAlign w:val="top"/>
          </w:tcPr>
          <w:p>
            <w:pPr>
              <w:spacing w:after="40" w:before="0" w:line="259" w:lineRule="auto"/>
            </w:pPr>
            <w:r>
              <w:rPr>
                <w:rFonts w:ascii="Calibri" w:hAnsi="Calibri"/>
                <w:b w:val="0"/>
                <w:i w:val="0"/>
                <w:color w:val="212121"/>
                <w:sz w:val="19"/>
              </w:rPr>
              <w:t>135-145 mmol/L</w:t>
            </w:r>
          </w:p>
        </w:tc>
        <w:tc>
          <w:tcPr>
            <w:tcW w:type="dxa" w:w="1512"/>
            <w:vAlign w:val="top"/>
          </w:tcPr>
          <w:p>
            <w:pPr>
              <w:spacing w:after="40" w:before="0" w:line="259" w:lineRule="auto"/>
            </w:pPr>
            <w:r>
              <w:rPr>
                <w:rFonts w:ascii="Calibri" w:hAnsi="Calibri"/>
                <w:b w:val="0"/>
                <w:i w:val="0"/>
                <w:color w:val="212121"/>
                <w:sz w:val="19"/>
              </w:rPr>
              <w:t>&lt; 135 mmol/L (hyponatraemia)</w:t>
            </w:r>
          </w:p>
        </w:tc>
        <w:tc>
          <w:tcPr>
            <w:tcW w:type="dxa" w:w="1468"/>
            <w:vAlign w:val="top"/>
          </w:tcPr>
          <w:p>
            <w:pPr>
              <w:spacing w:after="60" w:line="259" w:lineRule="auto"/>
            </w:pPr>
            <w:r>
              <w:rPr>
                <w:rFonts w:ascii="Calibri" w:hAnsi="Calibri"/>
                <w:b w:val="0"/>
                <w:i w:val="0"/>
                <w:color w:val="212121"/>
                <w:sz w:val="19"/>
              </w:rPr>
              <w:t>Correct slowly (&lt; 8-10 mmol/L/24 h) to avoid osmotic demyelination</w:t>
            </w:r>
          </w:p>
          <w:p>
            <w:pPr>
              <w:spacing w:after="40" w:line="252" w:lineRule="auto"/>
            </w:pPr>
            <w:hyperlink r:id="rId17">
              <w:r>
                <w:rPr>
                  <w:rFonts w:ascii="Calibri" w:hAnsi="Calibri" w:cs="Calibri"/>
                  <w:sz w:val="18"/>
                  <w:color w:val="1155CC"/>
                  <w:u w:val="single"/>
                </w:rPr>
                <w:t xml:space="preserve">https://pmc.ncbi.nlm.nih.gov/articles/PMC3410506/</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Women with HG</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markedly fragmented</w:t>
            </w:r>
          </w:p>
        </w:tc>
        <w:tc>
          <w:tcPr>
            <w:tcW w:type="dxa" w:w="1468"/>
            <w:vAlign w:val="top"/>
          </w:tcPr>
          <w:p>
            <w:pPr>
              <w:spacing w:after="40" w:before="0" w:line="259" w:lineRule="auto"/>
            </w:pPr>
            <w:r>
              <w:rPr>
                <w:rFonts w:ascii="Calibri" w:hAnsi="Calibri"/>
                <w:b w:val="0"/>
                <w:i w:val="0"/>
                <w:color w:val="212121"/>
                <w:sz w:val="19"/>
              </w:rPr>
              <w:t>Fatigue and poor sleep intensify nausea</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Duration of vomiting before thiamine</w:t>
            </w:r>
          </w:p>
        </w:tc>
        <w:tc>
          <w:tcPr>
            <w:tcW w:type="dxa" w:w="1655"/>
            <w:vAlign w:val="top"/>
          </w:tcPr>
          <w:p>
            <w:pPr>
              <w:spacing w:after="40" w:before="0" w:line="259" w:lineRule="auto"/>
            </w:pPr>
            <w:r>
              <w:rPr>
                <w:rFonts w:ascii="Calibri" w:hAnsi="Calibri"/>
                <w:b w:val="0"/>
                <w:i w:val="0"/>
                <w:color w:val="212121"/>
                <w:sz w:val="19"/>
              </w:rPr>
              <w:t>Prolonged/severe HG</w:t>
            </w:r>
          </w:p>
        </w:tc>
        <w:tc>
          <w:tcPr>
            <w:tcW w:type="dxa" w:w="1512"/>
            <w:vAlign w:val="top"/>
          </w:tcPr>
          <w:p>
            <w:pPr>
              <w:spacing w:after="40" w:before="0" w:line="259" w:lineRule="auto"/>
            </w:pPr>
            <w:r>
              <w:rPr>
                <w:rFonts w:ascii="Calibri" w:hAnsi="Calibri"/>
                <w:b w:val="0"/>
                <w:i w:val="0"/>
                <w:color w:val="212121"/>
                <w:sz w:val="19"/>
              </w:rPr>
              <w:t>Thiamine given before any dextrose if vomiting &gt; 3 weeks</w:t>
            </w:r>
          </w:p>
        </w:tc>
        <w:tc>
          <w:tcPr>
            <w:tcW w:type="dxa" w:w="1512"/>
            <w:vAlign w:val="top"/>
          </w:tcPr>
          <w:p>
            <w:pPr>
              <w:spacing w:after="40" w:before="0" w:line="259" w:lineRule="auto"/>
            </w:pPr>
            <w:r>
              <w:rPr>
                <w:rFonts w:ascii="Calibri" w:hAnsi="Calibri"/>
                <w:b w:val="0"/>
                <w:i w:val="0"/>
                <w:color w:val="212121"/>
                <w:sz w:val="19"/>
              </w:rPr>
              <w:t>&gt; 3 weeks of vomiting without thiamine cover</w:t>
            </w:r>
          </w:p>
        </w:tc>
        <w:tc>
          <w:tcPr>
            <w:tcW w:type="dxa" w:w="1468"/>
            <w:vAlign w:val="top"/>
          </w:tcPr>
          <w:p>
            <w:pPr>
              <w:spacing w:after="60" w:line="259" w:lineRule="auto"/>
            </w:pPr>
            <w:r>
              <w:rPr>
                <w:rFonts w:ascii="Calibri" w:hAnsi="Calibri"/>
                <w:b w:val="0"/>
                <w:i w:val="0"/>
                <w:color w:val="212121"/>
                <w:sz w:val="19"/>
              </w:rPr>
              <w:t>Prevents Wernicke's encephalopathy - a critical safety metric</w:t>
            </w:r>
          </w:p>
          <w:p>
            <w:pPr>
              <w:spacing w:after="40" w:line="252" w:lineRule="auto"/>
            </w:pPr>
            <w:hyperlink r:id="rId12">
              <w:r>
                <w:rPr>
                  <w:rFonts w:ascii="Calibri" w:hAnsi="Calibri" w:cs="Calibri"/>
                  <w:sz w:val="18"/>
                  <w:color w:val="1155CC"/>
                  <w:u w:val="single"/>
                </w:rPr>
                <w:t xml:space="preserve">https://pubmed.ncbi.nlm.nih.gov/34167385/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Pre-pregnancy Body Mass Index</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(low reserves)</w:t>
            </w:r>
          </w:p>
        </w:tc>
        <w:tc>
          <w:tcPr>
            <w:tcW w:type="dxa" w:w="1468"/>
            <w:vAlign w:val="top"/>
          </w:tcPr>
          <w:p>
            <w:pPr>
              <w:spacing w:after="40" w:before="0" w:line="259" w:lineRule="auto"/>
            </w:pPr>
            <w:r>
              <w:rPr>
                <w:rFonts w:ascii="Calibri" w:hAnsi="Calibri"/>
                <w:b w:val="0"/>
                <w:i w:val="0"/>
                <w:color w:val="212121"/>
                <w:sz w:val="19"/>
              </w:rPr>
              <w:t>Low BMI worsens catabolism and thiamine depletion during HG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Thyroid function (TSH / free T4)</w:t>
            </w:r>
          </w:p>
        </w:tc>
        <w:tc>
          <w:tcPr>
            <w:tcW w:type="dxa" w:w="1655"/>
            <w:vAlign w:val="top"/>
          </w:tcPr>
          <w:p>
            <w:pPr>
              <w:spacing w:after="40" w:before="0" w:line="259" w:lineRule="auto"/>
            </w:pPr>
            <w:r>
              <w:rPr>
                <w:rFonts w:ascii="Calibri" w:hAnsi="Calibri"/>
                <w:b w:val="0"/>
                <w:i w:val="0"/>
                <w:color w:val="212121"/>
                <w:sz w:val="19"/>
              </w:rPr>
              <w:t>Moderate-severe HG</w:t>
            </w:r>
          </w:p>
        </w:tc>
        <w:tc>
          <w:tcPr>
            <w:tcW w:type="dxa" w:w="1512"/>
            <w:vAlign w:val="top"/>
          </w:tcPr>
          <w:p>
            <w:pPr>
              <w:spacing w:after="40" w:before="0" w:line="259" w:lineRule="auto"/>
            </w:pPr>
            <w:r>
              <w:rPr>
                <w:rFonts w:ascii="Calibri" w:hAnsi="Calibri"/>
                <w:b w:val="0"/>
                <w:i w:val="0"/>
                <w:color w:val="212121"/>
                <w:sz w:val="19"/>
              </w:rPr>
              <w:t>Trimester-specific reference range</w:t>
            </w:r>
          </w:p>
        </w:tc>
        <w:tc>
          <w:tcPr>
            <w:tcW w:type="dxa" w:w="1512"/>
            <w:vAlign w:val="top"/>
          </w:tcPr>
          <w:p>
            <w:pPr>
              <w:spacing w:after="40" w:before="0" w:line="259" w:lineRule="auto"/>
            </w:pPr>
            <w:r>
              <w:rPr>
                <w:rFonts w:ascii="Calibri" w:hAnsi="Calibri"/>
                <w:b w:val="0"/>
                <w:i w:val="0"/>
                <w:color w:val="212121"/>
                <w:sz w:val="19"/>
              </w:rPr>
              <w:t>Suppressed TSH with raised free T4</w:t>
            </w:r>
          </w:p>
        </w:tc>
        <w:tc>
          <w:tcPr>
            <w:tcW w:type="dxa" w:w="1468"/>
            <w:vAlign w:val="top"/>
          </w:tcPr>
          <w:p>
            <w:pPr>
              <w:spacing w:after="60" w:line="259" w:lineRule="auto"/>
            </w:pPr>
            <w:r>
              <w:rPr>
                <w:rFonts w:ascii="Calibri" w:hAnsi="Calibri"/>
                <w:b w:val="0"/>
                <w:i w:val="0"/>
                <w:color w:val="212121"/>
                <w:sz w:val="19"/>
              </w:rPr>
              <w:t>Usually transient hCG-mediated thyrotoxicosis; recheck by ~20 weeks, avoid antithyroid drugs unless true Graves'</w:t>
            </w:r>
          </w:p>
          <w:p>
            <w:pPr>
              <w:spacing w:after="40" w:line="252" w:lineRule="auto"/>
            </w:pPr>
            <w:hyperlink r:id="rId14">
              <w:r>
                <w:rPr>
                  <w:rFonts w:ascii="Calibri" w:hAnsi="Calibri" w:cs="Calibri"/>
                  <w:sz w:val="18"/>
                  <w:color w:val="1155CC"/>
                  <w:u w:val="single"/>
                </w:rPr>
                <w:t xml:space="preserve">https://pubmed.ncbi.nlm.nih.gov/10447009/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Urinalysis</w:t>
            </w:r>
          </w:p>
        </w:tc>
        <w:tc>
          <w:tcPr>
            <w:tcW w:type="dxa" w:w="1036"/>
            <w:vAlign w:val="top"/>
          </w:tcPr>
          <w:p>
            <w:pPr>
              <w:spacing w:after="40" w:before="0" w:line="259" w:lineRule="auto"/>
            </w:pPr>
            <w:r>
              <w:rPr>
                <w:rFonts w:ascii="Calibri" w:hAnsi="Calibri"/>
                <w:b w:val="0"/>
                <w:i w:val="0"/>
                <w:color w:val="212121"/>
                <w:sz w:val="16"/>
              </w:rPr>
              <w:t>Urine ketones</w:t>
            </w:r>
          </w:p>
        </w:tc>
        <w:tc>
          <w:tcPr>
            <w:tcW w:type="dxa" w:w="892"/>
            <w:vAlign w:val="top"/>
          </w:tcPr>
          <w:p>
            <w:pPr>
              <w:spacing w:after="40" w:before="0" w:line="259" w:lineRule="auto"/>
            </w:pPr>
            <w:r>
              <w:rPr>
                <w:rFonts w:ascii="Calibri" w:hAnsi="Calibri"/>
                <w:b w:val="0"/>
                <w:i w:val="0"/>
                <w:color w:val="212121"/>
                <w:sz w:val="16"/>
              </w:rPr>
              <w:t>Urine dipstick</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 1+ (moderate-large)</w:t>
            </w:r>
          </w:p>
        </w:tc>
        <w:tc>
          <w:tcPr>
            <w:tcW w:type="dxa" w:w="1036"/>
            <w:vAlign w:val="top"/>
          </w:tcPr>
          <w:p>
            <w:pPr>
              <w:spacing w:after="40" w:before="0" w:line="259" w:lineRule="auto"/>
            </w:pPr>
            <w:r>
              <w:rPr>
                <w:rFonts w:ascii="Calibri" w:hAnsi="Calibri"/>
                <w:b w:val="0"/>
                <w:i w:val="0"/>
                <w:color w:val="212121"/>
                <w:sz w:val="16"/>
              </w:rPr>
              <w:t>Catabolic starvation ketosis; supports diagnosis and monitors response to rehydration</w:t>
            </w:r>
          </w:p>
        </w:tc>
        <w:tc>
          <w:tcPr>
            <w:tcW w:type="dxa" w:w="1036"/>
            <w:vAlign w:val="top"/>
          </w:tcPr>
          <w:p>
            <w:pPr>
              <w:spacing w:after="40" w:before="0" w:line="259" w:lineRule="auto"/>
            </w:pPr>
            <w:r>
              <w:rPr>
                <w:rFonts w:ascii="Calibri" w:hAnsi="Calibri"/>
                <w:b w:val="0"/>
                <w:i w:val="0"/>
                <w:color w:val="212121"/>
                <w:sz w:val="16"/>
              </w:rPr>
              <w:t>Pregnant women with persistent vomiting, admitted HG</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Clears with adequate fluids and carbohydrate intake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potassium</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3.5-5.0 mmol/L</w:t>
            </w:r>
          </w:p>
        </w:tc>
        <w:tc>
          <w:tcPr>
            <w:tcW w:type="dxa" w:w="950"/>
            <w:vAlign w:val="top"/>
          </w:tcPr>
          <w:p>
            <w:pPr>
              <w:spacing w:after="40" w:before="0" w:line="259" w:lineRule="auto"/>
            </w:pPr>
            <w:r>
              <w:rPr>
                <w:rFonts w:ascii="Calibri" w:hAnsi="Calibri"/>
                <w:b w:val="0"/>
                <w:i w:val="0"/>
                <w:color w:val="212121"/>
                <w:sz w:val="16"/>
              </w:rPr>
              <w:t>&lt; 3.5 mmol/L</w:t>
            </w:r>
          </w:p>
        </w:tc>
        <w:tc>
          <w:tcPr>
            <w:tcW w:type="dxa" w:w="1036"/>
            <w:vAlign w:val="top"/>
          </w:tcPr>
          <w:p>
            <w:pPr>
              <w:spacing w:after="40" w:before="0" w:line="259" w:lineRule="auto"/>
            </w:pPr>
            <w:r>
              <w:rPr>
                <w:rFonts w:ascii="Calibri" w:hAnsi="Calibri"/>
                <w:b w:val="0"/>
                <w:i w:val="0"/>
                <w:color w:val="212121"/>
                <w:sz w:val="16"/>
              </w:rPr>
              <w:t>Hypokalaemia from vomiting; arrhythmia risk; guides replacement</w:t>
            </w:r>
          </w:p>
        </w:tc>
        <w:tc>
          <w:tcPr>
            <w:tcW w:type="dxa" w:w="1036"/>
            <w:vAlign w:val="top"/>
          </w:tcPr>
          <w:p>
            <w:pPr>
              <w:spacing w:after="40" w:before="0" w:line="259" w:lineRule="auto"/>
            </w:pPr>
            <w:r>
              <w:rPr>
                <w:rFonts w:ascii="Calibri" w:hAnsi="Calibri"/>
                <w:b w:val="0"/>
                <w:i w:val="0"/>
                <w:color w:val="212121"/>
                <w:sz w:val="16"/>
              </w:rPr>
              <w:t>Severe, dehydrated HG</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Diagnostic / Safety</w:t>
            </w:r>
          </w:p>
        </w:tc>
        <w:tc>
          <w:tcPr>
            <w:tcW w:type="dxa" w:w="720"/>
            <w:vAlign w:val="top"/>
          </w:tcPr>
          <w:p>
            <w:pPr>
              <w:spacing w:after="40" w:before="0" w:line="259" w:lineRule="auto"/>
            </w:pPr>
            <w:r>
              <w:rPr>
                <w:rFonts w:ascii="Calibri" w:hAnsi="Calibri"/>
                <w:b w:val="0"/>
                <w:i w:val="0"/>
                <w:color w:val="212121"/>
                <w:sz w:val="16"/>
              </w:rPr>
              <w:t>Also check magnesium; ECG if markedly 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sodium &amp; chloride</w:t>
            </w:r>
          </w:p>
        </w:tc>
        <w:tc>
          <w:tcPr>
            <w:tcW w:type="dxa" w:w="892"/>
            <w:vAlign w:val="top"/>
          </w:tcPr>
          <w:p>
            <w:pPr>
              <w:spacing w:after="40" w:before="0" w:line="259" w:lineRule="auto"/>
            </w:pPr>
            <w:r>
              <w:rPr>
                <w:rFonts w:ascii="Calibri" w:hAnsi="Calibri"/>
                <w:b w:val="0"/>
                <w:i w:val="0"/>
                <w:color w:val="212121"/>
                <w:sz w:val="16"/>
              </w:rPr>
              <w:t>Serum electrolytes</w:t>
            </w:r>
          </w:p>
        </w:tc>
        <w:tc>
          <w:tcPr>
            <w:tcW w:type="dxa" w:w="950"/>
            <w:vAlign w:val="top"/>
          </w:tcPr>
          <w:p>
            <w:pPr>
              <w:spacing w:after="40" w:before="0" w:line="259" w:lineRule="auto"/>
            </w:pPr>
            <w:r>
              <w:rPr>
                <w:rFonts w:ascii="Calibri" w:hAnsi="Calibri"/>
                <w:b w:val="0"/>
                <w:i w:val="0"/>
                <w:color w:val="212121"/>
                <w:sz w:val="16"/>
              </w:rPr>
              <w:t>Na 135-145 mmol/L</w:t>
            </w:r>
          </w:p>
        </w:tc>
        <w:tc>
          <w:tcPr>
            <w:tcW w:type="dxa" w:w="950"/>
            <w:vAlign w:val="top"/>
          </w:tcPr>
          <w:p>
            <w:pPr>
              <w:spacing w:after="40" w:before="0" w:line="259" w:lineRule="auto"/>
            </w:pPr>
            <w:r>
              <w:rPr>
                <w:rFonts w:ascii="Calibri" w:hAnsi="Calibri"/>
                <w:b w:val="0"/>
                <w:i w:val="0"/>
                <w:color w:val="212121"/>
                <w:sz w:val="16"/>
              </w:rPr>
              <w:t>Hyponatraemia; hypochloraemic metabolic alkalosis</w:t>
            </w:r>
          </w:p>
        </w:tc>
        <w:tc>
          <w:tcPr>
            <w:tcW w:type="dxa" w:w="1036"/>
            <w:vAlign w:val="top"/>
          </w:tcPr>
          <w:p>
            <w:pPr>
              <w:spacing w:after="40" w:before="0" w:line="259" w:lineRule="auto"/>
            </w:pPr>
            <w:r>
              <w:rPr>
                <w:rFonts w:ascii="Calibri" w:hAnsi="Calibri"/>
                <w:b w:val="0"/>
                <w:i w:val="0"/>
                <w:color w:val="212121"/>
                <w:sz w:val="16"/>
              </w:rPr>
              <w:t>Reflects fluid/acid loss; determines rate/type of IV fluids</w:t>
            </w:r>
          </w:p>
        </w:tc>
        <w:tc>
          <w:tcPr>
            <w:tcW w:type="dxa" w:w="1036"/>
            <w:vAlign w:val="top"/>
          </w:tcPr>
          <w:p>
            <w:pPr>
              <w:spacing w:after="40" w:before="0" w:line="259" w:lineRule="auto"/>
            </w:pPr>
            <w:r>
              <w:rPr>
                <w:rFonts w:ascii="Calibri" w:hAnsi="Calibri"/>
                <w:b w:val="0"/>
                <w:i w:val="0"/>
                <w:color w:val="212121"/>
                <w:sz w:val="16"/>
              </w:rPr>
              <w:t>Severe HG</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 / Safety</w:t>
            </w:r>
          </w:p>
        </w:tc>
        <w:tc>
          <w:tcPr>
            <w:tcW w:type="dxa" w:w="720"/>
            <w:vAlign w:val="top"/>
          </w:tcPr>
          <w:p>
            <w:pPr>
              <w:spacing w:after="40" w:before="0" w:line="259" w:lineRule="auto"/>
            </w:pPr>
            <w:r>
              <w:rPr>
                <w:rFonts w:ascii="Calibri" w:hAnsi="Calibri"/>
                <w:b w:val="0"/>
                <w:i w:val="0"/>
                <w:color w:val="212121"/>
                <w:sz w:val="16"/>
              </w:rPr>
              <w:t>Correct sodium slowly to avoid osmotic demyelination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Urea &amp; creatinine</w:t>
            </w:r>
          </w:p>
        </w:tc>
        <w:tc>
          <w:tcPr>
            <w:tcW w:type="dxa" w:w="892"/>
            <w:vAlign w:val="top"/>
          </w:tcPr>
          <w:p>
            <w:pPr>
              <w:spacing w:after="40" w:before="0" w:line="259" w:lineRule="auto"/>
            </w:pPr>
            <w:r>
              <w:rPr>
                <w:rFonts w:ascii="Calibri" w:hAnsi="Calibri"/>
                <w:b w:val="0"/>
                <w:i w:val="0"/>
                <w:color w:val="212121"/>
                <w:sz w:val="16"/>
              </w:rPr>
              <w:t>Renal function tests</w:t>
            </w:r>
          </w:p>
        </w:tc>
        <w:tc>
          <w:tcPr>
            <w:tcW w:type="dxa" w:w="950"/>
            <w:vAlign w:val="top"/>
          </w:tcPr>
          <w:p>
            <w:pPr>
              <w:spacing w:after="40" w:before="0" w:line="259" w:lineRule="auto"/>
            </w:pPr>
            <w:r>
              <w:rPr>
                <w:rFonts w:ascii="Calibri" w:hAnsi="Calibri"/>
                <w:b w:val="0"/>
                <w:i w:val="0"/>
                <w:color w:val="212121"/>
                <w:sz w:val="16"/>
              </w:rPr>
              <w:t>Trimester-specific</w:t>
            </w:r>
          </w:p>
        </w:tc>
        <w:tc>
          <w:tcPr>
            <w:tcW w:type="dxa" w:w="950"/>
            <w:vAlign w:val="top"/>
          </w:tcPr>
          <w:p>
            <w:pPr>
              <w:spacing w:after="40" w:before="0" w:line="259" w:lineRule="auto"/>
            </w:pPr>
            <w:r>
              <w:rPr>
                <w:rFonts w:ascii="Calibri" w:hAnsi="Calibri"/>
                <w:b w:val="0"/>
                <w:i w:val="0"/>
                <w:color w:val="212121"/>
                <w:sz w:val="16"/>
              </w:rPr>
              <w:t>Raised (pre-renal AKI); urea may be low in pure starvation</w:t>
            </w:r>
          </w:p>
        </w:tc>
        <w:tc>
          <w:tcPr>
            <w:tcW w:type="dxa" w:w="1036"/>
            <w:vAlign w:val="top"/>
          </w:tcPr>
          <w:p>
            <w:pPr>
              <w:spacing w:after="40" w:before="0" w:line="259" w:lineRule="auto"/>
            </w:pPr>
            <w:r>
              <w:rPr>
                <w:rFonts w:ascii="Calibri" w:hAnsi="Calibri"/>
                <w:b w:val="0"/>
                <w:i w:val="0"/>
                <w:color w:val="212121"/>
                <w:sz w:val="16"/>
              </w:rPr>
              <w:t>Assesses dehydration and acute kidney injury</w:t>
            </w:r>
          </w:p>
        </w:tc>
        <w:tc>
          <w:tcPr>
            <w:tcW w:type="dxa" w:w="1036"/>
            <w:vAlign w:val="top"/>
          </w:tcPr>
          <w:p>
            <w:pPr>
              <w:spacing w:after="40" w:before="0" w:line="259" w:lineRule="auto"/>
            </w:pPr>
            <w:r>
              <w:rPr>
                <w:rFonts w:ascii="Calibri" w:hAnsi="Calibri"/>
                <w:b w:val="0"/>
                <w:i w:val="0"/>
                <w:color w:val="212121"/>
                <w:sz w:val="16"/>
              </w:rPr>
              <w:t>Dehydrated HG</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Improves with rehydration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ALT / AST &amp; bilirubin</w:t>
            </w:r>
          </w:p>
        </w:tc>
        <w:tc>
          <w:tcPr>
            <w:tcW w:type="dxa" w:w="892"/>
            <w:vAlign w:val="top"/>
          </w:tcPr>
          <w:p>
            <w:pPr>
              <w:spacing w:after="40" w:before="0" w:line="259" w:lineRule="auto"/>
            </w:pPr>
            <w:r>
              <w:rPr>
                <w:rFonts w:ascii="Calibri" w:hAnsi="Calibri"/>
                <w:b w:val="0"/>
                <w:i w:val="0"/>
                <w:color w:val="212121"/>
                <w:sz w:val="16"/>
              </w:rPr>
              <w:t>Liver function tests</w:t>
            </w:r>
          </w:p>
        </w:tc>
        <w:tc>
          <w:tcPr>
            <w:tcW w:type="dxa" w:w="950"/>
            <w:vAlign w:val="top"/>
          </w:tcPr>
          <w:p>
            <w:pPr>
              <w:spacing w:after="40" w:before="0" w:line="259" w:lineRule="auto"/>
            </w:pPr>
            <w:r>
              <w:rPr>
                <w:rFonts w:ascii="Calibri" w:hAnsi="Calibri"/>
                <w:b w:val="0"/>
                <w:i w:val="0"/>
                <w:color w:val="212121"/>
                <w:sz w:val="16"/>
              </w:rPr>
              <w:t>ALT/AST &lt; ~40 U/L</w:t>
            </w:r>
          </w:p>
        </w:tc>
        <w:tc>
          <w:tcPr>
            <w:tcW w:type="dxa" w:w="950"/>
            <w:vAlign w:val="top"/>
          </w:tcPr>
          <w:p>
            <w:pPr>
              <w:spacing w:after="40" w:before="0" w:line="259" w:lineRule="auto"/>
            </w:pPr>
            <w:r>
              <w:rPr>
                <w:rFonts w:ascii="Calibri" w:hAnsi="Calibri"/>
                <w:b w:val="0"/>
                <w:i w:val="0"/>
                <w:color w:val="212121"/>
                <w:sz w:val="16"/>
              </w:rPr>
              <w:t>Raised transaminases (usually &lt; 300 U/L), mild hyperbilirubinaemia</w:t>
            </w:r>
          </w:p>
        </w:tc>
        <w:tc>
          <w:tcPr>
            <w:tcW w:type="dxa" w:w="1036"/>
            <w:vAlign w:val="top"/>
          </w:tcPr>
          <w:p>
            <w:pPr>
              <w:spacing w:after="40" w:before="0" w:line="259" w:lineRule="auto"/>
            </w:pPr>
            <w:r>
              <w:rPr>
                <w:rFonts w:ascii="Calibri" w:hAnsi="Calibri"/>
                <w:b w:val="0"/>
                <w:i w:val="0"/>
                <w:color w:val="212121"/>
                <w:sz w:val="16"/>
              </w:rPr>
              <w:t>Transient hepatic dysfunction in up to ~50% of severe HG; resolves with treatment</w:t>
            </w:r>
          </w:p>
        </w:tc>
        <w:tc>
          <w:tcPr>
            <w:tcW w:type="dxa" w:w="1036"/>
            <w:vAlign w:val="top"/>
          </w:tcPr>
          <w:p>
            <w:pPr>
              <w:spacing w:after="40" w:before="0" w:line="259" w:lineRule="auto"/>
            </w:pPr>
            <w:r>
              <w:rPr>
                <w:rFonts w:ascii="Calibri" w:hAnsi="Calibri"/>
                <w:b w:val="0"/>
                <w:i w:val="0"/>
                <w:color w:val="212121"/>
                <w:sz w:val="16"/>
              </w:rPr>
              <w:t>Severe / hospitalised HG; Indian pregnant women with hepatic derangement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 Exclusion</w:t>
            </w:r>
          </w:p>
        </w:tc>
        <w:tc>
          <w:tcPr>
            <w:tcW w:type="dxa" w:w="720"/>
            <w:vAlign w:val="top"/>
          </w:tcPr>
          <w:p>
            <w:pPr>
              <w:spacing w:after="40" w:before="0" w:line="259" w:lineRule="auto"/>
            </w:pPr>
            <w:r>
              <w:rPr>
                <w:rFonts w:ascii="Calibri" w:hAnsi="Calibri"/>
                <w:b w:val="0"/>
                <w:i w:val="0"/>
                <w:color w:val="212121"/>
                <w:sz w:val="16"/>
              </w:rPr>
              <w:t>Exclude viral hepatitis, HELLP and acute fatty liver of pregnancy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&amp; free T4</w:t>
            </w:r>
          </w:p>
        </w:tc>
        <w:tc>
          <w:tcPr>
            <w:tcW w:type="dxa" w:w="892"/>
            <w:vAlign w:val="top"/>
          </w:tcPr>
          <w:p>
            <w:pPr>
              <w:spacing w:after="40" w:before="0" w:line="259" w:lineRule="auto"/>
            </w:pPr>
            <w:r>
              <w:rPr>
                <w:rFonts w:ascii="Calibri" w:hAnsi="Calibri"/>
                <w:b w:val="0"/>
                <w:i w:val="0"/>
                <w:color w:val="212121"/>
                <w:sz w:val="16"/>
              </w:rPr>
              <w:t>Thyroid function tests</w:t>
            </w:r>
          </w:p>
        </w:tc>
        <w:tc>
          <w:tcPr>
            <w:tcW w:type="dxa" w:w="950"/>
            <w:vAlign w:val="top"/>
          </w:tcPr>
          <w:p>
            <w:pPr>
              <w:spacing w:after="40" w:before="0" w:line="259" w:lineRule="auto"/>
            </w:pPr>
            <w:r>
              <w:rPr>
                <w:rFonts w:ascii="Calibri" w:hAnsi="Calibri"/>
                <w:b w:val="0"/>
                <w:i w:val="0"/>
                <w:color w:val="212121"/>
                <w:sz w:val="16"/>
              </w:rPr>
              <w:t>Trimester-specific (low-normal TSH common in T1)</w:t>
            </w:r>
          </w:p>
        </w:tc>
        <w:tc>
          <w:tcPr>
            <w:tcW w:type="dxa" w:w="950"/>
            <w:vAlign w:val="top"/>
          </w:tcPr>
          <w:p>
            <w:pPr>
              <w:spacing w:after="40" w:before="0" w:line="259" w:lineRule="auto"/>
            </w:pPr>
            <w:r>
              <w:rPr>
                <w:rFonts w:ascii="Calibri" w:hAnsi="Calibri"/>
                <w:b w:val="0"/>
                <w:i w:val="0"/>
                <w:color w:val="212121"/>
                <w:sz w:val="16"/>
              </w:rPr>
              <w:t>Suppressed TSH with raised free T4</w:t>
            </w:r>
          </w:p>
        </w:tc>
        <w:tc>
          <w:tcPr>
            <w:tcW w:type="dxa" w:w="1036"/>
            <w:vAlign w:val="top"/>
          </w:tcPr>
          <w:p>
            <w:pPr>
              <w:spacing w:after="40" w:before="0" w:line="259" w:lineRule="auto"/>
            </w:pPr>
            <w:r>
              <w:rPr>
                <w:rFonts w:ascii="Calibri" w:hAnsi="Calibri"/>
                <w:b w:val="0"/>
                <w:i w:val="0"/>
                <w:color w:val="212121"/>
                <w:sz w:val="16"/>
              </w:rPr>
              <w:t>Gestational transient thyrotoxicosis (hCG-mediated) in one-third to two-thirds; usually self-limiting</w:t>
            </w:r>
          </w:p>
        </w:tc>
        <w:tc>
          <w:tcPr>
            <w:tcW w:type="dxa" w:w="1036"/>
            <w:vAlign w:val="top"/>
          </w:tcPr>
          <w:p>
            <w:pPr>
              <w:spacing w:after="40" w:before="0" w:line="259" w:lineRule="auto"/>
            </w:pPr>
            <w:r>
              <w:rPr>
                <w:rFonts w:ascii="Calibri" w:hAnsi="Calibri"/>
                <w:b w:val="0"/>
                <w:i w:val="0"/>
                <w:color w:val="212121"/>
                <w:sz w:val="16"/>
              </w:rPr>
              <w:t>Moderate-severe HG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Exclusion</w:t>
            </w:r>
          </w:p>
        </w:tc>
        <w:tc>
          <w:tcPr>
            <w:tcW w:type="dxa" w:w="720"/>
            <w:vAlign w:val="top"/>
          </w:tcPr>
          <w:p>
            <w:pPr>
              <w:spacing w:after="40" w:before="0" w:line="259" w:lineRule="auto"/>
            </w:pPr>
            <w:r>
              <w:rPr>
                <w:rFonts w:ascii="Calibri" w:hAnsi="Calibri"/>
                <w:b w:val="0"/>
                <w:i w:val="0"/>
                <w:color w:val="212121"/>
                <w:sz w:val="16"/>
              </w:rPr>
              <w:t>No antithyroid drugs unless true Graves' (goitre, eye signs, TRAb+); recheck by ~20 weeks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packed cell volume</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Trimester-specific</w:t>
            </w:r>
          </w:p>
        </w:tc>
        <w:tc>
          <w:tcPr>
            <w:tcW w:type="dxa" w:w="950"/>
            <w:vAlign w:val="top"/>
          </w:tcPr>
          <w:p>
            <w:pPr>
              <w:spacing w:after="40" w:before="0" w:line="259" w:lineRule="auto"/>
            </w:pPr>
            <w:r>
              <w:rPr>
                <w:rFonts w:ascii="Calibri" w:hAnsi="Calibri"/>
                <w:b w:val="0"/>
                <w:i w:val="0"/>
                <w:color w:val="212121"/>
                <w:sz w:val="16"/>
              </w:rPr>
              <w:t>Raised PCV (haemoconcentration) or low Hb (anaemia)</w:t>
            </w:r>
          </w:p>
        </w:tc>
        <w:tc>
          <w:tcPr>
            <w:tcW w:type="dxa" w:w="1036"/>
            <w:vAlign w:val="top"/>
          </w:tcPr>
          <w:p>
            <w:pPr>
              <w:spacing w:after="40" w:before="0" w:line="259" w:lineRule="auto"/>
            </w:pPr>
            <w:r>
              <w:rPr>
                <w:rFonts w:ascii="Calibri" w:hAnsi="Calibri"/>
                <w:b w:val="0"/>
                <w:i w:val="0"/>
                <w:color w:val="212121"/>
                <w:sz w:val="16"/>
              </w:rPr>
              <w:t>Haemoconcentration reflects dehydration; anaemia is common on the Indian nutritional background</w:t>
            </w:r>
          </w:p>
        </w:tc>
        <w:tc>
          <w:tcPr>
            <w:tcW w:type="dxa" w:w="1036"/>
            <w:vAlign w:val="top"/>
          </w:tcPr>
          <w:p>
            <w:pPr>
              <w:spacing w:after="40" w:before="0" w:line="259" w:lineRule="auto"/>
            </w:pPr>
            <w:r>
              <w:rPr>
                <w:rFonts w:ascii="Calibri" w:hAnsi="Calibri"/>
                <w:b w:val="0"/>
                <w:i w:val="0"/>
                <w:color w:val="212121"/>
                <w:sz w:val="16"/>
              </w:rPr>
              <w:t>HG, Indian pregnant women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Restart oral iron only once vomiting settles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Gestational number / molar changes</w:t>
            </w:r>
          </w:p>
        </w:tc>
        <w:tc>
          <w:tcPr>
            <w:tcW w:type="dxa" w:w="892"/>
            <w:vAlign w:val="top"/>
          </w:tcPr>
          <w:p>
            <w:pPr>
              <w:spacing w:after="40" w:before="0" w:line="259" w:lineRule="auto"/>
            </w:pPr>
            <w:r>
              <w:rPr>
                <w:rFonts w:ascii="Calibri" w:hAnsi="Calibri"/>
                <w:b w:val="0"/>
                <w:i w:val="0"/>
                <w:color w:val="212121"/>
                <w:sz w:val="16"/>
              </w:rPr>
              <w:t>Obstetric ultrasound (TVS/TAS)</w:t>
            </w:r>
          </w:p>
        </w:tc>
        <w:tc>
          <w:tcPr>
            <w:tcW w:type="dxa" w:w="950"/>
            <w:vAlign w:val="top"/>
          </w:tcPr>
          <w:p>
            <w:pPr>
              <w:spacing w:after="40" w:before="0" w:line="259" w:lineRule="auto"/>
            </w:pPr>
            <w:r>
              <w:rPr>
                <w:rFonts w:ascii="Calibri" w:hAnsi="Calibri"/>
                <w:b w:val="0"/>
                <w:i w:val="0"/>
                <w:color w:val="212121"/>
                <w:sz w:val="16"/>
              </w:rPr>
              <w:t>Single viable intrauterine pregnancy</w:t>
            </w:r>
          </w:p>
        </w:tc>
        <w:tc>
          <w:tcPr>
            <w:tcW w:type="dxa" w:w="950"/>
            <w:vAlign w:val="top"/>
          </w:tcPr>
          <w:p>
            <w:pPr>
              <w:spacing w:after="40" w:before="0" w:line="259" w:lineRule="auto"/>
            </w:pPr>
            <w:r>
              <w:rPr>
                <w:rFonts w:ascii="Calibri" w:hAnsi="Calibri"/>
                <w:b w:val="0"/>
                <w:i w:val="0"/>
                <w:color w:val="212121"/>
                <w:sz w:val="16"/>
              </w:rPr>
              <w:t>Multiple gestation or molar (snowstorm) appearance</w:t>
            </w:r>
          </w:p>
        </w:tc>
        <w:tc>
          <w:tcPr>
            <w:tcW w:type="dxa" w:w="1036"/>
            <w:vAlign w:val="top"/>
          </w:tcPr>
          <w:p>
            <w:pPr>
              <w:spacing w:after="40" w:before="0" w:line="259" w:lineRule="auto"/>
            </w:pPr>
            <w:r>
              <w:rPr>
                <w:rFonts w:ascii="Calibri" w:hAnsi="Calibri"/>
                <w:b w:val="0"/>
                <w:i w:val="0"/>
                <w:color w:val="212121"/>
                <w:sz w:val="16"/>
              </w:rPr>
              <w:t>High-hCG states are strongly associated with HG; excludes gestational trophoblastic disease</w:t>
            </w:r>
          </w:p>
        </w:tc>
        <w:tc>
          <w:tcPr>
            <w:tcW w:type="dxa" w:w="1036"/>
            <w:vAlign w:val="top"/>
          </w:tcPr>
          <w:p>
            <w:pPr>
              <w:spacing w:after="40" w:before="0" w:line="259" w:lineRule="auto"/>
            </w:pPr>
            <w:r>
              <w:rPr>
                <w:rFonts w:ascii="Calibri" w:hAnsi="Calibri"/>
                <w:b w:val="0"/>
                <w:i w:val="0"/>
                <w:color w:val="212121"/>
                <w:sz w:val="16"/>
              </w:rPr>
              <w:t>All HG at presentation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Exclusion</w:t>
            </w:r>
          </w:p>
        </w:tc>
        <w:tc>
          <w:tcPr>
            <w:tcW w:type="dxa" w:w="720"/>
            <w:vAlign w:val="top"/>
          </w:tcPr>
          <w:p>
            <w:pPr>
              <w:spacing w:after="40" w:before="0" w:line="259" w:lineRule="auto"/>
            </w:pPr>
            <w:r>
              <w:rPr>
                <w:rFonts w:ascii="Calibri" w:hAnsi="Calibri"/>
                <w:b w:val="0"/>
                <w:i w:val="0"/>
                <w:color w:val="212121"/>
                <w:sz w:val="16"/>
              </w:rPr>
              <w:t>Also confirms viability and dates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Onset/frequency of vomiting, fluid tolerance, weight loss</w:t>
            </w:r>
          </w:p>
        </w:tc>
        <w:tc>
          <w:tcPr>
            <w:tcW w:type="dxa" w:w="950"/>
            <w:vAlign w:val="top"/>
          </w:tcPr>
          <w:p>
            <w:pPr>
              <w:spacing w:after="40" w:before="0" w:line="259" w:lineRule="auto"/>
            </w:pPr>
            <w:r>
              <w:rPr>
                <w:rFonts w:ascii="Calibri" w:hAnsi="Calibri"/>
                <w:b w:val="0"/>
                <w:i w:val="0"/>
                <w:color w:val="212121"/>
                <w:sz w:val="16"/>
              </w:rPr>
              <w:t>Mild, self-limiting nausea</w:t>
            </w:r>
          </w:p>
        </w:tc>
        <w:tc>
          <w:tcPr>
            <w:tcW w:type="dxa" w:w="950"/>
            <w:vAlign w:val="top"/>
          </w:tcPr>
          <w:p>
            <w:pPr>
              <w:spacing w:after="40" w:before="0" w:line="259" w:lineRule="auto"/>
            </w:pPr>
            <w:r>
              <w:rPr>
                <w:rFonts w:ascii="Calibri" w:hAnsi="Calibri"/>
                <w:b w:val="0"/>
                <w:i w:val="0"/>
                <w:color w:val="212121"/>
                <w:sz w:val="16"/>
              </w:rPr>
              <w:t>Intractable vomiting, inability to retain fluids, ≥ 5% weight loss</w:t>
            </w:r>
          </w:p>
        </w:tc>
        <w:tc>
          <w:tcPr>
            <w:tcW w:type="dxa" w:w="1036"/>
            <w:vAlign w:val="top"/>
          </w:tcPr>
          <w:p>
            <w:pPr>
              <w:spacing w:after="40" w:before="0" w:line="259" w:lineRule="auto"/>
            </w:pPr>
            <w:r>
              <w:rPr>
                <w:rFonts w:ascii="Calibri" w:hAnsi="Calibri"/>
                <w:b w:val="0"/>
                <w:i w:val="0"/>
                <w:color w:val="212121"/>
                <w:sz w:val="16"/>
              </w:rPr>
              <w:t>Defines the presence and severity of HG</w:t>
            </w:r>
          </w:p>
        </w:tc>
        <w:tc>
          <w:tcPr>
            <w:tcW w:type="dxa" w:w="1036"/>
            <w:vAlign w:val="top"/>
          </w:tcPr>
          <w:p>
            <w:pPr>
              <w:spacing w:after="40" w:before="0" w:line="259" w:lineRule="auto"/>
            </w:pPr>
            <w:r>
              <w:rPr>
                <w:rFonts w:ascii="Calibri" w:hAnsi="Calibri"/>
                <w:b w:val="0"/>
                <w:i w:val="0"/>
                <w:color w:val="212121"/>
                <w:sz w:val="16"/>
              </w:rPr>
              <w:t>First-trimester pregnant women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with modified PUQE-24</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menstrual history</w:t>
            </w:r>
          </w:p>
        </w:tc>
        <w:tc>
          <w:tcPr>
            <w:tcW w:type="dxa" w:w="979"/>
            <w:vAlign w:val="top"/>
          </w:tcPr>
          <w:p>
            <w:pPr>
              <w:spacing w:after="40" w:before="0" w:line="259" w:lineRule="auto"/>
            </w:pPr>
            <w:r>
              <w:rPr>
                <w:rFonts w:ascii="Calibri" w:hAnsi="Calibri"/>
                <w:b w:val="0"/>
                <w:i w:val="0"/>
                <w:color w:val="212121"/>
                <w:sz w:val="16"/>
              </w:rPr>
              <w:t>LMP/gestational age, gravidity, prior HG, multiple/molar pregnancy</w:t>
            </w:r>
          </w:p>
        </w:tc>
        <w:tc>
          <w:tcPr>
            <w:tcW w:type="dxa" w:w="950"/>
            <w:vAlign w:val="top"/>
          </w:tcPr>
          <w:p>
            <w:pPr>
              <w:spacing w:after="40" w:before="0" w:line="259" w:lineRule="auto"/>
            </w:pPr>
            <w:r>
              <w:rPr>
                <w:rFonts w:ascii="Calibri" w:hAnsi="Calibri"/>
                <w:b w:val="0"/>
                <w:i w:val="0"/>
                <w:color w:val="212121"/>
                <w:sz w:val="16"/>
              </w:rPr>
              <w:t>No prior HG, singleton</w:t>
            </w:r>
          </w:p>
        </w:tc>
        <w:tc>
          <w:tcPr>
            <w:tcW w:type="dxa" w:w="950"/>
            <w:vAlign w:val="top"/>
          </w:tcPr>
          <w:p>
            <w:pPr>
              <w:spacing w:after="40" w:before="0" w:line="259" w:lineRule="auto"/>
            </w:pPr>
            <w:r>
              <w:rPr>
                <w:rFonts w:ascii="Calibri" w:hAnsi="Calibri"/>
                <w:b w:val="0"/>
                <w:i w:val="0"/>
                <w:color w:val="212121"/>
                <w:sz w:val="16"/>
              </w:rPr>
              <w:t>Previous HG, current multiple or molar pregnancy</w:t>
            </w:r>
          </w:p>
        </w:tc>
        <w:tc>
          <w:tcPr>
            <w:tcW w:type="dxa" w:w="1036"/>
            <w:vAlign w:val="top"/>
          </w:tcPr>
          <w:p>
            <w:pPr>
              <w:spacing w:after="40" w:before="0" w:line="259" w:lineRule="auto"/>
            </w:pPr>
            <w:r>
              <w:rPr>
                <w:rFonts w:ascii="Calibri" w:hAnsi="Calibri"/>
                <w:b w:val="0"/>
                <w:i w:val="0"/>
                <w:color w:val="212121"/>
                <w:sz w:val="16"/>
              </w:rPr>
              <w:t>Recurrence risk ~15-24%; high-hCG states raise risk</w:t>
            </w:r>
          </w:p>
        </w:tc>
        <w:tc>
          <w:tcPr>
            <w:tcW w:type="dxa" w:w="1036"/>
            <w:vAlign w:val="top"/>
          </w:tcPr>
          <w:p>
            <w:pPr>
              <w:spacing w:after="40" w:before="0" w:line="259" w:lineRule="auto"/>
            </w:pPr>
            <w:r>
              <w:rPr>
                <w:rFonts w:ascii="Calibri" w:hAnsi="Calibri"/>
                <w:b w:val="0"/>
                <w:i w:val="0"/>
                <w:color w:val="212121"/>
                <w:sz w:val="16"/>
              </w:rPr>
              <w:t>Multigravida, women with prior HG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Onset after 9-10 weeks should prompt search for another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 exclusion review</w:t>
            </w:r>
          </w:p>
        </w:tc>
        <w:tc>
          <w:tcPr>
            <w:tcW w:type="dxa" w:w="979"/>
            <w:vAlign w:val="top"/>
          </w:tcPr>
          <w:p>
            <w:pPr>
              <w:spacing w:after="40" w:before="0" w:line="259" w:lineRule="auto"/>
            </w:pPr>
            <w:r>
              <w:rPr>
                <w:rFonts w:ascii="Calibri" w:hAnsi="Calibri"/>
                <w:b w:val="0"/>
                <w:i w:val="0"/>
                <w:color w:val="212121"/>
                <w:sz w:val="16"/>
              </w:rPr>
              <w:t>Abdominal pain, fever, diarrhoea, dysuria, headache, neurological symptoms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HG is a diagnosis of exclusion - screen for UTI, gastroenteritis, thyroid and neurological causes</w:t>
            </w:r>
          </w:p>
        </w:tc>
        <w:tc>
          <w:tcPr>
            <w:tcW w:type="dxa" w:w="1036"/>
            <w:vAlign w:val="top"/>
          </w:tcPr>
          <w:p>
            <w:pPr>
              <w:spacing w:after="40" w:before="0" w:line="259" w:lineRule="auto"/>
            </w:pPr>
            <w:r>
              <w:rPr>
                <w:rFonts w:ascii="Calibri" w:hAnsi="Calibri"/>
                <w:b w:val="0"/>
                <w:i w:val="0"/>
                <w:color w:val="212121"/>
                <w:sz w:val="16"/>
              </w:rPr>
              <w:t>All suspected HG</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Safety / Exclusion</w:t>
            </w:r>
          </w:p>
        </w:tc>
        <w:tc>
          <w:tcPr>
            <w:tcW w:type="dxa" w:w="720"/>
            <w:vAlign w:val="top"/>
          </w:tcPr>
          <w:p>
            <w:pPr>
              <w:spacing w:after="40" w:before="0" w:line="259" w:lineRule="auto"/>
            </w:pPr>
            <w:r>
              <w:rPr>
                <w:rFonts w:ascii="Calibri" w:hAnsi="Calibri"/>
                <w:b w:val="0"/>
                <w:i w:val="0"/>
                <w:color w:val="212121"/>
                <w:sz w:val="16"/>
              </w:rPr>
              <w:t>Atypical features warrant targeted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Hydration status</w:t>
            </w:r>
          </w:p>
        </w:tc>
        <w:tc>
          <w:tcPr>
            <w:tcW w:type="dxa" w:w="979"/>
            <w:vAlign w:val="top"/>
          </w:tcPr>
          <w:p>
            <w:pPr>
              <w:spacing w:after="40" w:before="0" w:line="259" w:lineRule="auto"/>
            </w:pPr>
            <w:r>
              <w:rPr>
                <w:rFonts w:ascii="Calibri" w:hAnsi="Calibri"/>
                <w:b w:val="0"/>
                <w:i w:val="0"/>
                <w:color w:val="212121"/>
                <w:sz w:val="16"/>
              </w:rPr>
              <w:t>Mucous membranes, skin turgor, pulse, BP/postural drop, capillary refill, urine output</w:t>
            </w:r>
          </w:p>
        </w:tc>
        <w:tc>
          <w:tcPr>
            <w:tcW w:type="dxa" w:w="950"/>
            <w:vAlign w:val="top"/>
          </w:tcPr>
          <w:p>
            <w:pPr>
              <w:spacing w:after="40" w:before="0" w:line="259" w:lineRule="auto"/>
            </w:pPr>
            <w:r>
              <w:rPr>
                <w:rFonts w:ascii="Calibri" w:hAnsi="Calibri"/>
                <w:b w:val="0"/>
                <w:i w:val="0"/>
                <w:color w:val="212121"/>
                <w:sz w:val="16"/>
              </w:rPr>
              <w:t>Well hydrated</w:t>
            </w:r>
          </w:p>
        </w:tc>
        <w:tc>
          <w:tcPr>
            <w:tcW w:type="dxa" w:w="950"/>
            <w:vAlign w:val="top"/>
          </w:tcPr>
          <w:p>
            <w:pPr>
              <w:spacing w:after="40" w:before="0" w:line="259" w:lineRule="auto"/>
            </w:pPr>
            <w:r>
              <w:rPr>
                <w:rFonts w:ascii="Calibri" w:hAnsi="Calibri"/>
                <w:b w:val="0"/>
                <w:i w:val="0"/>
                <w:color w:val="212121"/>
                <w:sz w:val="16"/>
              </w:rPr>
              <w:t>Tachycardia, postural hypotension, dry mucosae, oliguria</w:t>
            </w:r>
          </w:p>
        </w:tc>
        <w:tc>
          <w:tcPr>
            <w:tcW w:type="dxa" w:w="1036"/>
            <w:vAlign w:val="top"/>
          </w:tcPr>
          <w:p>
            <w:pPr>
              <w:spacing w:after="40" w:before="0" w:line="259" w:lineRule="auto"/>
            </w:pPr>
            <w:r>
              <w:rPr>
                <w:rFonts w:ascii="Calibri" w:hAnsi="Calibri"/>
                <w:b w:val="0"/>
                <w:i w:val="0"/>
                <w:color w:val="212121"/>
                <w:sz w:val="16"/>
              </w:rPr>
              <w:t>Grades dehydration and guides intravenous fluids</w:t>
            </w:r>
          </w:p>
        </w:tc>
        <w:tc>
          <w:tcPr>
            <w:tcW w:type="dxa" w:w="1036"/>
            <w:vAlign w:val="top"/>
          </w:tcPr>
          <w:p>
            <w:pPr>
              <w:spacing w:after="40" w:before="0" w:line="259" w:lineRule="auto"/>
            </w:pPr>
            <w:r>
              <w:rPr>
                <w:rFonts w:ascii="Calibri" w:hAnsi="Calibri"/>
                <w:b w:val="0"/>
                <w:i w:val="0"/>
                <w:color w:val="212121"/>
                <w:sz w:val="16"/>
              </w:rPr>
              <w:t>HG patients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Reassess after rehydration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Weight &amp; BMI</w:t>
            </w:r>
          </w:p>
        </w:tc>
        <w:tc>
          <w:tcPr>
            <w:tcW w:type="dxa" w:w="979"/>
            <w:vAlign w:val="top"/>
          </w:tcPr>
          <w:p>
            <w:pPr>
              <w:spacing w:after="40" w:before="0" w:line="259" w:lineRule="auto"/>
            </w:pPr>
            <w:r>
              <w:rPr>
                <w:rFonts w:ascii="Calibri" w:hAnsi="Calibri"/>
                <w:b w:val="0"/>
                <w:i w:val="0"/>
                <w:color w:val="212121"/>
                <w:sz w:val="16"/>
              </w:rPr>
              <w:t>Current versus pre-pregnancy weight</w:t>
            </w:r>
          </w:p>
        </w:tc>
        <w:tc>
          <w:tcPr>
            <w:tcW w:type="dxa" w:w="950"/>
            <w:vAlign w:val="top"/>
          </w:tcPr>
          <w:p>
            <w:pPr>
              <w:spacing w:after="40" w:before="0" w:line="259" w:lineRule="auto"/>
            </w:pPr>
            <w:r>
              <w:rPr>
                <w:rFonts w:ascii="Calibri" w:hAnsi="Calibri"/>
                <w:b w:val="0"/>
                <w:i w:val="0"/>
                <w:color w:val="212121"/>
                <w:sz w:val="16"/>
              </w:rPr>
              <w:t>Appropriate gestational gain</w:t>
            </w:r>
          </w:p>
        </w:tc>
        <w:tc>
          <w:tcPr>
            <w:tcW w:type="dxa" w:w="950"/>
            <w:vAlign w:val="top"/>
          </w:tcPr>
          <w:p>
            <w:pPr>
              <w:spacing w:after="40" w:before="0" w:line="259" w:lineRule="auto"/>
            </w:pPr>
            <w:r>
              <w:rPr>
                <w:rFonts w:ascii="Calibri" w:hAnsi="Calibri"/>
                <w:b w:val="0"/>
                <w:i w:val="0"/>
                <w:color w:val="212121"/>
                <w:sz w:val="16"/>
              </w:rPr>
              <w:t>≥ 5% loss / low BMI</w:t>
            </w:r>
          </w:p>
        </w:tc>
        <w:tc>
          <w:tcPr>
            <w:tcW w:type="dxa" w:w="1036"/>
            <w:vAlign w:val="top"/>
          </w:tcPr>
          <w:p>
            <w:pPr>
              <w:spacing w:after="40" w:before="0" w:line="259" w:lineRule="auto"/>
            </w:pPr>
            <w:r>
              <w:rPr>
                <w:rFonts w:ascii="Calibri" w:hAnsi="Calibri"/>
                <w:b w:val="0"/>
                <w:i w:val="0"/>
                <w:color w:val="212121"/>
                <w:sz w:val="16"/>
              </w:rPr>
              <w:t>Objective marker of severity and nutritional depletion</w:t>
            </w:r>
          </w:p>
        </w:tc>
        <w:tc>
          <w:tcPr>
            <w:tcW w:type="dxa" w:w="1036"/>
            <w:vAlign w:val="top"/>
          </w:tcPr>
          <w:p>
            <w:pPr>
              <w:spacing w:after="40" w:before="0" w:line="259" w:lineRule="auto"/>
            </w:pPr>
            <w:r>
              <w:rPr>
                <w:rFonts w:ascii="Calibri" w:hAnsi="Calibri"/>
                <w:b w:val="0"/>
                <w:i w:val="0"/>
                <w:color w:val="212121"/>
                <w:sz w:val="16"/>
              </w:rPr>
              <w:t>HG, underweight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Document serial weights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Neurological screen</w:t>
            </w:r>
          </w:p>
        </w:tc>
        <w:tc>
          <w:tcPr>
            <w:tcW w:type="dxa" w:w="979"/>
            <w:vAlign w:val="top"/>
          </w:tcPr>
          <w:p>
            <w:pPr>
              <w:spacing w:after="40" w:before="0" w:line="259" w:lineRule="auto"/>
            </w:pPr>
            <w:r>
              <w:rPr>
                <w:rFonts w:ascii="Calibri" w:hAnsi="Calibri"/>
                <w:b w:val="0"/>
                <w:i w:val="0"/>
                <w:color w:val="212121"/>
                <w:sz w:val="16"/>
              </w:rPr>
              <w:t>Eye movements/nystagmus, gait/ataxia, mentation, memory</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Nystagmus, ataxia, confusion (Wernicke's triad)</w:t>
            </w:r>
          </w:p>
        </w:tc>
        <w:tc>
          <w:tcPr>
            <w:tcW w:type="dxa" w:w="1036"/>
            <w:vAlign w:val="top"/>
          </w:tcPr>
          <w:p>
            <w:pPr>
              <w:spacing w:after="40" w:before="0" w:line="259" w:lineRule="auto"/>
            </w:pPr>
            <w:r>
              <w:rPr>
                <w:rFonts w:ascii="Calibri" w:hAnsi="Calibri"/>
                <w:b w:val="0"/>
                <w:i w:val="0"/>
                <w:color w:val="212121"/>
                <w:sz w:val="16"/>
              </w:rPr>
              <w:t>Detects thiamine-deficiency Wernicke's encephalopathy - a preventable emergency</w:t>
            </w:r>
          </w:p>
        </w:tc>
        <w:tc>
          <w:tcPr>
            <w:tcW w:type="dxa" w:w="1036"/>
            <w:vAlign w:val="top"/>
          </w:tcPr>
          <w:p>
            <w:pPr>
              <w:spacing w:after="40" w:before="0" w:line="259" w:lineRule="auto"/>
            </w:pPr>
            <w:r>
              <w:rPr>
                <w:rFonts w:ascii="Calibri" w:hAnsi="Calibri"/>
                <w:b w:val="0"/>
                <w:i w:val="0"/>
                <w:color w:val="212121"/>
                <w:sz w:val="16"/>
              </w:rPr>
              <w:t>Prolonged vomiting (&gt; 3 weeks) without thiamine cover</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Safety / Critical</w:t>
            </w:r>
          </w:p>
        </w:tc>
        <w:tc>
          <w:tcPr>
            <w:tcW w:type="dxa" w:w="720"/>
            <w:vAlign w:val="top"/>
          </w:tcPr>
          <w:p>
            <w:pPr>
              <w:spacing w:after="40" w:before="0" w:line="259" w:lineRule="auto"/>
            </w:pPr>
            <w:r>
              <w:rPr>
                <w:rFonts w:ascii="Calibri" w:hAnsi="Calibri"/>
                <w:b w:val="0"/>
                <w:i w:val="0"/>
                <w:color w:val="212121"/>
                <w:sz w:val="16"/>
              </w:rPr>
              <w:t>Give parenteral thiamine before any dextrose-containing fluids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Thyroid &amp; cardiovascular</w:t>
            </w:r>
          </w:p>
        </w:tc>
        <w:tc>
          <w:tcPr>
            <w:tcW w:type="dxa" w:w="979"/>
            <w:vAlign w:val="top"/>
          </w:tcPr>
          <w:p>
            <w:pPr>
              <w:spacing w:after="40" w:before="0" w:line="259" w:lineRule="auto"/>
            </w:pPr>
            <w:r>
              <w:rPr>
                <w:rFonts w:ascii="Calibri" w:hAnsi="Calibri"/>
                <w:b w:val="0"/>
                <w:i w:val="0"/>
                <w:color w:val="212121"/>
                <w:sz w:val="16"/>
              </w:rPr>
              <w:t>Goitre, tremor, resting tachycardia, eye signs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Signs of thyrotoxicosis</w:t>
            </w:r>
          </w:p>
        </w:tc>
        <w:tc>
          <w:tcPr>
            <w:tcW w:type="dxa" w:w="1036"/>
            <w:vAlign w:val="top"/>
          </w:tcPr>
          <w:p>
            <w:pPr>
              <w:spacing w:after="40" w:before="0" w:line="259" w:lineRule="auto"/>
            </w:pPr>
            <w:r>
              <w:rPr>
                <w:rFonts w:ascii="Calibri" w:hAnsi="Calibri"/>
                <w:b w:val="0"/>
                <w:i w:val="0"/>
                <w:color w:val="212121"/>
                <w:sz w:val="16"/>
              </w:rPr>
              <w:t>Distinguishes transient gestational thyrotoxicosis from Graves' disease</w:t>
            </w:r>
          </w:p>
        </w:tc>
        <w:tc>
          <w:tcPr>
            <w:tcW w:type="dxa" w:w="1036"/>
            <w:vAlign w:val="top"/>
          </w:tcPr>
          <w:p>
            <w:pPr>
              <w:spacing w:after="40" w:before="0" w:line="259" w:lineRule="auto"/>
            </w:pPr>
            <w:r>
              <w:rPr>
                <w:rFonts w:ascii="Calibri" w:hAnsi="Calibri"/>
                <w:b w:val="0"/>
                <w:i w:val="0"/>
                <w:color w:val="212121"/>
                <w:sz w:val="16"/>
              </w:rPr>
              <w:t>Moderate-severe HG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Goitre, eye signs or TRAb positivity favour Graves'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Mental-health screen</w:t>
            </w:r>
          </w:p>
        </w:tc>
        <w:tc>
          <w:tcPr>
            <w:tcW w:type="dxa" w:w="979"/>
            <w:vAlign w:val="top"/>
          </w:tcPr>
          <w:p>
            <w:pPr>
              <w:spacing w:after="40" w:before="0" w:line="259" w:lineRule="auto"/>
            </w:pPr>
            <w:r>
              <w:rPr>
                <w:rFonts w:ascii="Calibri" w:hAnsi="Calibri"/>
                <w:b w:val="0"/>
                <w:i w:val="0"/>
                <w:color w:val="212121"/>
                <w:sz w:val="16"/>
              </w:rPr>
              <w:t>Mood, anxiety, coping, suicidal ideation</w:t>
            </w:r>
          </w:p>
        </w:tc>
        <w:tc>
          <w:tcPr>
            <w:tcW w:type="dxa" w:w="950"/>
            <w:vAlign w:val="top"/>
          </w:tcPr>
          <w:p>
            <w:pPr>
              <w:spacing w:after="40" w:before="0" w:line="259" w:lineRule="auto"/>
            </w:pPr>
            <w:r>
              <w:rPr>
                <w:rFonts w:ascii="Calibri" w:hAnsi="Calibri"/>
                <w:b w:val="0"/>
                <w:i w:val="0"/>
                <w:color w:val="212121"/>
                <w:sz w:val="16"/>
              </w:rPr>
              <w:t>No significant distress</w:t>
            </w:r>
          </w:p>
        </w:tc>
        <w:tc>
          <w:tcPr>
            <w:tcW w:type="dxa" w:w="950"/>
            <w:vAlign w:val="top"/>
          </w:tcPr>
          <w:p>
            <w:pPr>
              <w:spacing w:after="40" w:before="0" w:line="259" w:lineRule="auto"/>
            </w:pPr>
            <w:r>
              <w:rPr>
                <w:rFonts w:ascii="Calibri" w:hAnsi="Calibri"/>
                <w:b w:val="0"/>
                <w:i w:val="0"/>
                <w:color w:val="212121"/>
                <w:sz w:val="16"/>
              </w:rPr>
              <w:t>Depression, anxiety or PTSD features</w:t>
            </w:r>
          </w:p>
        </w:tc>
        <w:tc>
          <w:tcPr>
            <w:tcW w:type="dxa" w:w="1036"/>
            <w:vAlign w:val="top"/>
          </w:tcPr>
          <w:p>
            <w:pPr>
              <w:spacing w:after="40" w:before="0" w:line="259" w:lineRule="auto"/>
            </w:pPr>
            <w:r>
              <w:rPr>
                <w:rFonts w:ascii="Calibri" w:hAnsi="Calibri"/>
                <w:b w:val="0"/>
                <w:i w:val="0"/>
                <w:color w:val="212121"/>
                <w:sz w:val="16"/>
              </w:rPr>
              <w:t>HG carries a strong bidirectional psychiatric burden</w:t>
            </w:r>
          </w:p>
        </w:tc>
        <w:tc>
          <w:tcPr>
            <w:tcW w:type="dxa" w:w="1036"/>
            <w:vAlign w:val="top"/>
          </w:tcPr>
          <w:p>
            <w:pPr>
              <w:spacing w:after="40" w:before="0" w:line="259" w:lineRule="auto"/>
            </w:pPr>
            <w:r>
              <w:rPr>
                <w:rFonts w:ascii="Calibri" w:hAnsi="Calibri"/>
                <w:b w:val="0"/>
                <w:i w:val="0"/>
                <w:color w:val="212121"/>
                <w:sz w:val="16"/>
              </w:rPr>
              <w:t>Recurrent or prolonged HG</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Offer psychological support and follow-up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Continuous, often all-day nausea (not just "morning" sickness) that is difficult to relieve.</w:t>
            </w:r>
          </w:p>
        </w:tc>
      </w:tr>
      <w:tr>
        <w:trPr>
          <w:cantSplit/>
        </w:trPr>
        <w:tc>
          <w:tcPr>
            <w:tcW w:type="dxa" w:w="2304"/>
            <w:vAlign w:val="top"/>
          </w:tcPr>
          <w:p>
            <w:pPr>
              <w:spacing w:after="40" w:before="0" w:line="259" w:lineRule="auto"/>
            </w:pPr>
            <w:r>
              <w:rPr>
                <w:rFonts w:ascii="Calibri" w:hAnsi="Calibri"/>
                <w:b/>
                <w:i w:val="0"/>
                <w:color w:val="212121"/>
                <w:sz w:val="19"/>
              </w:rPr>
              <w:t>Recurrent, intractable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vomiting (often more than 3-4 times daily) that prevents adequate intake.</w:t>
            </w:r>
          </w:p>
        </w:tc>
      </w:tr>
      <w:tr>
        <w:trPr>
          <w:cantSplit/>
        </w:trPr>
        <w:tc>
          <w:tcPr>
            <w:tcW w:type="dxa" w:w="2304"/>
            <w:vAlign w:val="top"/>
          </w:tcPr>
          <w:p>
            <w:pPr>
              <w:spacing w:after="40" w:before="0" w:line="259" w:lineRule="auto"/>
            </w:pPr>
            <w:r>
              <w:rPr>
                <w:rFonts w:ascii="Calibri" w:hAnsi="Calibri"/>
                <w:b/>
                <w:i w:val="0"/>
                <w:color w:val="212121"/>
                <w:sz w:val="19"/>
              </w:rPr>
              <w:t>Retching / dry heaving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retching even when the stomach is empty.</w:t>
            </w:r>
          </w:p>
        </w:tc>
      </w:tr>
      <w:tr>
        <w:trPr>
          <w:cantSplit/>
        </w:trPr>
        <w:tc>
          <w:tcPr>
            <w:tcW w:type="dxa" w:w="2304"/>
            <w:vAlign w:val="top"/>
          </w:tcPr>
          <w:p>
            <w:pPr>
              <w:spacing w:after="40" w:before="0" w:line="259" w:lineRule="auto"/>
            </w:pPr>
            <w:r>
              <w:rPr>
                <w:rFonts w:ascii="Calibri" w:hAnsi="Calibri"/>
                <w:b/>
                <w:i w:val="0"/>
                <w:color w:val="212121"/>
                <w:sz w:val="19"/>
              </w:rPr>
              <w:t>Inability to keep down food or fluids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Everything taken orally is vomited, leading to dehydration and weight loss.</w:t>
            </w:r>
          </w:p>
        </w:tc>
      </w:tr>
      <w:tr>
        <w:trPr>
          <w:cantSplit/>
        </w:trPr>
        <w:tc>
          <w:tcPr>
            <w:tcW w:type="dxa" w:w="2304"/>
            <w:vAlign w:val="top"/>
          </w:tcPr>
          <w:p>
            <w:pPr>
              <w:spacing w:after="40" w:before="0" w:line="259" w:lineRule="auto"/>
            </w:pPr>
            <w:r>
              <w:rPr>
                <w:rFonts w:ascii="Calibri" w:hAnsi="Calibri"/>
                <w:b/>
                <w:i w:val="0"/>
                <w:color w:val="212121"/>
                <w:sz w:val="19"/>
              </w:rPr>
              <w:t>Excessive salivation (ptyalism)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Profuse spitting of saliva that cannot be swallowed - a distressing feature reported commonly in Asian/Indian women.</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 5% of pre-pregnancy body weight from reduced intake and catabolism.</w:t>
            </w:r>
          </w:p>
        </w:tc>
      </w:tr>
      <w:tr>
        <w:trPr>
          <w:cantSplit/>
        </w:trPr>
        <w:tc>
          <w:tcPr>
            <w:tcW w:type="dxa" w:w="2304"/>
            <w:vAlign w:val="top"/>
          </w:tcPr>
          <w:p>
            <w:pPr>
              <w:spacing w:after="40" w:before="0" w:line="259" w:lineRule="auto"/>
            </w:pPr>
            <w:r>
              <w:rPr>
                <w:rFonts w:ascii="Calibri" w:hAnsi="Calibri"/>
                <w:b/>
                <w:i w:val="0"/>
                <w:color w:val="212121"/>
                <w:sz w:val="19"/>
              </w:rPr>
              <w:t>Food and odour aversions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Strong aversion to particular foods and smells (cooking, spices, incense, perfume) that trigger vomiting.</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Postural dizziness from dehydration and low blood pressure.</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Exhaustion from poor nutrition, disturbed sleep and repeated vomiting.</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related to dehydration and reduced intake.</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dehydration, reduced intake and reduced gut motility.</w:t>
            </w:r>
          </w:p>
        </w:tc>
      </w:tr>
      <w:tr>
        <w:trPr>
          <w:cantSplit/>
        </w:trPr>
        <w:tc>
          <w:tcPr>
            <w:tcW w:type="dxa" w:w="2304"/>
            <w:vAlign w:val="top"/>
          </w:tcPr>
          <w:p>
            <w:pPr>
              <w:spacing w:after="40" w:before="0" w:line="259" w:lineRule="auto"/>
            </w:pPr>
            <w:r>
              <w:rPr>
                <w:rFonts w:ascii="Calibri" w:hAnsi="Calibri"/>
                <w:b/>
                <w:i w:val="0"/>
                <w:color w:val="212121"/>
                <w:sz w:val="19"/>
              </w:rPr>
              <w:t>Heightened sense of smell (hyperolfaction)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Intensified smell perception that provokes nausea.</w:t>
            </w:r>
          </w:p>
        </w:tc>
      </w:tr>
      <w:tr>
        <w:trPr>
          <w:cantSplit/>
        </w:trPr>
        <w:tc>
          <w:tcPr>
            <w:tcW w:type="dxa" w:w="2304"/>
            <w:vAlign w:val="top"/>
          </w:tcPr>
          <w:p>
            <w:pPr>
              <w:spacing w:after="40" w:before="0" w:line="259" w:lineRule="auto"/>
            </w:pPr>
            <w:r>
              <w:rPr>
                <w:rFonts w:ascii="Calibri" w:hAnsi="Calibri"/>
                <w:b/>
                <w:i w:val="0"/>
                <w:color w:val="212121"/>
                <w:sz w:val="19"/>
              </w:rPr>
              <w:t>Confusion or visual disturbance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thiamine-deficiency Wernicke's encephalopathy - a neurological emergency.</w:t>
            </w:r>
          </w:p>
        </w:tc>
      </w:tr>
      <w:tr>
        <w:trPr>
          <w:cantSplit/>
        </w:trPr>
        <w:tc>
          <w:tcPr>
            <w:tcW w:type="dxa" w:w="2304"/>
            <w:vAlign w:val="top"/>
          </w:tcPr>
          <w:p>
            <w:pPr>
              <w:spacing w:after="40" w:before="0" w:line="259" w:lineRule="auto"/>
            </w:pPr>
            <w:r>
              <w:rPr>
                <w:rFonts w:ascii="Calibri" w:hAnsi="Calibri"/>
                <w:b/>
                <w:i w:val="0"/>
                <w:color w:val="212121"/>
                <w:sz w:val="19"/>
              </w:rPr>
              <w:t>Vomiting blood (haematemesis)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Usually from a Mallory-Weiss mucosal tear caused by forceful, repeated vomiting.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Dry mucous membranes and reduced skin turgor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signs of dehydration and fluid depletion.</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rise in heart rate due to hypovolaemia.</w:t>
            </w:r>
          </w:p>
        </w:tc>
      </w:tr>
      <w:tr>
        <w:trPr>
          <w:cantSplit/>
        </w:trPr>
        <w:tc>
          <w:tcPr>
            <w:tcW w:type="dxa" w:w="3456"/>
            <w:vAlign w:val="top"/>
          </w:tcPr>
          <w:p>
            <w:pPr>
              <w:spacing w:after="40" w:before="0" w:line="259" w:lineRule="auto"/>
            </w:pPr>
            <w:r>
              <w:rPr>
                <w:rFonts w:ascii="Calibri" w:hAnsi="Calibri"/>
                <w:b/>
                <w:i w:val="0"/>
                <w:color w:val="212121"/>
                <w:sz w:val="19"/>
              </w:rPr>
              <w:t>Postural (orthostatic) hypotension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Drop in blood pressure on standing from volume depletion.</w:t>
            </w:r>
          </w:p>
        </w:tc>
      </w:tr>
      <w:tr>
        <w:trPr>
          <w:cantSplit/>
        </w:trPr>
        <w:tc>
          <w:tcPr>
            <w:tcW w:type="dxa" w:w="3456"/>
            <w:vAlign w:val="top"/>
          </w:tcPr>
          <w:p>
            <w:pPr>
              <w:spacing w:after="40" w:before="0" w:line="259" w:lineRule="auto"/>
            </w:pPr>
            <w:r>
              <w:rPr>
                <w:rFonts w:ascii="Calibri" w:hAnsi="Calibri"/>
                <w:b/>
                <w:i w:val="0"/>
                <w:color w:val="212121"/>
                <w:sz w:val="19"/>
              </w:rPr>
              <w:t>Documented weight loss / low BMI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loss of ≥ 5% pre-pregnancy weight on serial measurement.</w:t>
            </w:r>
          </w:p>
        </w:tc>
      </w:tr>
      <w:tr>
        <w:trPr>
          <w:cantSplit/>
        </w:trPr>
        <w:tc>
          <w:tcPr>
            <w:tcW w:type="dxa" w:w="3456"/>
            <w:vAlign w:val="top"/>
          </w:tcPr>
          <w:p>
            <w:pPr>
              <w:spacing w:after="40" w:before="0" w:line="259" w:lineRule="auto"/>
            </w:pPr>
            <w:r>
              <w:rPr>
                <w:rFonts w:ascii="Calibri" w:hAnsi="Calibri"/>
                <w:b/>
                <w:i w:val="0"/>
                <w:color w:val="212121"/>
                <w:sz w:val="19"/>
              </w:rPr>
              <w:t>Ketonuria on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Ketones in urine reflecting a catabolic starvation state.</w:t>
            </w:r>
          </w:p>
        </w:tc>
      </w:tr>
      <w:tr>
        <w:trPr>
          <w:cantSplit/>
        </w:trPr>
        <w:tc>
          <w:tcPr>
            <w:tcW w:type="dxa" w:w="3456"/>
            <w:vAlign w:val="top"/>
          </w:tcPr>
          <w:p>
            <w:pPr>
              <w:spacing w:after="40" w:before="0" w:line="259" w:lineRule="auto"/>
            </w:pPr>
            <w:r>
              <w:rPr>
                <w:rFonts w:ascii="Calibri" w:hAnsi="Calibri"/>
                <w:b/>
                <w:i w:val="0"/>
                <w:color w:val="212121"/>
                <w:sz w:val="19"/>
              </w:rPr>
              <w:t>Concentrated, scanty (dark) urine / oliguria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concentrated output indicating dehydration.</w:t>
            </w:r>
          </w:p>
        </w:tc>
      </w:tr>
      <w:tr>
        <w:trPr>
          <w:cantSplit/>
        </w:trPr>
        <w:tc>
          <w:tcPr>
            <w:tcW w:type="dxa" w:w="3456"/>
            <w:vAlign w:val="top"/>
          </w:tcPr>
          <w:p>
            <w:pPr>
              <w:spacing w:after="40" w:before="0" w:line="259" w:lineRule="auto"/>
            </w:pPr>
            <w:r>
              <w:rPr>
                <w:rFonts w:ascii="Calibri" w:hAnsi="Calibri"/>
                <w:b/>
                <w:i w:val="0"/>
                <w:color w:val="212121"/>
                <w:sz w:val="19"/>
              </w:rPr>
              <w:t>Ketotic (fruity) breath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Odour of ketosis from fat metabolism during starvation.</w:t>
            </w:r>
          </w:p>
        </w:tc>
      </w:tr>
      <w:tr>
        <w:trPr>
          <w:cantSplit/>
        </w:trPr>
        <w:tc>
          <w:tcPr>
            <w:tcW w:type="dxa" w:w="3456"/>
            <w:vAlign w:val="top"/>
          </w:tcPr>
          <w:p>
            <w:pPr>
              <w:spacing w:after="40" w:before="0" w:line="259" w:lineRule="auto"/>
            </w:pPr>
            <w:r>
              <w:rPr>
                <w:rFonts w:ascii="Calibri" w:hAnsi="Calibri"/>
                <w:b/>
                <w:i w:val="0"/>
                <w:color w:val="212121"/>
                <w:sz w:val="19"/>
              </w:rPr>
              <w:t>Sunken eyes and dry skin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Features of more advanced dehydration.</w:t>
            </w:r>
          </w:p>
        </w:tc>
      </w:tr>
      <w:tr>
        <w:trPr>
          <w:cantSplit/>
        </w:trPr>
        <w:tc>
          <w:tcPr>
            <w:tcW w:type="dxa" w:w="3456"/>
            <w:vAlign w:val="top"/>
          </w:tcPr>
          <w:p>
            <w:pPr>
              <w:spacing w:after="40" w:before="0" w:line="259" w:lineRule="auto"/>
            </w:pPr>
            <w:r>
              <w:rPr>
                <w:rFonts w:ascii="Calibri" w:hAnsi="Calibri"/>
                <w:b/>
                <w:i w:val="0"/>
                <w:color w:val="212121"/>
                <w:sz w:val="19"/>
              </w:rPr>
              <w:t>Temporal / 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wasting in prolonged, poorly controlled HG.</w:t>
            </w:r>
          </w:p>
        </w:tc>
      </w:tr>
      <w:tr>
        <w:trPr>
          <w:cantSplit/>
        </w:trPr>
        <w:tc>
          <w:tcPr>
            <w:tcW w:type="dxa" w:w="3456"/>
            <w:vAlign w:val="top"/>
          </w:tcPr>
          <w:p>
            <w:pPr>
              <w:spacing w:after="40" w:before="0" w:line="259" w:lineRule="auto"/>
            </w:pPr>
            <w:r>
              <w:rPr>
                <w:rFonts w:ascii="Calibri" w:hAnsi="Calibri"/>
                <w:b/>
                <w:i w:val="0"/>
                <w:color w:val="212121"/>
                <w:sz w:val="19"/>
              </w:rPr>
              <w:t>Signs of thyrotoxicosis (fine tremor, tachycardia, rarely goitre)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hCG-mediated gestational transient thyrotoxicosis.</w:t>
            </w:r>
          </w:p>
        </w:tc>
      </w:tr>
      <w:tr>
        <w:trPr>
          <w:cantSplit/>
        </w:trPr>
        <w:tc>
          <w:tcPr>
            <w:tcW w:type="dxa" w:w="3456"/>
            <w:vAlign w:val="top"/>
          </w:tcPr>
          <w:p>
            <w:pPr>
              <w:spacing w:after="40" w:before="0" w:line="259" w:lineRule="auto"/>
            </w:pPr>
            <w:r>
              <w:rPr>
                <w:rFonts w:ascii="Calibri" w:hAnsi="Calibri"/>
                <w:b/>
                <w:i w:val="0"/>
                <w:color w:val="212121"/>
                <w:sz w:val="19"/>
              </w:rPr>
              <w:t>Nystagmus, ataxia and altered mental state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Wernicke's encephalopathy triad from thiamine deficiency - requires urgent thiamine.</w:t>
            </w:r>
          </w:p>
        </w:tc>
      </w:tr>
      <w:tr>
        <w:trPr>
          <w:cantSplit/>
        </w:trPr>
        <w:tc>
          <w:tcPr>
            <w:tcW w:type="dxa" w:w="3456"/>
            <w:vAlign w:val="top"/>
          </w:tcPr>
          <w:p>
            <w:pPr>
              <w:spacing w:after="40" w:before="0" w:line="259" w:lineRule="auto"/>
            </w:pPr>
            <w:r>
              <w:rPr>
                <w:rFonts w:ascii="Calibri" w:hAnsi="Calibri"/>
                <w:b/>
                <w:i w:val="0"/>
                <w:color w:val="212121"/>
                <w:sz w:val="19"/>
              </w:rPr>
              <w:t>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Mild jaundice from transient cholestasis/hepatic dysfunction in severe HG.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hypovolaemia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Electrolyte imbalance - hypokalaemia and 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Hypochloraemic metabolic alkalosis (from loss of gastric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Ketosis and a catabolic starvation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weight loss (≥ 5% of pre-pregnancy weight)</w:t>
            </w:r>
          </w:p>
        </w:tc>
        <w:tc>
          <w:tcPr>
            <w:tcW w:type="dxa" w:w="2980"/>
            <w:vAlign w:val="top"/>
          </w:tcPr>
          <w:p>
            <w:pPr>
              <w:spacing w:after="40" w:before="0" w:line="259" w:lineRule="auto"/>
            </w:pPr>
            <w:r>
              <w:rPr>
                <w:rFonts w:ascii="Calibri" w:hAnsi="Calibri"/>
                <w:b w:val="0"/>
                <w:i w:val="0"/>
                <w:color w:val="212121"/>
                <w:sz w:val="19"/>
              </w:rPr>
              <w:t>Direct fluid, electrolyte and metabolic derangements from persistent vomiting and reduced intake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Wernicke's encephalopathy from thiamine (vitamin B1)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Vitamin-K-deficiency coagulopathy and vitamin B6/B12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Mallory-Weiss tear and haematemesis; oesophagitis/reflux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Gestational transient thyrotoxicosis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hepatic dysfunction (transaminitis, mild jaundice)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(pre-renal)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(dehydration plus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 erosion from repeated acid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Refeeding syndrome and osmotic demyelination during over-rapid correction</w:t>
            </w:r>
          </w:p>
        </w:tc>
        <w:tc>
          <w:tcPr>
            <w:tcW w:type="dxa" w:w="2980"/>
            <w:vAlign w:val="top"/>
          </w:tcPr>
          <w:p>
            <w:pPr>
              <w:spacing w:after="40" w:before="0" w:line="259" w:lineRule="auto"/>
            </w:pPr>
            <w:r>
              <w:rPr>
                <w:rFonts w:ascii="Calibri" w:hAnsi="Calibri"/>
                <w:b w:val="0"/>
                <w:i w:val="0"/>
                <w:color w:val="212121"/>
                <w:sz w:val="19"/>
              </w:rPr>
              <w:t>Consequences of prolonged vomiting, micronutrient depletion and, at times, of treatment itself</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Korsakoff psychosis and permanent neurological deficit after untreated Wernicke's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psychological sequelae - depression, anxiety and PTSD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termination for intractable, unbearable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growth restriction / small-for-gestational-age and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 birth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maternal death from metabolic or neurological catastrophe</w:t>
            </w:r>
          </w:p>
        </w:tc>
        <w:tc>
          <w:tcPr>
            <w:tcW w:type="dxa" w:w="2980"/>
            <w:vAlign w:val="top"/>
          </w:tcPr>
          <w:p>
            <w:pPr>
              <w:spacing w:after="40" w:before="0" w:line="259" w:lineRule="auto"/>
            </w:pPr>
            <w:r>
              <w:rPr>
                <w:rFonts w:ascii="Calibri" w:hAnsi="Calibri"/>
                <w:b w:val="0"/>
                <w:i w:val="0"/>
                <w:color w:val="212121"/>
                <w:sz w:val="19"/>
              </w:rPr>
              <w:t>Irreversible or long-term maternal and fetal outcomes of severe, poorly 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Gestational transient thyrotoxicosis / hyperthyroidism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hCG weakly stimulates the TSH receptor, so a large share of women with HG show suppressed TSH and raised free T4; usually self-limiting and resolving by ~20 weeks, but must be distinguished from Graves' disease.</w:t>
            </w:r>
          </w:p>
          <w:p>
            <w:pPr>
              <w:spacing w:after="40" w:before="0" w:line="259" w:lineRule="auto"/>
            </w:pPr>
            <w:r>
              <w:rPr>
                <w:rFonts w:ascii="Calibri" w:hAnsi="Calibri"/>
                <w:b/>
                <w:i w:val="0"/>
                <w:color w:val="212121"/>
                <w:sz w:val="19"/>
              </w:rPr>
              <w:t>One-third to two-thirds (biochemical)</w:t>
            </w:r>
          </w:p>
        </w:tc>
      </w:tr>
      <w:tr>
        <w:trPr>
          <w:cantSplit/>
        </w:trPr>
        <w:tc>
          <w:tcPr>
            <w:tcW w:type="dxa" w:w="2232"/>
            <w:vAlign w:val="top"/>
          </w:tcPr>
          <w:p>
            <w:pPr>
              <w:spacing w:after="40" w:before="0" w:line="259" w:lineRule="auto"/>
            </w:pPr>
            <w:r>
              <w:rPr>
                <w:rFonts w:ascii="Calibri" w:hAnsi="Calibri"/>
                <w:b/>
                <w:i w:val="0"/>
                <w:color w:val="212121"/>
                <w:sz w:val="19"/>
              </w:rPr>
              <w:t>Helicobacter pylori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gastric H. pylori infection is associated with higher odds of HG and is common in Indian communities; eradication is usually deferred to after delivery.</w:t>
            </w:r>
          </w:p>
          <w:p>
            <w:pPr>
              <w:spacing w:after="40" w:before="0" w:line="259" w:lineRule="auto"/>
            </w:pPr>
            <w:r>
              <w:rPr>
                <w:rFonts w:ascii="Calibri" w:hAnsi="Calibri"/>
                <w:b/>
                <w:i w:val="0"/>
                <w:color w:val="212121"/>
                <w:sz w:val="19"/>
              </w:rPr>
              <w:t>Pooled OR ~1.35</w:t>
            </w:r>
          </w:p>
        </w:tc>
      </w:tr>
      <w:tr>
        <w:trPr>
          <w:cantSplit/>
        </w:trPr>
        <w:tc>
          <w:tcPr>
            <w:tcW w:type="dxa" w:w="2232"/>
            <w:vAlign w:val="top"/>
          </w:tcPr>
          <w:p>
            <w:pPr>
              <w:spacing w:after="40" w:before="0" w:line="259" w:lineRule="auto"/>
            </w:pPr>
            <w:r>
              <w:rPr>
                <w:rFonts w:ascii="Calibri" w:hAnsi="Calibri"/>
                <w:b/>
                <w:i w:val="0"/>
                <w:color w:val="212121"/>
                <w:sz w:val="19"/>
              </w:rPr>
              <w:t>Depression, anxiety and PTSD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 bidirectional relationship; prolonged distressing vomiting and repeated admissions worsen mood and can generate PTSD, while pre-existing anxiety amplifies symptoms.</w:t>
            </w:r>
          </w:p>
          <w:p>
            <w:pPr>
              <w:spacing w:after="40" w:before="0" w:line="259" w:lineRule="auto"/>
            </w:pPr>
            <w:r>
              <w:rPr>
                <w:rFonts w:ascii="Calibri" w:hAnsi="Calibri"/>
                <w:b/>
                <w:i w:val="0"/>
                <w:color w:val="212121"/>
                <w:sz w:val="19"/>
              </w:rPr>
              <w:t>Up to ~57% (comorbid depression/anxiety)</w:t>
            </w:r>
          </w:p>
        </w:tc>
      </w:tr>
      <w:tr>
        <w:trPr>
          <w:cantSplit/>
        </w:trPr>
        <w:tc>
          <w:tcPr>
            <w:tcW w:type="dxa" w:w="2232"/>
            <w:vAlign w:val="top"/>
          </w:tcPr>
          <w:p>
            <w:pPr>
              <w:spacing w:after="40" w:before="0" w:line="259" w:lineRule="auto"/>
            </w:pPr>
            <w:r>
              <w:rPr>
                <w:rFonts w:ascii="Calibri" w:hAnsi="Calibri"/>
                <w:b/>
                <w:i w:val="0"/>
                <w:color w:val="212121"/>
                <w:sz w:val="19"/>
              </w:rPr>
              <w:t>Wernicke's encephalopathy (thiamine deficiency)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preventable neurological emergency from B1 depletion during prolonged vomiting; risk is heightened by thiamine-poor Indian diets and by giving dextrose before thiamine.</w:t>
            </w:r>
          </w:p>
        </w:tc>
      </w:tr>
      <w:tr>
        <w:trPr>
          <w:cantSplit/>
        </w:trPr>
        <w:tc>
          <w:tcPr>
            <w:tcW w:type="dxa" w:w="2232"/>
            <w:vAlign w:val="top"/>
          </w:tcPr>
          <w:p>
            <w:pPr>
              <w:spacing w:after="40" w:before="0" w:line="259" w:lineRule="auto"/>
            </w:pPr>
            <w:r>
              <w:rPr>
                <w:rFonts w:ascii="Calibri" w:hAnsi="Calibri"/>
                <w:b/>
                <w:i w:val="0"/>
                <w:color w:val="212121"/>
                <w:sz w:val="19"/>
              </w:rPr>
              <w:t>Transient hepatic dysfunction (transaminitis)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Raised transaminases and mild jaundice occur in up to about half of severe HG and resolve with treatment; other pregnancy liver disease must be excluded.</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Multiple gestation &amp; gestational trophoblastic disease (molar pregnancy)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high hCG in twins/triplets and hydatidiform mole strongly provokes HG; unusually severe HG warrants ultrasound to exclude a mole.</w:t>
            </w:r>
          </w:p>
        </w:tc>
      </w:tr>
      <w:tr>
        <w:trPr>
          <w:cantSplit/>
        </w:trPr>
        <w:tc>
          <w:tcPr>
            <w:tcW w:type="dxa" w:w="2232"/>
            <w:vAlign w:val="top"/>
          </w:tcPr>
          <w:p>
            <w:pPr>
              <w:spacing w:after="40" w:before="0" w:line="259" w:lineRule="auto"/>
            </w:pPr>
            <w:r>
              <w:rPr>
                <w:rFonts w:ascii="Calibri" w:hAnsi="Calibri"/>
                <w:b/>
                <w:i w:val="0"/>
                <w:color w:val="212121"/>
                <w:sz w:val="19"/>
              </w:rPr>
              <w:t>Anaemia and micronutrient deficiency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On the high-anaemia, undernourished Indian background, reduced intake and vomiting deepen iron, folate and vitamin deficiencies, worsening fatigue and recovery.</w:t>
            </w:r>
          </w:p>
        </w:tc>
      </w:tr>
      <w:tr>
        <w:trPr>
          <w:cantSplit/>
        </w:trPr>
        <w:tc>
          <w:tcPr>
            <w:tcW w:type="dxa" w:w="2232"/>
            <w:vAlign w:val="top"/>
          </w:tcPr>
          <w:p>
            <w:pPr>
              <w:spacing w:after="40" w:before="0" w:line="259" w:lineRule="auto"/>
            </w:pPr>
            <w:r>
              <w:rPr>
                <w:rFonts w:ascii="Calibri" w:hAnsi="Calibri"/>
                <w:b/>
                <w:i w:val="0"/>
                <w:color w:val="212121"/>
                <w:sz w:val="19"/>
              </w:rPr>
              <w:t>Venous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Dehydration, haemoconcentration and immobility during severe HG raise thrombosis risk, sometimes warranting thromboprophylaxis in hospitalised women.</w:t>
            </w:r>
          </w:p>
        </w:tc>
      </w:tr>
      <w:tr>
        <w:trPr>
          <w:cantSplit/>
        </w:trPr>
        <w:tc>
          <w:tcPr>
            <w:tcW w:type="dxa" w:w="2232"/>
            <w:vAlign w:val="top"/>
          </w:tcPr>
          <w:p>
            <w:pPr>
              <w:spacing w:after="40" w:before="0" w:line="259" w:lineRule="auto"/>
            </w:pPr>
            <w:r>
              <w:rPr>
                <w:rFonts w:ascii="Calibri" w:hAnsi="Calibri"/>
                <w:b/>
                <w:i w:val="0"/>
                <w:color w:val="212121"/>
                <w:sz w:val="19"/>
              </w:rPr>
              <w:t>Migraine / motion sickness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 shared nausea-vomiting susceptibility; a history of either predisposes to HG.</w:t>
            </w:r>
          </w:p>
        </w:tc>
      </w:tr>
      <w:tr>
        <w:trPr>
          <w:cantSplit/>
        </w:trPr>
        <w:tc>
          <w:tcPr>
            <w:tcW w:type="dxa" w:w="2232"/>
            <w:vAlign w:val="top"/>
          </w:tcPr>
          <w:p>
            <w:pPr>
              <w:spacing w:after="40" w:before="0" w:line="259" w:lineRule="auto"/>
            </w:pPr>
            <w:r>
              <w:rPr>
                <w:rFonts w:ascii="Calibri" w:hAnsi="Calibri"/>
                <w:b/>
                <w:i w:val="0"/>
                <w:color w:val="212121"/>
                <w:sz w:val="19"/>
              </w:rPr>
              <w:t>Adverse fetal outcomes (SGA, low birth weight, preterm birth)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Severe, poorly controlled HG with sustained undernutrition is associated with fetal growth restriction and preterm delivery, so nutritional rescue is a shared goal.</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all-day, persistent vomiting with inability to keep fluids down is not ordinary morning sickness and needs early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 dark or scanty urine, dizziness on standing, weight loss, and any confusion, unsteadiness or double vision (possible Wernicke's)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treatment early: simple antiemetics and rehydration prevent escalation to severe dehydration and hospital admission.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parenteral thiamine (vitamin B1) is given before any glucose/dextrose drip when vomiting has been prolonged, to prevent Wernicke's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peri-conceptional multivitamin and folic acid before and in early pregnancy, which is associated with a lower risk of 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HG in a previous pregnancy should plan ahead with their obstetrician, as recurrence risk is appreciable (~15-24%).</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Primigravida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multiple or molar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Rural/low-access antenatal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acute exacerbations and avoid known physical triggers such as sudden position changes.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Rise slowly from lying/sitting to limit postural dizziness, and stay upright for a while after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strict bed rest once rehydrated - gentle mobilisation lowers the venous thromboembolism risk that accompanies dehydration and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normal activity gradually as nausea, hydration and appetite recover.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HG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Dehydrated/immobile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recovering from an acute episode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bland, low-fat carbohydrate meals rather than large meals, and never let the stomach become completely empty.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dry carbohydrate snack (toast, plain khakhra, crackers or plain rice) to eat before getting out of bed in the morning.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solids and fluids - sip fluids between rather than with meals to reduce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oral rehydration solution / electrolyte drinks and cool, bland or cold foods, which are often better tolerated than hot, spicy or strongly-flavoured dishes.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Try ginger (for example ginger tea or ginger supplements) and vitamin B6 (pyridoxine), which reduce nausea in many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fatty, fried, very spicy and strong-smelling foods, and defer oral iron tablets until vomiting settles, as they aggravate nausea.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NVP/HG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on thiamine-poor polished-rice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Outpatients managing mild-moderate symptoms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as tiredness and poor sleep intensify nausea.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and rest when symptoms allow during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night-time reflux by not eating immediately before lying down and keeping the head slightly elevated.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activities to avoid the exhaustion that both results from and worsens vomiting.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Fatigued/sleep-deprived 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 cigarettes and smokeless/chewing tobacco (widely used in India) - which harm the pregnancy despite any incidental epidemiological association with lower 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supportive smoking-cessation counselling to women who use tobacco, integrated with antenatal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who use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exposed to household tobacco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from alcohol throughout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alcohol-based tonics or 'appetite' preparations sometimes used for nausea.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woman with significant or recurrent HG for depression, anxiety and PTSD, including any suicidal thoughts.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explanation that HG is a recognised medical condition that usually improves, and validate the distress it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and counselling, and involve the partner and family in care and practical support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 anxiety or depression appropriately in collaboration with mental-health services, using pregnancy-compatible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Connect women with peer-support resources and ensure structured follow-up after discharge.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or prolonged HG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prior or current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repeated hospital admissions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2917/" TargetMode="External"/><Relationship Id="rId10" Type="http://schemas.openxmlformats.org/officeDocument/2006/relationships/hyperlink" Target="https://medlineplus.gov/ency/article/001499.htm" TargetMode="External"/><Relationship Id="rId11" Type="http://schemas.openxmlformats.org/officeDocument/2006/relationships/hyperlink" Target="https://my.clevelandclinic.org/health/diseases/12232-hyperemesis-gravidarum" TargetMode="External"/><Relationship Id="rId12" Type="http://schemas.openxmlformats.org/officeDocument/2006/relationships/hyperlink" Target="https://pubmed.ncbi.nlm.nih.gov/34167385/" TargetMode="External"/><Relationship Id="rId13" Type="http://schemas.openxmlformats.org/officeDocument/2006/relationships/hyperlink" Target="https://pubmed.ncbi.nlm.nih.gov/31215137/" TargetMode="External"/><Relationship Id="rId14" Type="http://schemas.openxmlformats.org/officeDocument/2006/relationships/hyperlink" Target="https://pubmed.ncbi.nlm.nih.gov/10447009/" TargetMode="External"/><Relationship Id="rId15" Type="http://schemas.openxmlformats.org/officeDocument/2006/relationships/hyperlink" Target="https://pubmed.ncbi.nlm.nih.gov/29178407/" TargetMode="External"/><Relationship Id="rId16" Type="http://schemas.openxmlformats.org/officeDocument/2006/relationships/hyperlink" Target="https://pubmed.ncbi.nlm.nih.gov/25646155/" TargetMode="External"/><Relationship Id="rId17" Type="http://schemas.openxmlformats.org/officeDocument/2006/relationships/hyperlink" Target="https://pmc.ncbi.nlm.nih.gov/articles/PMC34105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