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Miscarriage / Spontaneous Abortion</w:t>
      </w:r>
    </w:p>
    <w:p>
      <w:pPr>
        <w:spacing w:before="0" w:after="160"/>
      </w:pPr>
      <w:r>
        <w:rPr>
          <w:rFonts w:ascii="Calibri" w:hAnsi="Calibri"/>
          <w:b/>
          <w:i w:val="0"/>
          <w:color w:val="212121"/>
          <w:sz w:val="22"/>
        </w:rPr>
        <w:t xml:space="preserve">AKA </w:t>
      </w:r>
      <w:r>
        <w:rPr>
          <w:rFonts w:ascii="Calibri" w:hAnsi="Calibri"/>
          <w:b w:val="0"/>
          <w:i w:val="0"/>
          <w:color w:val="212121"/>
          <w:sz w:val="22"/>
        </w:rPr>
        <w:t>i.e., Spontaneous abortion, Early pregnancy loss, Pregnancy loss, Garbhpat / Miscarriage; includes threatened, missed, incomplete, complete, inevitable, septic and recurrent (habitual) abortion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Miscarriage (spontaneous abortion) is the spontaneous loss of a clinically recognized intrauterine pregnancy before 20 completed weeks of gestation (or before a fetal weight of ~500 g), i.e., before the fetus is viable. The overwhelming majority occur in the first trimester (before 12–13 weeks), where about half result from chromosomal abnormalities of the conceptus. It is the commonest complication of early pregnancy and is classified clinically as threatened, inevitable, incomplete, complete, missed, septic or recurrent.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Miscarriage is the most common complication of early pregnancy. Worldwide the pooled risk is about 15% of all clinically recognized pregnancies, amounting to an estimated 23 million miscarriages every year (roughly 44 losses per minute). In India, self-reported miscarriage in the NFHS-5 (2019–21) calendar data affected about 4.9% of recent pregnancies; the true biological rate (~10–15%) is higher because many very early losses go unrecognized or unreported. Risk is lowest around maternal age 25–29 (~10%) and rises steeply with age to over 50% by age 45.</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Miscarriage is diagnosed by combining the clinical picture (bleeding/pain with a positive pregnancy test at &lt;20 weeks), transvaginal ultrasound and, where needed, serial serum beta-hCG. Definitive diagnosis of early pregnancy failure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presentation: per-vaginal bleeding and/or cramping lower-abdominal pain in a woman with a positive urine/serum pregnancy test and gestation &lt;20 weeks; speculum and bimanual examination to determine whether the cervical os is closed or open and whether products of conception (POC) are present;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Transvaginal ultrasound diagnostic of pregnancy failure: crown–rump length (CRL) ≥ 7 mm with NO fetal cardiac activity; OR mean gestational sac diameter (MSD) ≥ 25 mm with NO embryo; OR absence of an embryo with heartbeat ≥ 2 weeks after a scan that showed a gestational sac without a yolk sac (or ≥ 11 days after a sac with a yolk sac);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Serial serum beta-hCG: no single value is diagnostic, but a sub-optimal rise or a fall over 48–72 hours supports a failing pregnancy; used together with ultrasound to exclude ectopic pregnancy when the pregnancy is of unknown location;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Confirmation of gestational age (LMP and/or early ultrasound), blood group and Rh(D) typing, and haemoglobin/CBC to quantify blood loss and identify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For recurrent pregnancy loss (≥ 2–3 losses): additional evaluation — parental karyotype, antiphospholipid antibodies (lupus anticoagulant, anticardiolipin, anti-β2-glycoprotein-1), thyroid function ± TPO antibodies, and assessment of the uterine cavity.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Spontaneous abortion is classified clinically according to whether the pregnancy is still potentially viable, the state of the cervical os, and whether products of conception have been expelled:</w:t>
      </w:r>
    </w:p>
    <w:p>
      <w:pPr>
        <w:spacing w:before="0" w:after="80"/>
      </w:pPr>
      <w:r>
        <w:rPr>
          <w:rFonts w:ascii="Calibri" w:hAnsi="Calibri"/>
          <w:b w:val="0"/>
          <w:i w:val="0"/>
          <w:color w:val="212121"/>
          <w:sz w:val="21"/>
        </w:rPr>
        <w:t>(1) Threatened abortion — per-vaginal bleeding before 20 weeks with a CLOSED cervical os and a viable intrauterine pregnancy; roughly half proceed to ongoing pregnancy;</w:t>
      </w:r>
    </w:p>
    <w:p>
      <w:pPr>
        <w:spacing w:before="0" w:after="80"/>
      </w:pPr>
      <w:r>
        <w:rPr>
          <w:rFonts w:ascii="Calibri" w:hAnsi="Calibri"/>
          <w:b w:val="0"/>
          <w:i w:val="0"/>
          <w:color w:val="212121"/>
          <w:sz w:val="21"/>
        </w:rPr>
        <w:t>(2) Inevitable abortion — bleeding with a DILATED (open) cervix and/or ruptured membranes before viability, where loss can no longer be prevented;</w:t>
      </w:r>
    </w:p>
    <w:p>
      <w:pPr>
        <w:spacing w:before="0" w:after="80"/>
      </w:pPr>
      <w:r>
        <w:rPr>
          <w:rFonts w:ascii="Calibri" w:hAnsi="Calibri"/>
          <w:b w:val="0"/>
          <w:i w:val="0"/>
          <w:color w:val="212121"/>
          <w:sz w:val="21"/>
        </w:rPr>
        <w:t>(3) Incomplete abortion — the cervix is open and SOME products of conception have been expelled while some are retained, typically with ongoing bleeding and cramping;</w:t>
      </w:r>
    </w:p>
    <w:p>
      <w:pPr>
        <w:spacing w:before="0" w:after="80"/>
      </w:pPr>
      <w:r>
        <w:rPr>
          <w:rFonts w:ascii="Calibri" w:hAnsi="Calibri"/>
          <w:b w:val="0"/>
          <w:i w:val="0"/>
          <w:color w:val="212121"/>
          <w:sz w:val="21"/>
        </w:rPr>
        <w:t>(4) Complete abortion — ALL products of conception have passed and the cervix has closed, with settling bleeding and an empty uterus on ultrasound;</w:t>
      </w:r>
    </w:p>
    <w:p>
      <w:pPr>
        <w:spacing w:before="0" w:after="80"/>
      </w:pPr>
      <w:r>
        <w:rPr>
          <w:rFonts w:ascii="Calibri" w:hAnsi="Calibri"/>
          <w:b w:val="0"/>
          <w:i w:val="0"/>
          <w:color w:val="212121"/>
          <w:sz w:val="21"/>
        </w:rPr>
        <w:t>(5) Missed (silent) abortion — confirmed embryonic/fetal demise with a CLOSED cervix and no expulsion of tissue; often asymptomatic, detected when pregnancy symptoms wane or on scan (includes anembryonic pregnancy / ‘blighted ovum’);</w:t>
      </w:r>
    </w:p>
    <w:p>
      <w:pPr>
        <w:spacing w:before="0" w:after="80"/>
      </w:pPr>
      <w:r>
        <w:rPr>
          <w:rFonts w:ascii="Calibri" w:hAnsi="Calibri"/>
          <w:b w:val="0"/>
          <w:i w:val="0"/>
          <w:color w:val="212121"/>
          <w:sz w:val="21"/>
        </w:rPr>
        <w:t>(6) Septic abortion — miscarriage (frequently after an unsafe or incomplete abortion) complicated by uterine/pelvic infection with fever, pain and foul discharge — an obstetric emergency and an important cause of maternal death in low-resource settings;</w:t>
      </w:r>
    </w:p>
    <w:p>
      <w:pPr>
        <w:spacing w:before="0" w:after="80"/>
      </w:pPr>
      <w:r>
        <w:rPr>
          <w:rFonts w:ascii="Calibri" w:hAnsi="Calibri"/>
          <w:b w:val="0"/>
          <w:i w:val="0"/>
          <w:color w:val="212121"/>
          <w:sz w:val="21"/>
        </w:rPr>
        <w:t>(7) Recurrent (habitual) abortion — ≥ 2 (ASRM) to 3 consecutive spontaneous losses, warranting investigation. Losses are also grouped by gestation into early (first-trimester, &lt;12–13 weeks) and late/mid-trimester (13–20 weeks, more often due to cervical insufficiency, uterine anomalies or infection).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Fetal chromosomal abnormalities: sporadic aneuploidy (autosomal trisomies, monosomy X, triploidy/polyploidy) is the single commonest cause of first-trimester loss, accounting for about half of early miscarriages; most are random events that rise with maternal age.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Advanced maternal (and paternal) age: age-related decline in oocyte quality increases aneuploidy and loss; very young maternal age (&lt;20 years) and older paternal age (&gt;40 years) also carry higher risk.</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Maternal endocrine/metabolic disorders: poorly controlled pre-gestational diabetes, thyroid dysfunction (overt/subclinical hypothyroidism, thyroid autoimmunity) and PCOS impair implantation and early pregnancy maintenance.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Antiphospholipid syndrome and inherited thrombophilias: autoantibodies and hypercoagulability cause placental thrombosis/insufficiency and are important, treatable causes of recurrent loss.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Uterine/anatomical factors: congenital anomalies (e.g., septate uterus), submucosal fibroids, intrauterine adhesions (Asherman syndrome) and cervical insufficiency (mid-trimester loss).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Infections and immunological factors: TORCH infections, syphilis, symptomatic genital or systemic infection, and unsafe abortion leading to sepsis.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Lifestyle and environmental exposures: smoking, alcohol, high caffeine intake, obesity or being underweight, severe maternal anaemia/undernutrition, ambient air pollution, radiation and toxins (lead, arsenic, pesticides).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Reproductive-age women (approx. 20–34 yrs)</w:t>
            </w:r>
          </w:p>
        </w:tc>
        <w:tc>
          <w:tcPr>
            <w:tcW w:type="dxa" w:w="4276"/>
            <w:vAlign w:val="top"/>
          </w:tcPr>
          <w:p>
            <w:pPr>
              <w:spacing w:after="60" w:line="259" w:lineRule="auto"/>
            </w:pPr>
            <w:r>
              <w:rPr>
                <w:rFonts w:ascii="Calibri" w:hAnsi="Calibri"/>
                <w:b w:val="0"/>
                <w:i w:val="0"/>
                <w:color w:val="212121"/>
                <w:sz w:val="19"/>
              </w:rPr>
              <w:t>All miscarriage occurs in people who are pregnant; among women in their 20s and early 30s the baseline loss risk is lowest, driven mainly by sporadic chromosomal errors of the conceptus.</w:t>
            </w:r>
          </w:p>
          <w:p>
            <w:pPr>
              <w:spacing w:after="40" w:before="60" w:line="259" w:lineRule="auto"/>
            </w:pPr>
            <w:r>
              <w:rPr>
                <w:rFonts w:ascii="Calibri" w:hAnsi="Calibri"/>
                <w:b w:val="0"/>
                <w:i w:val="0"/>
                <w:color w:val="212121"/>
                <w:sz w:val="19"/>
              </w:rPr>
              <w:t>Risk of clinically recognized miscarriage is about 9–17% for women in their 20s and lowest around age 25–29 (~10%).</w:t>
            </w:r>
          </w:p>
          <w:p>
            <w:pPr>
              <w:spacing w:after="40" w:line="252" w:lineRule="auto"/>
            </w:pPr>
            <w:hyperlink r:id="rId9">
              <w:r>
                <w:rPr>
                  <w:rFonts w:ascii="Calibri" w:hAnsi="Calibri" w:cs="Calibri"/>
                  <w:sz w:val="18"/>
                  <w:color w:val="1155CC"/>
                  <w:u w:val="single"/>
                </w:rPr>
                <w:t xml:space="preserve">clevelandclinic.org — miscarriage</w:t>
              </w:r>
            </w:hyperlink>
          </w:p>
          <w:p>
            <w:pPr>
              <w:spacing w:before="60" w:after="40"/>
            </w:pPr>
            <w:r>
              <w:rPr>
                <w:rFonts w:ascii="Calibri" w:hAnsi="Calibri"/>
                <w:b w:val="0"/>
                <w:i w:val="0"/>
                <w:color w:val="5A5A5A"/>
                <w:sz w:val="18"/>
              </w:rPr>
              <w:t>#miscarriage  #earlypregnancyloss  #reproductiveage  #firsttrimester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Advanced maternal age (≥ 35 yrs, ‘elderly gravida’)</w:t>
            </w:r>
          </w:p>
        </w:tc>
        <w:tc>
          <w:tcPr>
            <w:tcW w:type="dxa" w:w="4276"/>
            <w:vAlign w:val="top"/>
          </w:tcPr>
          <w:p>
            <w:pPr>
              <w:spacing w:after="60" w:line="259" w:lineRule="auto"/>
            </w:pPr>
            <w:r>
              <w:rPr>
                <w:rFonts w:ascii="Calibri" w:hAnsi="Calibri"/>
                <w:b w:val="0"/>
                <w:i w:val="0"/>
                <w:color w:val="212121"/>
                <w:sz w:val="19"/>
              </w:rPr>
              <w:t>Age-related decline in oocyte quality sharply increases aneuploidy of the conceptus, the dominant cause of first-trimester loss; delayed childbearing in urban India makes this an expanding group.</w:t>
            </w:r>
          </w:p>
          <w:p>
            <w:pPr>
              <w:spacing w:after="40" w:before="60" w:line="259" w:lineRule="auto"/>
            </w:pPr>
            <w:r>
              <w:rPr>
                <w:rFonts w:ascii="Calibri" w:hAnsi="Calibri"/>
                <w:b w:val="0"/>
                <w:i w:val="0"/>
                <w:color w:val="212121"/>
                <w:sz w:val="19"/>
              </w:rPr>
              <w:t>Miscarriage risk rises from ~10% at 25–29 to about 40% by age 40 and over 53% at age 45 and above.</w:t>
            </w:r>
          </w:p>
          <w:p>
            <w:pPr>
              <w:spacing w:after="40" w:line="252" w:lineRule="auto"/>
            </w:pPr>
            <w:hyperlink r:id="rId10">
              <w:r>
                <w:rPr>
                  <w:rFonts w:ascii="Calibri" w:hAnsi="Calibri" w:cs="Calibri"/>
                  <w:sz w:val="18"/>
                  <w:color w:val="1155CC"/>
                  <w:u w:val="single"/>
                </w:rPr>
                <w:t xml:space="preserve">pubmed.ncbi.nlm.nih.gov/30894356 — BMJ 2019 (age &amp; miscarriage)</w:t>
              </w:r>
            </w:hyperlink>
          </w:p>
          <w:p>
            <w:pPr>
              <w:spacing w:before="60" w:after="40"/>
            </w:pPr>
            <w:r>
              <w:rPr>
                <w:rFonts w:ascii="Calibri" w:hAnsi="Calibri"/>
                <w:b w:val="0"/>
                <w:i w:val="0"/>
                <w:color w:val="5A5A5A"/>
                <w:sz w:val="18"/>
              </w:rPr>
              <w:t>#advancedmaternalage  #aneuploidy  #oocytequality  #delayedchildbearing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Teenage / very young mothers (&lt;20 yrs)</w:t>
            </w:r>
          </w:p>
        </w:tc>
        <w:tc>
          <w:tcPr>
            <w:tcW w:type="dxa" w:w="4276"/>
            <w:vAlign w:val="top"/>
          </w:tcPr>
          <w:p>
            <w:pPr>
              <w:spacing w:after="60" w:line="259" w:lineRule="auto"/>
            </w:pPr>
            <w:r>
              <w:rPr>
                <w:rFonts w:ascii="Calibri" w:hAnsi="Calibri"/>
                <w:b w:val="0"/>
                <w:i w:val="0"/>
                <w:color w:val="212121"/>
                <w:sz w:val="19"/>
              </w:rPr>
              <w:t>Early adolescent pregnancy — still common in parts of rural India — carries a raised loss risk linked to biological immaturity, undernutrition, anaemia and limited antenatal care.</w:t>
            </w:r>
          </w:p>
          <w:p>
            <w:pPr>
              <w:spacing w:after="40" w:before="60" w:line="259" w:lineRule="auto"/>
            </w:pPr>
            <w:r>
              <w:rPr>
                <w:rFonts w:ascii="Calibri" w:hAnsi="Calibri"/>
                <w:b w:val="0"/>
                <w:i w:val="0"/>
                <w:color w:val="212121"/>
                <w:sz w:val="19"/>
              </w:rPr>
              <w:t>Very young maternal age (&lt;20 years) is an established risk factor for miscarriage.</w:t>
            </w:r>
          </w:p>
          <w:p>
            <w:pPr>
              <w:spacing w:after="40" w:line="252" w:lineRule="auto"/>
            </w:pPr>
            <w:hyperlink r:id="rId11">
              <w:r>
                <w:rPr>
                  <w:rFonts w:ascii="Calibri" w:hAnsi="Calibri" w:cs="Calibri"/>
                  <w:sz w:val="18"/>
                  <w:color w:val="1155CC"/>
                  <w:u w:val="single"/>
                </w:rPr>
                <w:t xml:space="preserve">pubmed.ncbi.nlm.nih.gov/33915094 — Lancet 2021 (Miscarriage matters)</w:t>
              </w:r>
            </w:hyperlink>
          </w:p>
          <w:p>
            <w:pPr>
              <w:spacing w:before="60" w:after="40"/>
            </w:pPr>
            <w:r>
              <w:rPr>
                <w:rFonts w:ascii="Calibri" w:hAnsi="Calibri"/>
                <w:b w:val="0"/>
                <w:i w:val="0"/>
                <w:color w:val="5A5A5A"/>
                <w:sz w:val="18"/>
              </w:rPr>
              <w:t>#teenpregnancy  #childmarriage  #undernutrition  #antenatalcare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(pregnant women)</w:t>
            </w:r>
          </w:p>
        </w:tc>
        <w:tc>
          <w:tcPr>
            <w:tcW w:type="dxa" w:w="4276"/>
            <w:vAlign w:val="top"/>
          </w:tcPr>
          <w:p>
            <w:pPr>
              <w:spacing w:after="60" w:line="259" w:lineRule="auto"/>
            </w:pPr>
            <w:r>
              <w:rPr>
                <w:rFonts w:ascii="Calibri" w:hAnsi="Calibri"/>
                <w:b w:val="0"/>
                <w:i w:val="0"/>
                <w:color w:val="212121"/>
                <w:sz w:val="19"/>
              </w:rPr>
              <w:t>Miscarriage is by definition confined to people who can conceive; it is the single most common complication of early pregnancy in women of reproductive age.</w:t>
            </w:r>
          </w:p>
          <w:p>
            <w:pPr>
              <w:spacing w:after="40" w:before="60" w:line="259" w:lineRule="auto"/>
            </w:pPr>
            <w:r>
              <w:rPr>
                <w:rFonts w:ascii="Calibri" w:hAnsi="Calibri"/>
                <w:b w:val="0"/>
                <w:i w:val="0"/>
                <w:color w:val="212121"/>
                <w:sz w:val="19"/>
              </w:rPr>
              <w:t>Pooled miscarriage risk is 15.3% (95% CI 12.5–18.7%) of all recognized pregnancies worldwide.</w:t>
            </w:r>
          </w:p>
          <w:p>
            <w:pPr>
              <w:spacing w:after="40" w:line="252" w:lineRule="auto"/>
            </w:pPr>
            <w:hyperlink r:id="rId11">
              <w:r>
                <w:rPr>
                  <w:rFonts w:ascii="Calibri" w:hAnsi="Calibri" w:cs="Calibri"/>
                  <w:sz w:val="18"/>
                  <w:color w:val="1155CC"/>
                  <w:u w:val="single"/>
                </w:rPr>
                <w:t xml:space="preserve">pubmed.ncbi.nlm.nih.gov/33915094 — Lancet 2021</w:t>
              </w:r>
            </w:hyperlink>
          </w:p>
          <w:p>
            <w:pPr>
              <w:spacing w:before="60" w:after="40"/>
            </w:pPr>
            <w:r>
              <w:rPr>
                <w:rFonts w:ascii="Calibri" w:hAnsi="Calibri"/>
                <w:b w:val="0"/>
                <w:i w:val="0"/>
                <w:color w:val="5A5A5A"/>
                <w:sz w:val="18"/>
              </w:rPr>
              <w:t>#womenshealth  #pregnancy  #earlypregnancy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low-literacy women</w:t>
            </w:r>
          </w:p>
        </w:tc>
        <w:tc>
          <w:tcPr>
            <w:tcW w:type="dxa" w:w="4276"/>
            <w:vAlign w:val="top"/>
          </w:tcPr>
          <w:p>
            <w:pPr>
              <w:spacing w:after="60" w:line="259" w:lineRule="auto"/>
            </w:pPr>
            <w:r>
              <w:rPr>
                <w:rFonts w:ascii="Calibri" w:hAnsi="Calibri"/>
                <w:b w:val="0"/>
                <w:i w:val="0"/>
                <w:color w:val="212121"/>
                <w:sz w:val="19"/>
              </w:rPr>
              <w:t>Poverty clusters with maternal anaemia and undernutrition, untreated infections, late or absent antenatal registration and higher recourse to unsafe abortion — all of which raise loss and its complications.</w:t>
            </w:r>
          </w:p>
          <w:p>
            <w:pPr>
              <w:spacing w:after="40" w:before="60" w:line="259" w:lineRule="auto"/>
            </w:pPr>
            <w:r>
              <w:rPr>
                <w:rFonts w:ascii="Calibri" w:hAnsi="Calibri"/>
                <w:b w:val="0"/>
                <w:i w:val="0"/>
                <w:color w:val="212121"/>
                <w:sz w:val="19"/>
              </w:rPr>
              <w:t>Loss and its complications are concentrated where antenatal care is delayed and anaemia and infection are common (general clinical observation).</w:t>
            </w:r>
          </w:p>
          <w:p>
            <w:pPr>
              <w:spacing w:before="60" w:after="40"/>
            </w:pPr>
            <w:r>
              <w:rPr>
                <w:rFonts w:ascii="Calibri" w:hAnsi="Calibri"/>
                <w:b w:val="0"/>
                <w:i w:val="0"/>
                <w:color w:val="5A5A5A"/>
                <w:sz w:val="18"/>
              </w:rPr>
              <w:t>#socialdeterminants  #anaemia  #antenatalcare  #unsafeabortion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Communities with high consanguinity (parts of South India &amp; some groups)</w:t>
            </w:r>
          </w:p>
        </w:tc>
        <w:tc>
          <w:tcPr>
            <w:tcW w:type="dxa" w:w="4276"/>
            <w:vAlign w:val="top"/>
          </w:tcPr>
          <w:p>
            <w:pPr>
              <w:spacing w:after="60" w:line="259" w:lineRule="auto"/>
            </w:pPr>
            <w:r>
              <w:rPr>
                <w:rFonts w:ascii="Calibri" w:hAnsi="Calibri"/>
                <w:b w:val="0"/>
                <w:i w:val="0"/>
                <w:color w:val="212121"/>
                <w:sz w:val="19"/>
              </w:rPr>
              <w:t>Consanguineous (close-kin) marriage, culturally common in several Indian communities, increases expression of recessive lethal alleles and structural chromosomal carriers, raising miscarriage and recurrent loss.</w:t>
            </w:r>
          </w:p>
          <w:p>
            <w:pPr>
              <w:spacing w:after="40" w:before="60" w:line="259" w:lineRule="auto"/>
            </w:pPr>
            <w:r>
              <w:rPr>
                <w:rFonts w:ascii="Calibri" w:hAnsi="Calibri"/>
                <w:b w:val="0"/>
                <w:i w:val="0"/>
                <w:color w:val="212121"/>
                <w:sz w:val="19"/>
              </w:rPr>
              <w:t>Consanguinity is a recognized contributor to pregnancy loss and offspring mortality in India (general clinical observation).</w:t>
            </w:r>
          </w:p>
          <w:p>
            <w:pPr>
              <w:spacing w:before="60" w:after="40"/>
            </w:pPr>
            <w:r>
              <w:rPr>
                <w:rFonts w:ascii="Calibri" w:hAnsi="Calibri"/>
                <w:b w:val="0"/>
                <w:i w:val="0"/>
                <w:color w:val="5A5A5A"/>
                <w:sz w:val="18"/>
              </w:rPr>
              <w:t>#consanguinity  #recessivealleles  #recurrentloss  #SouthIndia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Environmental exposure</w:t>
            </w:r>
          </w:p>
        </w:tc>
        <w:tc>
          <w:tcPr>
            <w:tcW w:type="dxa" w:w="2160"/>
            <w:vAlign w:val="top"/>
          </w:tcPr>
          <w:p>
            <w:pPr>
              <w:spacing w:after="40" w:before="0" w:line="259" w:lineRule="auto"/>
            </w:pPr>
            <w:r>
              <w:rPr>
                <w:rFonts w:ascii="Calibri" w:hAnsi="Calibri"/>
                <w:b w:val="0"/>
                <w:i w:val="0"/>
                <w:color w:val="212121"/>
                <w:sz w:val="19"/>
              </w:rPr>
              <w:t>Women in high air-pollution belts (Indo-Gangetic plain, Delhi-NCR)</w:t>
            </w:r>
          </w:p>
        </w:tc>
        <w:tc>
          <w:tcPr>
            <w:tcW w:type="dxa" w:w="4276"/>
            <w:vAlign w:val="top"/>
          </w:tcPr>
          <w:p>
            <w:pPr>
              <w:spacing w:after="60" w:line="259" w:lineRule="auto"/>
            </w:pPr>
            <w:r>
              <w:rPr>
                <w:rFonts w:ascii="Calibri" w:hAnsi="Calibri"/>
                <w:b w:val="0"/>
                <w:i w:val="0"/>
                <w:color w:val="212121"/>
                <w:sz w:val="19"/>
              </w:rPr>
              <w:t>Chronic exposure to particulate air pollution (PM2.5) and to pesticides — both widespread in India — is associated with placental oxidative stress and increased early pregnancy loss.</w:t>
            </w:r>
          </w:p>
          <w:p>
            <w:pPr>
              <w:spacing w:after="40" w:before="60" w:line="259" w:lineRule="auto"/>
            </w:pPr>
            <w:r>
              <w:rPr>
                <w:rFonts w:ascii="Calibri" w:hAnsi="Calibri"/>
                <w:b w:val="0"/>
                <w:i w:val="0"/>
                <w:color w:val="212121"/>
                <w:sz w:val="19"/>
              </w:rPr>
              <w:t>Air pollution and pesticide exposure are listed among modifiable risk factors for miscarriage.</w:t>
            </w:r>
          </w:p>
          <w:p>
            <w:pPr>
              <w:spacing w:after="40" w:line="252" w:lineRule="auto"/>
            </w:pPr>
            <w:hyperlink r:id="rId11">
              <w:r>
                <w:rPr>
                  <w:rFonts w:ascii="Calibri" w:hAnsi="Calibri" w:cs="Calibri"/>
                  <w:sz w:val="18"/>
                  <w:color w:val="1155CC"/>
                  <w:u w:val="single"/>
                </w:rPr>
                <w:t xml:space="preserve">pubmed.ncbi.nlm.nih.gov/33915094 — Lancet 2021</w:t>
              </w:r>
            </w:hyperlink>
          </w:p>
          <w:p>
            <w:pPr>
              <w:spacing w:before="60" w:after="40"/>
            </w:pPr>
            <w:r>
              <w:rPr>
                <w:rFonts w:ascii="Calibri" w:hAnsi="Calibri"/>
                <w:b w:val="0"/>
                <w:i w:val="0"/>
                <w:color w:val="5A5A5A"/>
                <w:sz w:val="18"/>
              </w:rPr>
              <w:t>#airpollution  #PM25  #pesticides  #oxidativestress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residence</w:t>
            </w:r>
          </w:p>
        </w:tc>
        <w:tc>
          <w:tcPr>
            <w:tcW w:type="dxa" w:w="2160"/>
            <w:vAlign w:val="top"/>
          </w:tcPr>
          <w:p>
            <w:pPr>
              <w:spacing w:after="40" w:before="0" w:line="259" w:lineRule="auto"/>
            </w:pPr>
            <w:r>
              <w:rPr>
                <w:rFonts w:ascii="Calibri" w:hAnsi="Calibri"/>
                <w:b w:val="0"/>
                <w:i w:val="0"/>
                <w:color w:val="212121"/>
                <w:sz w:val="19"/>
              </w:rPr>
              <w:t>Rural women with limited obstetric access</w:t>
            </w:r>
          </w:p>
        </w:tc>
        <w:tc>
          <w:tcPr>
            <w:tcW w:type="dxa" w:w="4276"/>
            <w:vAlign w:val="top"/>
          </w:tcPr>
          <w:p>
            <w:pPr>
              <w:spacing w:after="60" w:line="259" w:lineRule="auto"/>
            </w:pPr>
            <w:r>
              <w:rPr>
                <w:rFonts w:ascii="Calibri" w:hAnsi="Calibri"/>
                <w:b w:val="0"/>
                <w:i w:val="0"/>
                <w:color w:val="212121"/>
                <w:sz w:val="19"/>
              </w:rPr>
              <w:t>Distance from facilities, home deliveries/abortions and delayed care raise the risk of incomplete and septic abortion and of hemorrhage after a loss.</w:t>
            </w:r>
          </w:p>
          <w:p>
            <w:pPr>
              <w:spacing w:after="40" w:before="60" w:line="259" w:lineRule="auto"/>
            </w:pPr>
            <w:r>
              <w:rPr>
                <w:rFonts w:ascii="Calibri" w:hAnsi="Calibri"/>
                <w:b w:val="0"/>
                <w:i w:val="0"/>
                <w:color w:val="212121"/>
                <w:sz w:val="19"/>
              </w:rPr>
              <w:t>Self-reported miscarriage in India (NFHS-5, 2019–21) was about 4.9% of recent pregnancies, with under-reporting of early losses.</w:t>
            </w:r>
          </w:p>
          <w:p>
            <w:pPr>
              <w:spacing w:after="40" w:line="252" w:lineRule="auto"/>
            </w:pPr>
            <w:hyperlink r:id="rId12">
              <w:r>
                <w:rPr>
                  <w:rFonts w:ascii="Calibri" w:hAnsi="Calibri" w:cs="Calibri"/>
                  <w:sz w:val="18"/>
                  <w:color w:val="1155CC"/>
                  <w:u w:val="single"/>
                </w:rPr>
                <w:t xml:space="preserve">pubmed.ncbi.nlm.nih.gov/38263129 — NFHS-5 miscarriage in India</w:t>
              </w:r>
            </w:hyperlink>
          </w:p>
          <w:p>
            <w:pPr>
              <w:spacing w:before="60" w:after="40"/>
            </w:pPr>
            <w:r>
              <w:rPr>
                <w:rFonts w:ascii="Calibri" w:hAnsi="Calibri"/>
                <w:b w:val="0"/>
                <w:i w:val="0"/>
                <w:color w:val="5A5A5A"/>
                <w:sz w:val="18"/>
              </w:rPr>
              <w:t>#ruralhealth  #NFHS5  #septicabortion  #accesstocare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Active and passive (second-hand) smokers</w:t>
            </w:r>
          </w:p>
        </w:tc>
        <w:tc>
          <w:tcPr>
            <w:tcW w:type="dxa" w:w="4276"/>
            <w:vAlign w:val="top"/>
          </w:tcPr>
          <w:p>
            <w:pPr>
              <w:spacing w:after="60" w:line="259" w:lineRule="auto"/>
            </w:pPr>
            <w:r>
              <w:rPr>
                <w:rFonts w:ascii="Calibri" w:hAnsi="Calibri"/>
                <w:b w:val="0"/>
                <w:i w:val="0"/>
                <w:color w:val="212121"/>
                <w:sz w:val="19"/>
              </w:rPr>
              <w:t>Nicotine and carbon monoxide cause vasoconstriction and placental hypoxia; risk is dose-dependent and includes exposure to household second-hand smoke, relevant where male smoking is common.</w:t>
            </w:r>
          </w:p>
          <w:p>
            <w:pPr>
              <w:spacing w:after="40" w:before="60" w:line="259" w:lineRule="auto"/>
            </w:pPr>
            <w:r>
              <w:rPr>
                <w:rFonts w:ascii="Calibri" w:hAnsi="Calibri"/>
                <w:b w:val="0"/>
                <w:i w:val="0"/>
                <w:color w:val="212121"/>
                <w:sz w:val="19"/>
              </w:rPr>
              <w:t>Smoking is an established, dose-dependent risk factor for miscarriage.</w:t>
            </w:r>
          </w:p>
          <w:p>
            <w:pPr>
              <w:spacing w:after="40" w:line="252" w:lineRule="auto"/>
            </w:pPr>
            <w:hyperlink r:id="rId11">
              <w:r>
                <w:rPr>
                  <w:rFonts w:ascii="Calibri" w:hAnsi="Calibri" w:cs="Calibri"/>
                  <w:sz w:val="18"/>
                  <w:color w:val="1155CC"/>
                  <w:u w:val="single"/>
                </w:rPr>
                <w:t xml:space="preserve">pubmed.ncbi.nlm.nih.gov/33915094 — Lancet 2021</w:t>
              </w:r>
            </w:hyperlink>
          </w:p>
          <w:p>
            <w:pPr>
              <w:spacing w:before="60" w:after="40"/>
            </w:pPr>
            <w:r>
              <w:rPr>
                <w:rFonts w:ascii="Calibri" w:hAnsi="Calibri"/>
                <w:b w:val="0"/>
                <w:i w:val="0"/>
                <w:color w:val="5A5A5A"/>
                <w:sz w:val="18"/>
              </w:rPr>
              <w:t>#smoking  #secondhandsmoke  #placentalhypoxia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Women drinking around conception / early pregnancy</w:t>
            </w:r>
          </w:p>
        </w:tc>
        <w:tc>
          <w:tcPr>
            <w:tcW w:type="dxa" w:w="4276"/>
            <w:vAlign w:val="top"/>
          </w:tcPr>
          <w:p>
            <w:pPr>
              <w:spacing w:after="60" w:line="259" w:lineRule="auto"/>
            </w:pPr>
            <w:r>
              <w:rPr>
                <w:rFonts w:ascii="Calibri" w:hAnsi="Calibri"/>
                <w:b w:val="0"/>
                <w:i w:val="0"/>
                <w:color w:val="212121"/>
                <w:sz w:val="19"/>
              </w:rPr>
              <w:t>Alcohol is embryotoxic; consumption in the periconceptional period and first trimester increases miscarriage risk with no established safe threshold.</w:t>
            </w:r>
          </w:p>
          <w:p>
            <w:pPr>
              <w:spacing w:after="40" w:before="60" w:line="259" w:lineRule="auto"/>
            </w:pPr>
            <w:r>
              <w:rPr>
                <w:rFonts w:ascii="Calibri" w:hAnsi="Calibri"/>
                <w:b w:val="0"/>
                <w:i w:val="0"/>
                <w:color w:val="212121"/>
                <w:sz w:val="19"/>
              </w:rPr>
              <w:t>Alcohol is listed among modifiable causes of miscarriage; abstinence is advised in pregnancy.</w:t>
            </w:r>
          </w:p>
          <w:p>
            <w:pPr>
              <w:spacing w:after="40" w:line="252" w:lineRule="auto"/>
            </w:pPr>
            <w:hyperlink r:id="rId13">
              <w:r>
                <w:rPr>
                  <w:rFonts w:ascii="Calibri" w:hAnsi="Calibri" w:cs="Calibri"/>
                  <w:sz w:val="18"/>
                  <w:color w:val="1155CC"/>
                  <w:u w:val="single"/>
                </w:rPr>
                <w:t xml:space="preserve">nhs.uk — miscarriage causes</w:t>
              </w:r>
            </w:hyperlink>
          </w:p>
          <w:p>
            <w:pPr>
              <w:spacing w:before="60" w:after="40"/>
            </w:pPr>
            <w:r>
              <w:rPr>
                <w:rFonts w:ascii="Calibri" w:hAnsi="Calibri"/>
                <w:b w:val="0"/>
                <w:i w:val="0"/>
                <w:color w:val="5A5A5A"/>
                <w:sz w:val="18"/>
              </w:rPr>
              <w:t>#alcohol  #embryotoxic  #periconception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Underweight and overweight women (BMI extremes)</w:t>
            </w:r>
          </w:p>
        </w:tc>
        <w:tc>
          <w:tcPr>
            <w:tcW w:type="dxa" w:w="4276"/>
            <w:vAlign w:val="top"/>
          </w:tcPr>
          <w:p>
            <w:pPr>
              <w:spacing w:after="60" w:line="259" w:lineRule="auto"/>
            </w:pPr>
            <w:r>
              <w:rPr>
                <w:rFonts w:ascii="Calibri" w:hAnsi="Calibri"/>
                <w:b w:val="0"/>
                <w:i w:val="0"/>
                <w:color w:val="212121"/>
                <w:sz w:val="19"/>
              </w:rPr>
              <w:t>Both very low and high body-mass index disturb ovulation, endometrial receptivity and metabolic milieu, producing a U-shaped increase in loss risk.</w:t>
            </w:r>
          </w:p>
          <w:p>
            <w:pPr>
              <w:spacing w:after="40" w:before="60" w:line="259" w:lineRule="auto"/>
            </w:pPr>
            <w:r>
              <w:rPr>
                <w:rFonts w:ascii="Calibri" w:hAnsi="Calibri"/>
                <w:b w:val="0"/>
                <w:i w:val="0"/>
                <w:color w:val="212121"/>
                <w:sz w:val="19"/>
              </w:rPr>
              <w:t>Very low or very high BMI is a recognized risk factor for miscarriage.</w:t>
            </w:r>
          </w:p>
          <w:p>
            <w:pPr>
              <w:spacing w:after="40" w:line="252" w:lineRule="auto"/>
            </w:pPr>
            <w:hyperlink r:id="rId11">
              <w:r>
                <w:rPr>
                  <w:rFonts w:ascii="Calibri" w:hAnsi="Calibri" w:cs="Calibri"/>
                  <w:sz w:val="18"/>
                  <w:color w:val="1155CC"/>
                  <w:u w:val="single"/>
                </w:rPr>
                <w:t xml:space="preserve">pubmed.ncbi.nlm.nih.gov/33915094 — Lancet 2021</w:t>
              </w:r>
            </w:hyperlink>
          </w:p>
          <w:p>
            <w:pPr>
              <w:spacing w:before="60" w:after="40"/>
            </w:pPr>
            <w:r>
              <w:rPr>
                <w:rFonts w:ascii="Calibri" w:hAnsi="Calibri"/>
                <w:b w:val="0"/>
                <w:i w:val="0"/>
                <w:color w:val="5A5A5A"/>
                <w:sz w:val="18"/>
              </w:rPr>
              <w:t>#underweight  #BMI  #ovulation  #endometrium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women (BMI ≥ 30 kg/m²)</w:t>
            </w:r>
          </w:p>
        </w:tc>
        <w:tc>
          <w:tcPr>
            <w:tcW w:type="dxa" w:w="4276"/>
            <w:vAlign w:val="top"/>
          </w:tcPr>
          <w:p>
            <w:pPr>
              <w:spacing w:after="60" w:line="259" w:lineRule="auto"/>
            </w:pPr>
            <w:r>
              <w:rPr>
                <w:rFonts w:ascii="Calibri" w:hAnsi="Calibri"/>
                <w:b w:val="0"/>
                <w:i w:val="0"/>
                <w:color w:val="212121"/>
                <w:sz w:val="19"/>
              </w:rPr>
              <w:t>Obesity drives insulin resistance, chronic inflammation and hyperandrogenism that impair implantation and increase both sporadic and recurrent miscarriage.</w:t>
            </w:r>
          </w:p>
          <w:p>
            <w:pPr>
              <w:spacing w:after="40" w:before="60" w:line="259" w:lineRule="auto"/>
            </w:pPr>
            <w:r>
              <w:rPr>
                <w:rFonts w:ascii="Calibri" w:hAnsi="Calibri"/>
                <w:b w:val="0"/>
                <w:i w:val="0"/>
                <w:color w:val="212121"/>
                <w:sz w:val="19"/>
              </w:rPr>
              <w:t>Obesity (BMI ≥ 30) is listed among risk factors for miscarriage.</w:t>
            </w:r>
          </w:p>
          <w:p>
            <w:pPr>
              <w:spacing w:after="40" w:line="252" w:lineRule="auto"/>
            </w:pPr>
            <w:hyperlink r:id="rId14">
              <w:r>
                <w:rPr>
                  <w:rFonts w:ascii="Calibri" w:hAnsi="Calibri" w:cs="Calibri"/>
                  <w:sz w:val="18"/>
                  <w:color w:val="1155CC"/>
                  <w:u w:val="single"/>
                </w:rPr>
                <w:t xml:space="preserve">marchofdimes.org — miscarriage</w:t>
              </w:r>
            </w:hyperlink>
          </w:p>
          <w:p>
            <w:pPr>
              <w:spacing w:before="60" w:after="40"/>
            </w:pPr>
            <w:r>
              <w:rPr>
                <w:rFonts w:ascii="Calibri" w:hAnsi="Calibri"/>
                <w:b w:val="0"/>
                <w:i w:val="0"/>
                <w:color w:val="5A5A5A"/>
                <w:sz w:val="18"/>
              </w:rPr>
              <w:t>#obesity  #insulinresistance  #inflammation  #implantation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Caffeine</w:t>
            </w:r>
          </w:p>
        </w:tc>
        <w:tc>
          <w:tcPr>
            <w:tcW w:type="dxa" w:w="2160"/>
            <w:vAlign w:val="top"/>
          </w:tcPr>
          <w:p>
            <w:pPr>
              <w:spacing w:after="40" w:before="0" w:line="259" w:lineRule="auto"/>
            </w:pPr>
            <w:r>
              <w:rPr>
                <w:rFonts w:ascii="Calibri" w:hAnsi="Calibri"/>
                <w:b w:val="0"/>
                <w:i w:val="0"/>
                <w:color w:val="212121"/>
                <w:sz w:val="19"/>
              </w:rPr>
              <w:t>High caffeine consumers (&gt;200–300 mg/day)</w:t>
            </w:r>
          </w:p>
        </w:tc>
        <w:tc>
          <w:tcPr>
            <w:tcW w:type="dxa" w:w="4276"/>
            <w:vAlign w:val="top"/>
          </w:tcPr>
          <w:p>
            <w:pPr>
              <w:spacing w:after="60" w:line="259" w:lineRule="auto"/>
            </w:pPr>
            <w:r>
              <w:rPr>
                <w:rFonts w:ascii="Calibri" w:hAnsi="Calibri"/>
                <w:b w:val="0"/>
                <w:i w:val="0"/>
                <w:color w:val="212121"/>
                <w:sz w:val="19"/>
              </w:rPr>
              <w:t>Caffeine crosses the placenta and, at higher intakes, is associated with increased miscarriage risk; strong tea/coffee and cola contribute to daily load.</w:t>
            </w:r>
          </w:p>
          <w:p>
            <w:pPr>
              <w:spacing w:after="40" w:before="60" w:line="259" w:lineRule="auto"/>
            </w:pPr>
            <w:r>
              <w:rPr>
                <w:rFonts w:ascii="Calibri" w:hAnsi="Calibri"/>
                <w:b w:val="0"/>
                <w:i w:val="0"/>
                <w:color w:val="212121"/>
                <w:sz w:val="19"/>
              </w:rPr>
              <w:t>Caffeine intake above ~200 mg/day is associated with a higher miscarriage risk.</w:t>
            </w:r>
          </w:p>
          <w:p>
            <w:pPr>
              <w:spacing w:after="40" w:line="252" w:lineRule="auto"/>
            </w:pPr>
            <w:hyperlink r:id="rId14">
              <w:r>
                <w:rPr>
                  <w:rFonts w:ascii="Calibri" w:hAnsi="Calibri" w:cs="Calibri"/>
                  <w:sz w:val="18"/>
                  <w:color w:val="1155CC"/>
                  <w:u w:val="single"/>
                </w:rPr>
                <w:t xml:space="preserve">marchofdimes.org — miscarriage</w:t>
              </w:r>
            </w:hyperlink>
          </w:p>
          <w:p>
            <w:pPr>
              <w:spacing w:before="60" w:after="40"/>
            </w:pPr>
            <w:r>
              <w:rPr>
                <w:rFonts w:ascii="Calibri" w:hAnsi="Calibri"/>
                <w:b w:val="0"/>
                <w:i w:val="0"/>
                <w:color w:val="5A5A5A"/>
                <w:sz w:val="18"/>
              </w:rPr>
              <w:t>#caffeine  #coffee  #tea  #placentaltransfer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Anaemic / folate- &amp; vitamin D-deficient women</w:t>
            </w:r>
          </w:p>
        </w:tc>
        <w:tc>
          <w:tcPr>
            <w:tcW w:type="dxa" w:w="4276"/>
            <w:vAlign w:val="top"/>
          </w:tcPr>
          <w:p>
            <w:pPr>
              <w:spacing w:after="60" w:line="259" w:lineRule="auto"/>
            </w:pPr>
            <w:r>
              <w:rPr>
                <w:rFonts w:ascii="Calibri" w:hAnsi="Calibri"/>
                <w:b w:val="0"/>
                <w:i w:val="0"/>
                <w:color w:val="212121"/>
                <w:sz w:val="19"/>
              </w:rPr>
              <w:t>Iron-deficiency anaemia is extremely common in Indian women of reproductive age and, with folate and vitamin D deficiency, is linked to poorer early-pregnancy outcomes and reduced tolerance of blood loss.</w:t>
            </w:r>
          </w:p>
          <w:p>
            <w:pPr>
              <w:spacing w:after="40" w:before="60" w:line="259" w:lineRule="auto"/>
            </w:pPr>
            <w:r>
              <w:rPr>
                <w:rFonts w:ascii="Calibri" w:hAnsi="Calibri"/>
                <w:b w:val="0"/>
                <w:i w:val="0"/>
                <w:color w:val="212121"/>
                <w:sz w:val="19"/>
              </w:rPr>
              <w:t>NHS lists vitamin D deficiency among factors that may raise miscarriage risk; maternal anaemia is widespread in India (general clinical observation).</w:t>
            </w:r>
          </w:p>
          <w:p>
            <w:pPr>
              <w:spacing w:after="40" w:line="252" w:lineRule="auto"/>
            </w:pPr>
            <w:hyperlink r:id="rId13">
              <w:r>
                <w:rPr>
                  <w:rFonts w:ascii="Calibri" w:hAnsi="Calibri" w:cs="Calibri"/>
                  <w:sz w:val="18"/>
                  <w:color w:val="1155CC"/>
                  <w:u w:val="single"/>
                </w:rPr>
                <w:t xml:space="preserve">nhs.uk — miscarriage causes</w:t>
              </w:r>
            </w:hyperlink>
          </w:p>
          <w:p>
            <w:pPr>
              <w:spacing w:before="60" w:after="40"/>
            </w:pPr>
            <w:r>
              <w:rPr>
                <w:rFonts w:ascii="Calibri" w:hAnsi="Calibri"/>
                <w:b w:val="0"/>
                <w:i w:val="0"/>
                <w:color w:val="5A5A5A"/>
                <w:sz w:val="18"/>
              </w:rPr>
              <w:t>#anaemia  #folate  #vitaminD  #micronutrients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Prior miscarriage / family history</w:t>
            </w:r>
          </w:p>
        </w:tc>
        <w:tc>
          <w:tcPr>
            <w:tcW w:type="dxa" w:w="2160"/>
            <w:vAlign w:val="top"/>
          </w:tcPr>
          <w:p>
            <w:pPr>
              <w:spacing w:after="40" w:before="0" w:line="259" w:lineRule="auto"/>
            </w:pPr>
            <w:r>
              <w:rPr>
                <w:rFonts w:ascii="Calibri" w:hAnsi="Calibri"/>
                <w:b w:val="0"/>
                <w:i w:val="0"/>
                <w:color w:val="212121"/>
                <w:sz w:val="19"/>
              </w:rPr>
              <w:t>Women with previous pregnancy loss</w:t>
            </w:r>
          </w:p>
        </w:tc>
        <w:tc>
          <w:tcPr>
            <w:tcW w:type="dxa" w:w="4276"/>
            <w:vAlign w:val="top"/>
          </w:tcPr>
          <w:p>
            <w:pPr>
              <w:spacing w:after="60" w:line="259" w:lineRule="auto"/>
            </w:pPr>
            <w:r>
              <w:rPr>
                <w:rFonts w:ascii="Calibri" w:hAnsi="Calibri"/>
                <w:b w:val="0"/>
                <w:i w:val="0"/>
                <w:color w:val="212121"/>
                <w:sz w:val="19"/>
              </w:rPr>
              <w:t>A previous miscarriage is one of the strongest predictors of another, with risk climbing after each successive consecutive loss — the basis for defining recurrent pregnancy loss.</w:t>
            </w:r>
          </w:p>
          <w:p>
            <w:pPr>
              <w:spacing w:after="40" w:before="60" w:line="259" w:lineRule="auto"/>
            </w:pPr>
            <w:r>
              <w:rPr>
                <w:rFonts w:ascii="Calibri" w:hAnsi="Calibri"/>
                <w:b w:val="0"/>
                <w:i w:val="0"/>
                <w:color w:val="212121"/>
                <w:sz w:val="19"/>
              </w:rPr>
              <w:t>Risk of a further loss rises with each prior consecutive miscarriage (odds ratio ~1.5 after one, ~2.2 after two, ~4.0 after three).</w:t>
            </w:r>
          </w:p>
          <w:p>
            <w:pPr>
              <w:spacing w:after="40" w:line="252" w:lineRule="auto"/>
            </w:pPr>
            <w:hyperlink r:id="rId10">
              <w:r>
                <w:rPr>
                  <w:rFonts w:ascii="Calibri" w:hAnsi="Calibri" w:cs="Calibri"/>
                  <w:sz w:val="18"/>
                  <w:color w:val="1155CC"/>
                  <w:u w:val="single"/>
                </w:rPr>
                <w:t xml:space="preserve">pubmed.ncbi.nlm.nih.gov/30894356 — BMJ 2019</w:t>
              </w:r>
            </w:hyperlink>
          </w:p>
          <w:p>
            <w:pPr>
              <w:spacing w:before="60" w:after="40"/>
            </w:pPr>
            <w:r>
              <w:rPr>
                <w:rFonts w:ascii="Calibri" w:hAnsi="Calibri"/>
                <w:b w:val="0"/>
                <w:i w:val="0"/>
                <w:color w:val="5A5A5A"/>
                <w:sz w:val="18"/>
              </w:rPr>
              <w:t>#recurrentloss  #priormiscarriage  #riskstratification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Parental chromosomal / thrombophilia carriers</w:t>
            </w:r>
          </w:p>
        </w:tc>
        <w:tc>
          <w:tcPr>
            <w:tcW w:type="dxa" w:w="2160"/>
            <w:vAlign w:val="top"/>
          </w:tcPr>
          <w:p>
            <w:pPr>
              <w:spacing w:after="40" w:before="0" w:line="259" w:lineRule="auto"/>
            </w:pPr>
            <w:r>
              <w:rPr>
                <w:rFonts w:ascii="Calibri" w:hAnsi="Calibri"/>
                <w:b w:val="0"/>
                <w:i w:val="0"/>
                <w:color w:val="212121"/>
                <w:sz w:val="19"/>
              </w:rPr>
              <w:t>Balanced translocation or inherited thrombophilia carriers</w:t>
            </w:r>
          </w:p>
        </w:tc>
        <w:tc>
          <w:tcPr>
            <w:tcW w:type="dxa" w:w="4276"/>
            <w:vAlign w:val="top"/>
          </w:tcPr>
          <w:p>
            <w:pPr>
              <w:spacing w:after="60" w:line="259" w:lineRule="auto"/>
            </w:pPr>
            <w:r>
              <w:rPr>
                <w:rFonts w:ascii="Calibri" w:hAnsi="Calibri"/>
                <w:b w:val="0"/>
                <w:i w:val="0"/>
                <w:color w:val="212121"/>
                <w:sz w:val="19"/>
              </w:rPr>
              <w:t>A balanced parental chromosomal rearrangement produces unbalanced conceptuses, while inherited thrombophilias promote placental thrombosis — both enriched in couples with recurrent loss.</w:t>
            </w:r>
          </w:p>
          <w:p>
            <w:pPr>
              <w:spacing w:after="40" w:before="60" w:line="259" w:lineRule="auto"/>
            </w:pPr>
            <w:r>
              <w:rPr>
                <w:rFonts w:ascii="Calibri" w:hAnsi="Calibri"/>
                <w:b w:val="0"/>
                <w:i w:val="0"/>
                <w:color w:val="212121"/>
                <w:sz w:val="19"/>
              </w:rPr>
              <w:t>Parental karyotype and thrombophilia screening are recommended in the recurrent-loss workup.</w:t>
            </w:r>
          </w:p>
          <w:p>
            <w:pPr>
              <w:spacing w:after="40" w:line="252" w:lineRule="auto"/>
            </w:pPr>
            <w:hyperlink r:id="rId15">
              <w:r>
                <w:rPr>
                  <w:rFonts w:ascii="Calibri" w:hAnsi="Calibri" w:cs="Calibri"/>
                  <w:sz w:val="18"/>
                  <w:color w:val="1155CC"/>
                  <w:u w:val="single"/>
                </w:rPr>
                <w:t xml:space="preserve">ncbi.nlm.nih.gov/books/NBK560521 — Early Pregnancy Loss (StatPearls)</w:t>
              </w:r>
            </w:hyperlink>
          </w:p>
          <w:p>
            <w:pPr>
              <w:spacing w:before="60" w:after="40"/>
            </w:pPr>
            <w:r>
              <w:rPr>
                <w:rFonts w:ascii="Calibri" w:hAnsi="Calibri"/>
                <w:b w:val="0"/>
                <w:i w:val="0"/>
                <w:color w:val="5A5A5A"/>
                <w:sz w:val="18"/>
              </w:rPr>
              <w:t>#translocation  #thrombophilia  #karyotype  #recurrentloss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Antiphospholipid syndrome</w:t>
            </w:r>
          </w:p>
        </w:tc>
        <w:tc>
          <w:tcPr>
            <w:tcW w:type="dxa" w:w="2160"/>
            <w:vAlign w:val="top"/>
          </w:tcPr>
          <w:p>
            <w:pPr>
              <w:spacing w:after="40" w:before="0" w:line="259" w:lineRule="auto"/>
            </w:pPr>
            <w:r>
              <w:rPr>
                <w:rFonts w:ascii="Calibri" w:hAnsi="Calibri"/>
                <w:b w:val="0"/>
                <w:i w:val="0"/>
                <w:color w:val="212121"/>
                <w:sz w:val="19"/>
              </w:rPr>
              <w:t>Women with APS / positive antiphospholipid antibodies</w:t>
            </w:r>
          </w:p>
        </w:tc>
        <w:tc>
          <w:tcPr>
            <w:tcW w:type="dxa" w:w="4276"/>
            <w:vAlign w:val="top"/>
          </w:tcPr>
          <w:p>
            <w:pPr>
              <w:spacing w:after="60" w:line="259" w:lineRule="auto"/>
            </w:pPr>
            <w:r>
              <w:rPr>
                <w:rFonts w:ascii="Calibri" w:hAnsi="Calibri"/>
                <w:b w:val="0"/>
                <w:i w:val="0"/>
                <w:color w:val="212121"/>
                <w:sz w:val="19"/>
              </w:rPr>
              <w:t>Antiphospholipid antibodies cause placental thrombosis and inflammation; APS is the most important treatable cause of recurrent pregnancy loss and responds to aspirin plus heparin.</w:t>
            </w:r>
          </w:p>
          <w:p>
            <w:pPr>
              <w:spacing w:after="40" w:before="60" w:line="259" w:lineRule="auto"/>
            </w:pPr>
            <w:r>
              <w:rPr>
                <w:rFonts w:ascii="Calibri" w:hAnsi="Calibri"/>
                <w:b w:val="0"/>
                <w:i w:val="0"/>
                <w:color w:val="212121"/>
                <w:sz w:val="19"/>
              </w:rPr>
              <w:t>Antiphospholipid syndrome is a leading, treatable cause of recurrent pregnancy loss (workup recommended).</w:t>
            </w:r>
          </w:p>
          <w:p>
            <w:pPr>
              <w:spacing w:after="40" w:line="252" w:lineRule="auto"/>
            </w:pPr>
            <w:hyperlink r:id="rId15">
              <w:r>
                <w:rPr>
                  <w:rFonts w:ascii="Calibri" w:hAnsi="Calibri" w:cs="Calibri"/>
                  <w:sz w:val="18"/>
                  <w:color w:val="1155CC"/>
                  <w:u w:val="single"/>
                </w:rPr>
                <w:t xml:space="preserve">ncbi.nlm.nih.gov/books/NBK560521 — StatPearls</w:t>
              </w:r>
            </w:hyperlink>
          </w:p>
          <w:p>
            <w:pPr>
              <w:spacing w:before="60" w:after="40"/>
            </w:pPr>
            <w:r>
              <w:rPr>
                <w:rFonts w:ascii="Calibri" w:hAnsi="Calibri"/>
                <w:b w:val="0"/>
                <w:i w:val="0"/>
                <w:color w:val="5A5A5A"/>
                <w:sz w:val="18"/>
              </w:rPr>
              <w:t>#antiphospholipid  #APS  #thrombosis  #recurrentloss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disorders</w:t>
            </w:r>
          </w:p>
        </w:tc>
        <w:tc>
          <w:tcPr>
            <w:tcW w:type="dxa" w:w="2160"/>
            <w:vAlign w:val="top"/>
          </w:tcPr>
          <w:p>
            <w:pPr>
              <w:spacing w:after="40" w:before="0" w:line="259" w:lineRule="auto"/>
            </w:pPr>
            <w:r>
              <w:rPr>
                <w:rFonts w:ascii="Calibri" w:hAnsi="Calibri"/>
                <w:b w:val="0"/>
                <w:i w:val="0"/>
                <w:color w:val="212121"/>
                <w:sz w:val="19"/>
              </w:rPr>
              <w:t>Women with hypothyroidism / thyroid autoimmunity</w:t>
            </w:r>
          </w:p>
        </w:tc>
        <w:tc>
          <w:tcPr>
            <w:tcW w:type="dxa" w:w="4276"/>
            <w:vAlign w:val="top"/>
          </w:tcPr>
          <w:p>
            <w:pPr>
              <w:spacing w:after="60" w:line="259" w:lineRule="auto"/>
            </w:pPr>
            <w:r>
              <w:rPr>
                <w:rFonts w:ascii="Calibri" w:hAnsi="Calibri"/>
                <w:b w:val="0"/>
                <w:i w:val="0"/>
                <w:color w:val="212121"/>
                <w:sz w:val="19"/>
              </w:rPr>
              <w:t>Overt and subclinical hypothyroidism and TPO-antibody positivity — common in Indian women — impair early pregnancy maintenance and raise miscarriage risk; both are readily screened and treated.</w:t>
            </w:r>
          </w:p>
          <w:p>
            <w:pPr>
              <w:spacing w:after="40" w:before="60" w:line="259" w:lineRule="auto"/>
            </w:pPr>
            <w:r>
              <w:rPr>
                <w:rFonts w:ascii="Calibri" w:hAnsi="Calibri"/>
                <w:b w:val="0"/>
                <w:i w:val="0"/>
                <w:color w:val="212121"/>
                <w:sz w:val="19"/>
              </w:rPr>
              <w:t>Thyroid conditions including hypothyroidism are listed among causes of miscarriage.</w:t>
            </w:r>
          </w:p>
          <w:p>
            <w:pPr>
              <w:spacing w:after="40" w:line="252" w:lineRule="auto"/>
            </w:pPr>
            <w:hyperlink r:id="rId13">
              <w:r>
                <w:rPr>
                  <w:rFonts w:ascii="Calibri" w:hAnsi="Calibri" w:cs="Calibri"/>
                  <w:sz w:val="18"/>
                  <w:color w:val="1155CC"/>
                  <w:u w:val="single"/>
                </w:rPr>
                <w:t xml:space="preserve">nhs.uk — miscarriage causes</w:t>
              </w:r>
            </w:hyperlink>
          </w:p>
          <w:p>
            <w:pPr>
              <w:spacing w:before="60" w:after="40"/>
            </w:pPr>
            <w:r>
              <w:rPr>
                <w:rFonts w:ascii="Calibri" w:hAnsi="Calibri"/>
                <w:b w:val="0"/>
                <w:i w:val="0"/>
                <w:color w:val="5A5A5A"/>
                <w:sz w:val="18"/>
              </w:rPr>
              <w:t>#hypothyroidism  #TPOantibodies  #thyroid  #treatablecause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Women with poorly controlled pre-gestational diabetes</w:t>
            </w:r>
          </w:p>
        </w:tc>
        <w:tc>
          <w:tcPr>
            <w:tcW w:type="dxa" w:w="4276"/>
            <w:vAlign w:val="top"/>
          </w:tcPr>
          <w:p>
            <w:pPr>
              <w:spacing w:after="60" w:line="259" w:lineRule="auto"/>
            </w:pPr>
            <w:r>
              <w:rPr>
                <w:rFonts w:ascii="Calibri" w:hAnsi="Calibri"/>
                <w:b w:val="0"/>
                <w:i w:val="0"/>
                <w:color w:val="212121"/>
                <w:sz w:val="19"/>
              </w:rPr>
              <w:t>Peri-conceptional hyperglycaemia is teratogenic and increases early loss in proportion to HbA1c; pre-pregnancy glycaemic control markedly lowers this risk.</w:t>
            </w:r>
          </w:p>
          <w:p>
            <w:pPr>
              <w:spacing w:after="40" w:before="60" w:line="259" w:lineRule="auto"/>
            </w:pPr>
            <w:r>
              <w:rPr>
                <w:rFonts w:ascii="Calibri" w:hAnsi="Calibri"/>
                <w:b w:val="0"/>
                <w:i w:val="0"/>
                <w:color w:val="212121"/>
                <w:sz w:val="19"/>
              </w:rPr>
              <w:t>Pre-existing (pre-gestational) diabetes is listed among conditions that increase miscarriage risk.</w:t>
            </w:r>
          </w:p>
          <w:p>
            <w:pPr>
              <w:spacing w:after="40" w:line="252" w:lineRule="auto"/>
            </w:pPr>
            <w:hyperlink r:id="rId14">
              <w:r>
                <w:rPr>
                  <w:rFonts w:ascii="Calibri" w:hAnsi="Calibri" w:cs="Calibri"/>
                  <w:sz w:val="18"/>
                  <w:color w:val="1155CC"/>
                  <w:u w:val="single"/>
                </w:rPr>
                <w:t xml:space="preserve">marchofdimes.org — miscarriage</w:t>
              </w:r>
            </w:hyperlink>
          </w:p>
          <w:p>
            <w:pPr>
              <w:spacing w:before="60" w:after="40"/>
            </w:pPr>
            <w:r>
              <w:rPr>
                <w:rFonts w:ascii="Calibri" w:hAnsi="Calibri"/>
                <w:b w:val="0"/>
                <w:i w:val="0"/>
                <w:color w:val="5A5A5A"/>
                <w:sz w:val="18"/>
              </w:rPr>
              <w:t>#diabetes  #HbA1c  #hyperglycaemia  #preconception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Uterine / cervical factors</w:t>
            </w:r>
          </w:p>
        </w:tc>
        <w:tc>
          <w:tcPr>
            <w:tcW w:type="dxa" w:w="2160"/>
            <w:vAlign w:val="top"/>
          </w:tcPr>
          <w:p>
            <w:pPr>
              <w:spacing w:after="40" w:before="0" w:line="259" w:lineRule="auto"/>
            </w:pPr>
            <w:r>
              <w:rPr>
                <w:rFonts w:ascii="Calibri" w:hAnsi="Calibri"/>
                <w:b w:val="0"/>
                <w:i w:val="0"/>
                <w:color w:val="212121"/>
                <w:sz w:val="19"/>
              </w:rPr>
              <w:t>Women with uterine anomalies, fibroids or cervical insufficiency</w:t>
            </w:r>
          </w:p>
        </w:tc>
        <w:tc>
          <w:tcPr>
            <w:tcW w:type="dxa" w:w="4276"/>
            <w:vAlign w:val="top"/>
          </w:tcPr>
          <w:p>
            <w:pPr>
              <w:spacing w:after="60" w:line="259" w:lineRule="auto"/>
            </w:pPr>
            <w:r>
              <w:rPr>
                <w:rFonts w:ascii="Calibri" w:hAnsi="Calibri"/>
                <w:b w:val="0"/>
                <w:i w:val="0"/>
                <w:color w:val="212121"/>
                <w:sz w:val="19"/>
              </w:rPr>
              <w:t>A septate or malformed uterus, submucosal fibroids and intrauterine adhesions disturb implantation, while cervical insufficiency causes painless mid-trimester loss.</w:t>
            </w:r>
          </w:p>
          <w:p>
            <w:pPr>
              <w:spacing w:after="40" w:before="60" w:line="259" w:lineRule="auto"/>
            </w:pPr>
            <w:r>
              <w:rPr>
                <w:rFonts w:ascii="Calibri" w:hAnsi="Calibri"/>
                <w:b w:val="0"/>
                <w:i w:val="0"/>
                <w:color w:val="212121"/>
                <w:sz w:val="19"/>
              </w:rPr>
              <w:t>Womb (uterine) abnormalities are listed among causes of miscarriage; anomalies and cervical insufficiency particularly cause mid-trimester loss.</w:t>
            </w:r>
          </w:p>
          <w:p>
            <w:pPr>
              <w:spacing w:after="40" w:line="252" w:lineRule="auto"/>
            </w:pPr>
            <w:hyperlink r:id="rId13">
              <w:r>
                <w:rPr>
                  <w:rFonts w:ascii="Calibri" w:hAnsi="Calibri" w:cs="Calibri"/>
                  <w:sz w:val="18"/>
                  <w:color w:val="1155CC"/>
                  <w:u w:val="single"/>
                </w:rPr>
                <w:t xml:space="preserve">nhs.uk — miscarriage causes</w:t>
              </w:r>
            </w:hyperlink>
          </w:p>
          <w:p>
            <w:pPr>
              <w:spacing w:before="60" w:after="40"/>
            </w:pPr>
            <w:r>
              <w:rPr>
                <w:rFonts w:ascii="Calibri" w:hAnsi="Calibri"/>
                <w:b w:val="0"/>
                <w:i w:val="0"/>
                <w:color w:val="5A5A5A"/>
                <w:sz w:val="18"/>
              </w:rPr>
              <w:t>#septateuterus  #fibroids  #cervicalinsufficiency  #midtrimester</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Routine moderate activity does not cause miscarriage and is safe; only very strenuous physical labour shows a weak association, so activity is low-influence for early loss.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Maternal undernutrition, iron-deficiency anaemia (very common in Indian women) and vitamin D/folate deficiency are linked to poorer early-pregnancy outcomes and reduced tolerance of blood loss.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Short/disrupted sleep and chronic night-shift work show only a modest association with early loss through circadian and hormonal disruption.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smoking increase miscarriage in a dose-dependent way via placental vasoconstriction and hypoxia; cessation before conception lowers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embryotoxic; periconceptional and first-trimester drinking raises miscarriage risk with no established safe level, so abstinence is advised.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 chronic stress is associated with a modest increase in loss; conversely, miscarriage itself frequently triggers depression, anxiety and PTSD — a bidirectional link.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direct causal link between routine hydration and miscarriage risk.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crosses the placenta; intakes above ~200–300 mg/day are associated with increased miscarriage risk, so intake should be limited in pregnancy.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Reproductive-tract and systemic infections, and especially unsafe or unclean abortion practices, cause incomplete and septic abortion — a preventable driver of loss and maternal death in India.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Acute febrile illness/severe infection, significant abdominal trauma and invasive procedures (amniocentesis, chorionic villus sampling) can precipitate loss.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posture has no established role in miscarriage.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Women planning/early pregnancy</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(underweight) or ≥ 30 (obese)</w:t>
            </w:r>
          </w:p>
        </w:tc>
        <w:tc>
          <w:tcPr>
            <w:tcW w:type="dxa" w:w="1468"/>
            <w:vAlign w:val="top"/>
          </w:tcPr>
          <w:p>
            <w:pPr>
              <w:spacing w:after="60" w:line="259" w:lineRule="auto"/>
            </w:pPr>
            <w:r>
              <w:rPr>
                <w:rFonts w:ascii="Calibri" w:hAnsi="Calibri"/>
                <w:b w:val="0"/>
                <w:i w:val="0"/>
                <w:color w:val="212121"/>
                <w:sz w:val="19"/>
              </w:rPr>
              <w:t>Both BMI extremes raise miscarriage risk (U-shaped)</w:t>
            </w:r>
          </w:p>
          <w:p>
            <w:pPr>
              <w:spacing w:after="40" w:line="252" w:lineRule="auto"/>
            </w:pPr>
            <w:hyperlink r:id="rId14">
              <w:r>
                <w:rPr>
                  <w:rFonts w:ascii="Calibri" w:hAnsi="Calibri" w:cs="Calibri"/>
                  <w:sz w:val="18"/>
                  <w:color w:val="1155CC"/>
                  <w:u w:val="single"/>
                </w:rPr>
                <w:t xml:space="preserve">https://www.marchofdimes.org/find-support/topics/miscarriage-loss-grief/miscarriage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~150 min/week moderate</w:t>
            </w:r>
          </w:p>
        </w:tc>
        <w:tc>
          <w:tcPr>
            <w:tcW w:type="dxa" w:w="1512"/>
            <w:vAlign w:val="top"/>
          </w:tcPr>
          <w:p>
            <w:pPr>
              <w:spacing w:after="40" w:before="0" w:line="259" w:lineRule="auto"/>
            </w:pPr>
            <w:r>
              <w:rPr>
                <w:rFonts w:ascii="Calibri" w:hAnsi="Calibri"/>
                <w:b w:val="0"/>
                <w:i w:val="0"/>
                <w:color w:val="212121"/>
                <w:sz w:val="19"/>
              </w:rPr>
              <w:t>Prolonged very strenuous labour or heavy lifting</w:t>
            </w:r>
          </w:p>
        </w:tc>
        <w:tc>
          <w:tcPr>
            <w:tcW w:type="dxa" w:w="1468"/>
            <w:vAlign w:val="top"/>
          </w:tcPr>
          <w:p>
            <w:pPr>
              <w:spacing w:after="60" w:line="259" w:lineRule="auto"/>
            </w:pPr>
            <w:r>
              <w:rPr>
                <w:rFonts w:ascii="Calibri" w:hAnsi="Calibri"/>
                <w:b w:val="0"/>
                <w:i w:val="0"/>
                <w:color w:val="212121"/>
                <w:sz w:val="19"/>
              </w:rPr>
              <w:t>Routine activity is safe; only heavy exertion weakly associated</w:t>
            </w:r>
          </w:p>
          <w:p>
            <w:pPr>
              <w:spacing w:after="40" w:line="252" w:lineRule="auto"/>
            </w:pPr>
            <w:hyperlink r:id="rId11">
              <w:r>
                <w:rPr>
                  <w:rFonts w:ascii="Calibri" w:hAnsi="Calibri" w:cs="Calibri"/>
                  <w:sz w:val="18"/>
                  <w:color w:val="1155CC"/>
                  <w:u w:val="single"/>
                </w:rPr>
                <w:t xml:space="preserve">https://pubmed.ncbi.nlm.nih.gov/33915094/</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 11 g/dL</w:t>
            </w:r>
          </w:p>
        </w:tc>
        <w:tc>
          <w:tcPr>
            <w:tcW w:type="dxa" w:w="1512"/>
            <w:vAlign w:val="top"/>
          </w:tcPr>
          <w:p>
            <w:pPr>
              <w:spacing w:after="40" w:before="0" w:line="259" w:lineRule="auto"/>
            </w:pPr>
            <w:r>
              <w:rPr>
                <w:rFonts w:ascii="Calibri" w:hAnsi="Calibri"/>
                <w:b w:val="0"/>
                <w:i w:val="0"/>
                <w:color w:val="212121"/>
                <w:sz w:val="19"/>
              </w:rPr>
              <w:t>&lt; 11 (anaemia); &lt; 7 severe</w:t>
            </w:r>
          </w:p>
        </w:tc>
        <w:tc>
          <w:tcPr>
            <w:tcW w:type="dxa" w:w="1468"/>
            <w:vAlign w:val="top"/>
          </w:tcPr>
          <w:p>
            <w:pPr>
              <w:spacing w:after="40" w:before="0" w:line="259" w:lineRule="auto"/>
            </w:pPr>
            <w:r>
              <w:rPr>
                <w:rFonts w:ascii="Calibri" w:hAnsi="Calibri"/>
                <w:b w:val="0"/>
                <w:i w:val="0"/>
                <w:color w:val="212121"/>
                <w:sz w:val="19"/>
              </w:rPr>
              <w:t>Anaemia is widespread in Indian women and reduces reserve for blood loss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 vitamin D (ng/mL)</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 20–30 ng/mL</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60" w:line="259" w:lineRule="auto"/>
            </w:pPr>
            <w:r>
              <w:rPr>
                <w:rFonts w:ascii="Calibri" w:hAnsi="Calibri"/>
                <w:b w:val="0"/>
                <w:i w:val="0"/>
                <w:color w:val="212121"/>
                <w:sz w:val="19"/>
              </w:rPr>
              <w:t>Deficiency is listed among factors that may raise loss risk</w:t>
            </w:r>
          </w:p>
          <w:p>
            <w:pPr>
              <w:spacing w:after="40" w:line="252" w:lineRule="auto"/>
            </w:pPr>
            <w:hyperlink r:id="rId13">
              <w:r>
                <w:rPr>
                  <w:rFonts w:ascii="Calibri" w:hAnsi="Calibri" w:cs="Calibri"/>
                  <w:sz w:val="18"/>
                  <w:color w:val="1155CC"/>
                  <w:u w:val="single"/>
                </w:rPr>
                <w:t xml:space="preserve">https://www.nhs.uk/conditions/miscarriage/causes/</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&lt; 200 mg/day</w:t>
            </w:r>
          </w:p>
        </w:tc>
        <w:tc>
          <w:tcPr>
            <w:tcW w:type="dxa" w:w="1512"/>
            <w:vAlign w:val="top"/>
          </w:tcPr>
          <w:p>
            <w:pPr>
              <w:spacing w:after="40" w:before="0" w:line="259" w:lineRule="auto"/>
            </w:pPr>
            <w:r>
              <w:rPr>
                <w:rFonts w:ascii="Calibri" w:hAnsi="Calibri"/>
                <w:b w:val="0"/>
                <w:i w:val="0"/>
                <w:color w:val="212121"/>
                <w:sz w:val="19"/>
              </w:rPr>
              <w:t>&gt; 200–300 mg/day</w:t>
            </w:r>
          </w:p>
        </w:tc>
        <w:tc>
          <w:tcPr>
            <w:tcW w:type="dxa" w:w="1468"/>
            <w:vAlign w:val="top"/>
          </w:tcPr>
          <w:p>
            <w:pPr>
              <w:spacing w:after="60" w:line="259" w:lineRule="auto"/>
            </w:pPr>
            <w:r>
              <w:rPr>
                <w:rFonts w:ascii="Calibri" w:hAnsi="Calibri"/>
                <w:b w:val="0"/>
                <w:i w:val="0"/>
                <w:color w:val="212121"/>
                <w:sz w:val="19"/>
              </w:rPr>
              <w:t>Higher intake associated with increased miscarriage risk</w:t>
            </w:r>
          </w:p>
          <w:p>
            <w:pPr>
              <w:spacing w:after="40" w:line="252" w:lineRule="auto"/>
            </w:pPr>
            <w:hyperlink r:id="rId14">
              <w:r>
                <w:rPr>
                  <w:rFonts w:ascii="Calibri" w:hAnsi="Calibri" w:cs="Calibri"/>
                  <w:sz w:val="18"/>
                  <w:color w:val="1155CC"/>
                  <w:u w:val="single"/>
                </w:rPr>
                <w:t xml:space="preserve">https://www.marchofdimes.org/find-support/topics/miscarriage-loss-grief/miscarriage</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 (or household second-hand smoke)</w:t>
            </w:r>
          </w:p>
        </w:tc>
        <w:tc>
          <w:tcPr>
            <w:tcW w:type="dxa" w:w="1468"/>
            <w:vAlign w:val="top"/>
          </w:tcPr>
          <w:p>
            <w:pPr>
              <w:spacing w:after="60" w:line="259" w:lineRule="auto"/>
            </w:pPr>
            <w:r>
              <w:rPr>
                <w:rFonts w:ascii="Calibri" w:hAnsi="Calibri"/>
                <w:b w:val="0"/>
                <w:i w:val="0"/>
                <w:color w:val="212121"/>
                <w:sz w:val="19"/>
              </w:rPr>
              <w:t>Dose-dependent increase in loss; avoid passive smoke too</w:t>
            </w:r>
          </w:p>
          <w:p>
            <w:pPr>
              <w:spacing w:after="40" w:line="252" w:lineRule="auto"/>
            </w:pPr>
            <w:hyperlink r:id="rId11">
              <w:r>
                <w:rPr>
                  <w:rFonts w:ascii="Calibri" w:hAnsi="Calibri" w:cs="Calibri"/>
                  <w:sz w:val="18"/>
                  <w:color w:val="1155CC"/>
                  <w:u w:val="single"/>
                </w:rPr>
                <w:t xml:space="preserve">https://pubmed.ncbi.nlm.nih.gov/33915094/</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(drinks/week)</w:t>
            </w:r>
          </w:p>
        </w:tc>
        <w:tc>
          <w:tcPr>
            <w:tcW w:type="dxa" w:w="1655"/>
            <w:vAlign w:val="top"/>
          </w:tcPr>
          <w:p>
            <w:pPr>
              <w:spacing w:after="40" w:before="0" w:line="259" w:lineRule="auto"/>
            </w:pPr>
            <w:r>
              <w:rPr>
                <w:rFonts w:ascii="Calibri" w:hAnsi="Calibri"/>
                <w:b w:val="0"/>
                <w:i w:val="0"/>
                <w:color w:val="212121"/>
                <w:sz w:val="19"/>
              </w:rPr>
              <w:t>Pregnant women / trying to conceive</w:t>
            </w:r>
          </w:p>
        </w:tc>
        <w:tc>
          <w:tcPr>
            <w:tcW w:type="dxa" w:w="1512"/>
            <w:vAlign w:val="top"/>
          </w:tcPr>
          <w:p>
            <w:pPr>
              <w:spacing w:after="40" w:before="0" w:line="259" w:lineRule="auto"/>
            </w:pPr>
            <w:r>
              <w:rPr>
                <w:rFonts w:ascii="Calibri" w:hAnsi="Calibri"/>
                <w:b w:val="0"/>
                <w:i w:val="0"/>
                <w:color w:val="212121"/>
                <w:sz w:val="19"/>
              </w:rPr>
              <w:t>0 (none)</w:t>
            </w:r>
          </w:p>
        </w:tc>
        <w:tc>
          <w:tcPr>
            <w:tcW w:type="dxa" w:w="1512"/>
            <w:vAlign w:val="top"/>
          </w:tcPr>
          <w:p>
            <w:pPr>
              <w:spacing w:after="40" w:before="0" w:line="259" w:lineRule="auto"/>
            </w:pPr>
            <w:r>
              <w:rPr>
                <w:rFonts w:ascii="Calibri" w:hAnsi="Calibri"/>
                <w:b w:val="0"/>
                <w:i w:val="0"/>
                <w:color w:val="212121"/>
                <w:sz w:val="19"/>
              </w:rPr>
              <w:t>Any alcohol intake</w:t>
            </w:r>
          </w:p>
        </w:tc>
        <w:tc>
          <w:tcPr>
            <w:tcW w:type="dxa" w:w="1468"/>
            <w:vAlign w:val="top"/>
          </w:tcPr>
          <w:p>
            <w:pPr>
              <w:spacing w:after="60" w:line="259" w:lineRule="auto"/>
            </w:pPr>
            <w:r>
              <w:rPr>
                <w:rFonts w:ascii="Calibri" w:hAnsi="Calibri"/>
                <w:b w:val="0"/>
                <w:i w:val="0"/>
                <w:color w:val="212121"/>
                <w:sz w:val="19"/>
              </w:rPr>
              <w:t>No safe threshold; abstinence advised</w:t>
            </w:r>
          </w:p>
          <w:p>
            <w:pPr>
              <w:spacing w:after="40" w:line="252" w:lineRule="auto"/>
            </w:pPr>
            <w:hyperlink r:id="rId13">
              <w:r>
                <w:rPr>
                  <w:rFonts w:ascii="Calibri" w:hAnsi="Calibri" w:cs="Calibri"/>
                  <w:sz w:val="18"/>
                  <w:color w:val="1155CC"/>
                  <w:u w:val="single"/>
                </w:rPr>
                <w:t xml:space="preserve">https://www.nhs.uk/conditions/miscarriage/causes/</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shift pattern</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7–9 h, day schedule</w:t>
            </w:r>
          </w:p>
        </w:tc>
        <w:tc>
          <w:tcPr>
            <w:tcW w:type="dxa" w:w="1512"/>
            <w:vAlign w:val="top"/>
          </w:tcPr>
          <w:p>
            <w:pPr>
              <w:spacing w:after="40" w:before="0" w:line="259" w:lineRule="auto"/>
            </w:pPr>
            <w:r>
              <w:rPr>
                <w:rFonts w:ascii="Calibri" w:hAnsi="Calibri"/>
                <w:b w:val="0"/>
                <w:i w:val="0"/>
                <w:color w:val="212121"/>
                <w:sz w:val="19"/>
              </w:rPr>
              <w:t>Chronic night-shift work</w:t>
            </w:r>
          </w:p>
        </w:tc>
        <w:tc>
          <w:tcPr>
            <w:tcW w:type="dxa" w:w="1468"/>
            <w:vAlign w:val="top"/>
          </w:tcPr>
          <w:p>
            <w:pPr>
              <w:spacing w:after="60" w:line="259" w:lineRule="auto"/>
            </w:pPr>
            <w:r>
              <w:rPr>
                <w:rFonts w:ascii="Calibri" w:hAnsi="Calibri"/>
                <w:b w:val="0"/>
                <w:i w:val="0"/>
                <w:color w:val="212121"/>
                <w:sz w:val="19"/>
              </w:rPr>
              <w:t>Circadian disruption weakly linked to early loss</w:t>
            </w:r>
          </w:p>
          <w:p>
            <w:pPr>
              <w:spacing w:after="40" w:line="252" w:lineRule="auto"/>
            </w:pPr>
            <w:hyperlink r:id="rId11">
              <w:r>
                <w:rPr>
                  <w:rFonts w:ascii="Calibri" w:hAnsi="Calibri" w:cs="Calibri"/>
                  <w:sz w:val="18"/>
                  <w:color w:val="1155CC"/>
                  <w:u w:val="single"/>
                </w:rPr>
                <w:t xml:space="preserve">https://pubmed.ncbi.nlm.nih.gov/33915094/</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Chronic perceived stress</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Low–moderate, well-supported</w:t>
            </w:r>
          </w:p>
        </w:tc>
        <w:tc>
          <w:tcPr>
            <w:tcW w:type="dxa" w:w="1512"/>
            <w:vAlign w:val="top"/>
          </w:tcPr>
          <w:p>
            <w:pPr>
              <w:spacing w:after="40" w:before="0" w:line="259" w:lineRule="auto"/>
            </w:pPr>
            <w:r>
              <w:rPr>
                <w:rFonts w:ascii="Calibri" w:hAnsi="Calibri"/>
                <w:b w:val="0"/>
                <w:i w:val="0"/>
                <w:color w:val="212121"/>
                <w:sz w:val="19"/>
              </w:rPr>
              <w:t>High sustained stress</w:t>
            </w:r>
          </w:p>
        </w:tc>
        <w:tc>
          <w:tcPr>
            <w:tcW w:type="dxa" w:w="1468"/>
            <w:vAlign w:val="top"/>
          </w:tcPr>
          <w:p>
            <w:pPr>
              <w:spacing w:after="60" w:line="259" w:lineRule="auto"/>
            </w:pPr>
            <w:r>
              <w:rPr>
                <w:rFonts w:ascii="Calibri" w:hAnsi="Calibri"/>
                <w:b w:val="0"/>
                <w:i w:val="0"/>
                <w:color w:val="212121"/>
                <w:sz w:val="19"/>
              </w:rPr>
              <w:t>Modest association; also a major consequence of loss</w:t>
            </w:r>
          </w:p>
          <w:p>
            <w:pPr>
              <w:spacing w:after="40" w:line="252" w:lineRule="auto"/>
            </w:pPr>
            <w:hyperlink r:id="rId11">
              <w:r>
                <w:rPr>
                  <w:rFonts w:ascii="Calibri" w:hAnsi="Calibri" w:cs="Calibri"/>
                  <w:sz w:val="18"/>
                  <w:color w:val="1155CC"/>
                  <w:u w:val="single"/>
                </w:rPr>
                <w:t xml:space="preserve">https://pubmed.ncbi.nlm.nih.gov/33915094/</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Transvaginal ultrasound (CRL, cardiac activity, MSD)</w:t>
            </w:r>
          </w:p>
        </w:tc>
        <w:tc>
          <w:tcPr>
            <w:tcW w:type="dxa" w:w="892"/>
            <w:vAlign w:val="top"/>
          </w:tcPr>
          <w:p>
            <w:pPr>
              <w:spacing w:after="40" w:before="0" w:line="259" w:lineRule="auto"/>
            </w:pPr>
            <w:r>
              <w:rPr>
                <w:rFonts w:ascii="Calibri" w:hAnsi="Calibri"/>
                <w:b w:val="0"/>
                <w:i w:val="0"/>
                <w:color w:val="212121"/>
                <w:sz w:val="16"/>
              </w:rPr>
              <w:t>Transvaginal ultrasonography</w:t>
            </w:r>
          </w:p>
        </w:tc>
        <w:tc>
          <w:tcPr>
            <w:tcW w:type="dxa" w:w="950"/>
            <w:vAlign w:val="top"/>
          </w:tcPr>
          <w:p>
            <w:pPr>
              <w:spacing w:after="40" w:before="0" w:line="259" w:lineRule="auto"/>
            </w:pPr>
            <w:r>
              <w:rPr>
                <w:rFonts w:ascii="Calibri" w:hAnsi="Calibri"/>
                <w:b w:val="0"/>
                <w:i w:val="0"/>
                <w:color w:val="212121"/>
                <w:sz w:val="16"/>
              </w:rPr>
              <w:t>Embryo with cardiac activity; CRL &lt; 7 mm indeterminate</w:t>
            </w:r>
          </w:p>
        </w:tc>
        <w:tc>
          <w:tcPr>
            <w:tcW w:type="dxa" w:w="950"/>
            <w:vAlign w:val="top"/>
          </w:tcPr>
          <w:p>
            <w:pPr>
              <w:spacing w:after="40" w:before="0" w:line="259" w:lineRule="auto"/>
            </w:pPr>
            <w:r>
              <w:rPr>
                <w:rFonts w:ascii="Calibri" w:hAnsi="Calibri"/>
                <w:b w:val="0"/>
                <w:i w:val="0"/>
                <w:color w:val="212121"/>
                <w:sz w:val="16"/>
              </w:rPr>
              <w:t>CRL ≥ 7 mm with no heartbeat OR MSD ≥ 25 mm with no embryo</w:t>
            </w:r>
          </w:p>
        </w:tc>
        <w:tc>
          <w:tcPr>
            <w:tcW w:type="dxa" w:w="1036"/>
            <w:vAlign w:val="top"/>
          </w:tcPr>
          <w:p>
            <w:pPr>
              <w:spacing w:after="40" w:before="0" w:line="259" w:lineRule="auto"/>
            </w:pPr>
            <w:r>
              <w:rPr>
                <w:rFonts w:ascii="Calibri" w:hAnsi="Calibri"/>
                <w:b w:val="0"/>
                <w:i w:val="0"/>
                <w:color w:val="212121"/>
                <w:sz w:val="16"/>
              </w:rPr>
              <w:t>Definitive diagnosis of early pregnancy failure and viability</w:t>
            </w:r>
          </w:p>
        </w:tc>
        <w:tc>
          <w:tcPr>
            <w:tcW w:type="dxa" w:w="1036"/>
            <w:vAlign w:val="top"/>
          </w:tcPr>
          <w:p>
            <w:pPr>
              <w:spacing w:after="40" w:before="0" w:line="259" w:lineRule="auto"/>
            </w:pPr>
            <w:r>
              <w:rPr>
                <w:rFonts w:ascii="Calibri" w:hAnsi="Calibri"/>
                <w:b w:val="0"/>
                <w:i w:val="0"/>
                <w:color w:val="212121"/>
                <w:sz w:val="16"/>
              </w:rPr>
              <w:t>Women with bleeding/pain in early pregnancy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Repeat/serial scan if findings indeterminate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beta-hCG (serial, 48–72 h)</w:t>
            </w:r>
          </w:p>
        </w:tc>
        <w:tc>
          <w:tcPr>
            <w:tcW w:type="dxa" w:w="892"/>
            <w:vAlign w:val="top"/>
          </w:tcPr>
          <w:p>
            <w:pPr>
              <w:spacing w:after="40" w:before="0" w:line="259" w:lineRule="auto"/>
            </w:pPr>
            <w:r>
              <w:rPr>
                <w:rFonts w:ascii="Calibri" w:hAnsi="Calibri"/>
                <w:b w:val="0"/>
                <w:i w:val="0"/>
                <w:color w:val="212121"/>
                <w:sz w:val="16"/>
              </w:rPr>
              <w:t>Quantitative beta-hCG</w:t>
            </w:r>
          </w:p>
        </w:tc>
        <w:tc>
          <w:tcPr>
            <w:tcW w:type="dxa" w:w="950"/>
            <w:vAlign w:val="top"/>
          </w:tcPr>
          <w:p>
            <w:pPr>
              <w:spacing w:after="40" w:before="0" w:line="259" w:lineRule="auto"/>
            </w:pPr>
            <w:r>
              <w:rPr>
                <w:rFonts w:ascii="Calibri" w:hAnsi="Calibri"/>
                <w:b w:val="0"/>
                <w:i w:val="0"/>
                <w:color w:val="212121"/>
                <w:sz w:val="16"/>
              </w:rPr>
              <w:t>Appropriate rise in a viable intrauterine pregnancy</w:t>
            </w:r>
          </w:p>
        </w:tc>
        <w:tc>
          <w:tcPr>
            <w:tcW w:type="dxa" w:w="950"/>
            <w:vAlign w:val="top"/>
          </w:tcPr>
          <w:p>
            <w:pPr>
              <w:spacing w:after="40" w:before="0" w:line="259" w:lineRule="auto"/>
            </w:pPr>
            <w:r>
              <w:rPr>
                <w:rFonts w:ascii="Calibri" w:hAnsi="Calibri"/>
                <w:b w:val="0"/>
                <w:i w:val="0"/>
                <w:color w:val="212121"/>
                <w:sz w:val="16"/>
              </w:rPr>
              <w:t>Sub-optimal rise or falling levels</w:t>
            </w:r>
          </w:p>
        </w:tc>
        <w:tc>
          <w:tcPr>
            <w:tcW w:type="dxa" w:w="1036"/>
            <w:vAlign w:val="top"/>
          </w:tcPr>
          <w:p>
            <w:pPr>
              <w:spacing w:after="40" w:before="0" w:line="259" w:lineRule="auto"/>
            </w:pPr>
            <w:r>
              <w:rPr>
                <w:rFonts w:ascii="Calibri" w:hAnsi="Calibri"/>
                <w:b w:val="0"/>
                <w:i w:val="0"/>
                <w:color w:val="212121"/>
                <w:sz w:val="16"/>
              </w:rPr>
              <w:t>Supports failing pregnancy; helps exclude ectopic when location unknown</w:t>
            </w:r>
          </w:p>
        </w:tc>
        <w:tc>
          <w:tcPr>
            <w:tcW w:type="dxa" w:w="1036"/>
            <w:vAlign w:val="top"/>
          </w:tcPr>
          <w:p>
            <w:pPr>
              <w:spacing w:after="40" w:before="0" w:line="259" w:lineRule="auto"/>
            </w:pPr>
            <w:r>
              <w:rPr>
                <w:rFonts w:ascii="Calibri" w:hAnsi="Calibri"/>
                <w:b w:val="0"/>
                <w:i w:val="0"/>
                <w:color w:val="212121"/>
                <w:sz w:val="16"/>
              </w:rPr>
              <w:t>Pregnancy of unknown location, threatened loss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adjunct</w:t>
            </w:r>
          </w:p>
        </w:tc>
        <w:tc>
          <w:tcPr>
            <w:tcW w:type="dxa" w:w="720"/>
            <w:vAlign w:val="top"/>
          </w:tcPr>
          <w:p>
            <w:pPr>
              <w:spacing w:after="40" w:before="0" w:line="259" w:lineRule="auto"/>
            </w:pPr>
            <w:r>
              <w:rPr>
                <w:rFonts w:ascii="Calibri" w:hAnsi="Calibri"/>
                <w:b w:val="0"/>
                <w:i w:val="0"/>
                <w:color w:val="212121"/>
                <w:sz w:val="16"/>
              </w:rPr>
              <w:t>No single value is diagnostic of miscarriage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Immunohaematology</w:t>
            </w:r>
          </w:p>
        </w:tc>
        <w:tc>
          <w:tcPr>
            <w:tcW w:type="dxa" w:w="1036"/>
            <w:vAlign w:val="top"/>
          </w:tcPr>
          <w:p>
            <w:pPr>
              <w:spacing w:after="40" w:before="0" w:line="259" w:lineRule="auto"/>
            </w:pPr>
            <w:r>
              <w:rPr>
                <w:rFonts w:ascii="Calibri" w:hAnsi="Calibri"/>
                <w:b w:val="0"/>
                <w:i w:val="0"/>
                <w:color w:val="212121"/>
                <w:sz w:val="16"/>
              </w:rPr>
              <w:t>Blood group &amp; Rh(D) type</w:t>
            </w:r>
          </w:p>
        </w:tc>
        <w:tc>
          <w:tcPr>
            <w:tcW w:type="dxa" w:w="892"/>
            <w:vAlign w:val="top"/>
          </w:tcPr>
          <w:p>
            <w:pPr>
              <w:spacing w:after="40" w:before="0" w:line="259" w:lineRule="auto"/>
            </w:pPr>
            <w:r>
              <w:rPr>
                <w:rFonts w:ascii="Calibri" w:hAnsi="Calibri"/>
                <w:b w:val="0"/>
                <w:i w:val="0"/>
                <w:color w:val="212121"/>
                <w:sz w:val="16"/>
              </w:rPr>
              <w:t>ABO/Rh typing</w:t>
            </w:r>
          </w:p>
        </w:tc>
        <w:tc>
          <w:tcPr>
            <w:tcW w:type="dxa" w:w="950"/>
            <w:vAlign w:val="top"/>
          </w:tcPr>
          <w:p>
            <w:pPr>
              <w:spacing w:after="40" w:before="0" w:line="259" w:lineRule="auto"/>
            </w:pPr>
            <w:r>
              <w:rPr>
                <w:rFonts w:ascii="Calibri" w:hAnsi="Calibri"/>
                <w:b w:val="0"/>
                <w:i w:val="0"/>
                <w:color w:val="212121"/>
                <w:sz w:val="16"/>
              </w:rPr>
              <w:t>Rh(D) positive</w:t>
            </w:r>
          </w:p>
        </w:tc>
        <w:tc>
          <w:tcPr>
            <w:tcW w:type="dxa" w:w="950"/>
            <w:vAlign w:val="top"/>
          </w:tcPr>
          <w:p>
            <w:pPr>
              <w:spacing w:after="40" w:before="0" w:line="259" w:lineRule="auto"/>
            </w:pPr>
            <w:r>
              <w:rPr>
                <w:rFonts w:ascii="Calibri" w:hAnsi="Calibri"/>
                <w:b w:val="0"/>
                <w:i w:val="0"/>
                <w:color w:val="212121"/>
                <w:sz w:val="16"/>
              </w:rPr>
              <w:t>Rh(D) negative</w:t>
            </w:r>
          </w:p>
        </w:tc>
        <w:tc>
          <w:tcPr>
            <w:tcW w:type="dxa" w:w="1036"/>
            <w:vAlign w:val="top"/>
          </w:tcPr>
          <w:p>
            <w:pPr>
              <w:spacing w:after="40" w:before="0" w:line="259" w:lineRule="auto"/>
            </w:pPr>
            <w:r>
              <w:rPr>
                <w:rFonts w:ascii="Calibri" w:hAnsi="Calibri"/>
                <w:b w:val="0"/>
                <w:i w:val="0"/>
                <w:color w:val="212121"/>
                <w:sz w:val="16"/>
              </w:rPr>
              <w:t>Rh-negative women need anti-D immunoglobulin to prevent isoimmunization</w:t>
            </w:r>
          </w:p>
        </w:tc>
        <w:tc>
          <w:tcPr>
            <w:tcW w:type="dxa" w:w="1036"/>
            <w:vAlign w:val="top"/>
          </w:tcPr>
          <w:p>
            <w:pPr>
              <w:spacing w:after="40" w:before="0" w:line="259" w:lineRule="auto"/>
            </w:pPr>
            <w:r>
              <w:rPr>
                <w:rFonts w:ascii="Calibri" w:hAnsi="Calibri"/>
                <w:b w:val="0"/>
                <w:i w:val="0"/>
                <w:color w:val="212121"/>
                <w:sz w:val="16"/>
              </w:rPr>
              <w:t>All women with miscarriage/bleeding</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Prevents sensitization</w:t>
            </w:r>
          </w:p>
        </w:tc>
        <w:tc>
          <w:tcPr>
            <w:tcW w:type="dxa" w:w="720"/>
            <w:vAlign w:val="top"/>
          </w:tcPr>
          <w:p>
            <w:pPr>
              <w:spacing w:after="40" w:before="0" w:line="259" w:lineRule="auto"/>
            </w:pPr>
            <w:r>
              <w:rPr>
                <w:rFonts w:ascii="Calibri" w:hAnsi="Calibri"/>
                <w:b w:val="0"/>
                <w:i w:val="0"/>
                <w:color w:val="212121"/>
                <w:sz w:val="16"/>
              </w:rPr>
              <w:t>Give anti-D per gestation/protocol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 Haemoglobin</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Hb ≥ 11 g/dL; normal WBC</w:t>
            </w:r>
          </w:p>
        </w:tc>
        <w:tc>
          <w:tcPr>
            <w:tcW w:type="dxa" w:w="950"/>
            <w:vAlign w:val="top"/>
          </w:tcPr>
          <w:p>
            <w:pPr>
              <w:spacing w:after="40" w:before="0" w:line="259" w:lineRule="auto"/>
            </w:pPr>
            <w:r>
              <w:rPr>
                <w:rFonts w:ascii="Calibri" w:hAnsi="Calibri"/>
                <w:b w:val="0"/>
                <w:i w:val="0"/>
                <w:color w:val="212121"/>
                <w:sz w:val="16"/>
              </w:rPr>
              <w:t>Low Hb (blood loss/anaemia); leukocytosis (infection)</w:t>
            </w:r>
          </w:p>
        </w:tc>
        <w:tc>
          <w:tcPr>
            <w:tcW w:type="dxa" w:w="1036"/>
            <w:vAlign w:val="top"/>
          </w:tcPr>
          <w:p>
            <w:pPr>
              <w:spacing w:after="40" w:before="0" w:line="259" w:lineRule="auto"/>
            </w:pPr>
            <w:r>
              <w:rPr>
                <w:rFonts w:ascii="Calibri" w:hAnsi="Calibri"/>
                <w:b w:val="0"/>
                <w:i w:val="0"/>
                <w:color w:val="212121"/>
                <w:sz w:val="16"/>
              </w:rPr>
              <w:t>Quantifies blood loss and flags septic abortion</w:t>
            </w:r>
          </w:p>
        </w:tc>
        <w:tc>
          <w:tcPr>
            <w:tcW w:type="dxa" w:w="1036"/>
            <w:vAlign w:val="top"/>
          </w:tcPr>
          <w:p>
            <w:pPr>
              <w:spacing w:after="40" w:before="0" w:line="259" w:lineRule="auto"/>
            </w:pPr>
            <w:r>
              <w:rPr>
                <w:rFonts w:ascii="Calibri" w:hAnsi="Calibri"/>
                <w:b w:val="0"/>
                <w:i w:val="0"/>
                <w:color w:val="212121"/>
                <w:sz w:val="16"/>
              </w:rPr>
              <w:t>Heavy bleeding, suspected sepsis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Safety assessment</w:t>
            </w:r>
          </w:p>
        </w:tc>
        <w:tc>
          <w:tcPr>
            <w:tcW w:type="dxa" w:w="720"/>
            <w:vAlign w:val="top"/>
          </w:tcPr>
          <w:p>
            <w:pPr>
              <w:spacing w:after="40" w:before="0" w:line="259" w:lineRule="auto"/>
            </w:pPr>
            <w:r>
              <w:rPr>
                <w:rFonts w:ascii="Calibri" w:hAnsi="Calibri"/>
                <w:b w:val="0"/>
                <w:i w:val="0"/>
                <w:color w:val="212121"/>
                <w:sz w:val="16"/>
              </w:rPr>
              <w:t>Cross-match if haemodynamically unstable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TSH ± TPO antibodies</w:t>
            </w:r>
          </w:p>
        </w:tc>
        <w:tc>
          <w:tcPr>
            <w:tcW w:type="dxa" w:w="892"/>
            <w:vAlign w:val="top"/>
          </w:tcPr>
          <w:p>
            <w:pPr>
              <w:spacing w:after="40" w:before="0" w:line="259" w:lineRule="auto"/>
            </w:pPr>
            <w:r>
              <w:rPr>
                <w:rFonts w:ascii="Calibri" w:hAnsi="Calibri"/>
                <w:b w:val="0"/>
                <w:i w:val="0"/>
                <w:color w:val="212121"/>
                <w:sz w:val="16"/>
              </w:rPr>
              <w:t>Thyroid function</w:t>
            </w:r>
          </w:p>
        </w:tc>
        <w:tc>
          <w:tcPr>
            <w:tcW w:type="dxa" w:w="950"/>
            <w:vAlign w:val="top"/>
          </w:tcPr>
          <w:p>
            <w:pPr>
              <w:spacing w:after="40" w:before="0" w:line="259" w:lineRule="auto"/>
            </w:pPr>
            <w:r>
              <w:rPr>
                <w:rFonts w:ascii="Calibri" w:hAnsi="Calibri"/>
                <w:b w:val="0"/>
                <w:i w:val="0"/>
                <w:color w:val="212121"/>
                <w:sz w:val="16"/>
              </w:rPr>
              <w:t>TSH within trimester-specific range</w:t>
            </w:r>
          </w:p>
        </w:tc>
        <w:tc>
          <w:tcPr>
            <w:tcW w:type="dxa" w:w="950"/>
            <w:vAlign w:val="top"/>
          </w:tcPr>
          <w:p>
            <w:pPr>
              <w:spacing w:after="40" w:before="0" w:line="259" w:lineRule="auto"/>
            </w:pPr>
            <w:r>
              <w:rPr>
                <w:rFonts w:ascii="Calibri" w:hAnsi="Calibri"/>
                <w:b w:val="0"/>
                <w:i w:val="0"/>
                <w:color w:val="212121"/>
                <w:sz w:val="16"/>
              </w:rPr>
              <w:t>Elevated TSH; positive TPO antibodies</w:t>
            </w:r>
          </w:p>
        </w:tc>
        <w:tc>
          <w:tcPr>
            <w:tcW w:type="dxa" w:w="1036"/>
            <w:vAlign w:val="top"/>
          </w:tcPr>
          <w:p>
            <w:pPr>
              <w:spacing w:after="40" w:before="0" w:line="259" w:lineRule="auto"/>
            </w:pPr>
            <w:r>
              <w:rPr>
                <w:rFonts w:ascii="Calibri" w:hAnsi="Calibri"/>
                <w:b w:val="0"/>
                <w:i w:val="0"/>
                <w:color w:val="212121"/>
                <w:sz w:val="16"/>
              </w:rPr>
              <w:t>Identifies treatable thyroid cause, especially in recurrent loss</w:t>
            </w:r>
          </w:p>
        </w:tc>
        <w:tc>
          <w:tcPr>
            <w:tcW w:type="dxa" w:w="1036"/>
            <w:vAlign w:val="top"/>
          </w:tcPr>
          <w:p>
            <w:pPr>
              <w:spacing w:after="40" w:before="0" w:line="259" w:lineRule="auto"/>
            </w:pPr>
            <w:r>
              <w:rPr>
                <w:rFonts w:ascii="Calibri" w:hAnsi="Calibri"/>
                <w:b w:val="0"/>
                <w:i w:val="0"/>
                <w:color w:val="212121"/>
                <w:sz w:val="16"/>
              </w:rPr>
              <w:t>Recurrent loss, known thyroid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Treatable cause</w:t>
            </w:r>
          </w:p>
        </w:tc>
        <w:tc>
          <w:tcPr>
            <w:tcW w:type="dxa" w:w="720"/>
            <w:vAlign w:val="top"/>
          </w:tcPr>
          <w:p>
            <w:pPr>
              <w:spacing w:after="40" w:before="0" w:line="259" w:lineRule="auto"/>
            </w:pPr>
            <w:r>
              <w:rPr>
                <w:rFonts w:ascii="Calibri" w:hAnsi="Calibri"/>
                <w:b w:val="0"/>
                <w:i w:val="0"/>
                <w:color w:val="212121"/>
                <w:sz w:val="16"/>
              </w:rPr>
              <w:t>Common in Indian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assessment</w:t>
            </w:r>
          </w:p>
        </w:tc>
        <w:tc>
          <w:tcPr>
            <w:tcW w:type="dxa" w:w="950"/>
            <w:vAlign w:val="top"/>
          </w:tcPr>
          <w:p>
            <w:pPr>
              <w:spacing w:after="40" w:before="0" w:line="259" w:lineRule="auto"/>
            </w:pPr>
            <w:r>
              <w:rPr>
                <w:rFonts w:ascii="Calibri" w:hAnsi="Calibri"/>
                <w:b w:val="0"/>
                <w:i w:val="0"/>
                <w:color w:val="212121"/>
                <w:sz w:val="16"/>
              </w:rPr>
              <w:t>Normoglycaemia; HbA1c near-normal pre-conception</w:t>
            </w:r>
          </w:p>
        </w:tc>
        <w:tc>
          <w:tcPr>
            <w:tcW w:type="dxa" w:w="950"/>
            <w:vAlign w:val="top"/>
          </w:tcPr>
          <w:p>
            <w:pPr>
              <w:spacing w:after="40" w:before="0" w:line="259" w:lineRule="auto"/>
            </w:pPr>
            <w:r>
              <w:rPr>
                <w:rFonts w:ascii="Calibri" w:hAnsi="Calibri"/>
                <w:b w:val="0"/>
                <w:i w:val="0"/>
                <w:color w:val="212121"/>
                <w:sz w:val="16"/>
              </w:rPr>
              <w:t>Hyperglycaemia; elevated HbA1c</w:t>
            </w:r>
          </w:p>
        </w:tc>
        <w:tc>
          <w:tcPr>
            <w:tcW w:type="dxa" w:w="1036"/>
            <w:vAlign w:val="top"/>
          </w:tcPr>
          <w:p>
            <w:pPr>
              <w:spacing w:after="40" w:before="0" w:line="259" w:lineRule="auto"/>
            </w:pPr>
            <w:r>
              <w:rPr>
                <w:rFonts w:ascii="Calibri" w:hAnsi="Calibri"/>
                <w:b w:val="0"/>
                <w:i w:val="0"/>
                <w:color w:val="212121"/>
                <w:sz w:val="16"/>
              </w:rPr>
              <w:t>Poorly controlled pre-gestational diabetes raises loss risk</w:t>
            </w:r>
          </w:p>
        </w:tc>
        <w:tc>
          <w:tcPr>
            <w:tcW w:type="dxa" w:w="1036"/>
            <w:vAlign w:val="top"/>
          </w:tcPr>
          <w:p>
            <w:pPr>
              <w:spacing w:after="40" w:before="0" w:line="259" w:lineRule="auto"/>
            </w:pPr>
            <w:r>
              <w:rPr>
                <w:rFonts w:ascii="Calibri" w:hAnsi="Calibri"/>
                <w:b w:val="0"/>
                <w:i w:val="0"/>
                <w:color w:val="212121"/>
                <w:sz w:val="16"/>
              </w:rPr>
              <w:t>Diabetic or high-risk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Modifiable cause</w:t>
            </w:r>
          </w:p>
        </w:tc>
        <w:tc>
          <w:tcPr>
            <w:tcW w:type="dxa" w:w="720"/>
            <w:vAlign w:val="top"/>
          </w:tcPr>
          <w:p>
            <w:pPr>
              <w:spacing w:after="40" w:before="0" w:line="259" w:lineRule="auto"/>
            </w:pPr>
            <w:r>
              <w:rPr>
                <w:rFonts w:ascii="Calibri" w:hAnsi="Calibri"/>
                <w:b w:val="0"/>
                <w:i w:val="0"/>
                <w:color w:val="212121"/>
                <w:sz w:val="16"/>
              </w:rPr>
              <w:t>Optimise before conception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Antiphospholipid antibodies (LA, aCL, anti-β2GP1)</w:t>
            </w:r>
          </w:p>
        </w:tc>
        <w:tc>
          <w:tcPr>
            <w:tcW w:type="dxa" w:w="892"/>
            <w:vAlign w:val="top"/>
          </w:tcPr>
          <w:p>
            <w:pPr>
              <w:spacing w:after="40" w:before="0" w:line="259" w:lineRule="auto"/>
            </w:pPr>
            <w:r>
              <w:rPr>
                <w:rFonts w:ascii="Calibri" w:hAnsi="Calibri"/>
                <w:b w:val="0"/>
                <w:i w:val="0"/>
                <w:color w:val="212121"/>
                <w:sz w:val="16"/>
              </w:rPr>
              <w:t>APS panel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Persistently positive on 2 tests ≥ 12 weeks apart</w:t>
            </w:r>
          </w:p>
        </w:tc>
        <w:tc>
          <w:tcPr>
            <w:tcW w:type="dxa" w:w="1036"/>
            <w:vAlign w:val="top"/>
          </w:tcPr>
          <w:p>
            <w:pPr>
              <w:spacing w:after="40" w:before="0" w:line="259" w:lineRule="auto"/>
            </w:pPr>
            <w:r>
              <w:rPr>
                <w:rFonts w:ascii="Calibri" w:hAnsi="Calibri"/>
                <w:b w:val="0"/>
                <w:i w:val="0"/>
                <w:color w:val="212121"/>
                <w:sz w:val="16"/>
              </w:rPr>
              <w:t>Diagnoses antiphospholipid syndrome — treatable cause of recurrent loss</w:t>
            </w:r>
          </w:p>
        </w:tc>
        <w:tc>
          <w:tcPr>
            <w:tcW w:type="dxa" w:w="1036"/>
            <w:vAlign w:val="top"/>
          </w:tcPr>
          <w:p>
            <w:pPr>
              <w:spacing w:after="40" w:before="0" w:line="259" w:lineRule="auto"/>
            </w:pPr>
            <w:r>
              <w:rPr>
                <w:rFonts w:ascii="Calibri" w:hAnsi="Calibri"/>
                <w:b w:val="0"/>
                <w:i w:val="0"/>
                <w:color w:val="212121"/>
                <w:sz w:val="16"/>
              </w:rPr>
              <w:t>Recurrent pregnancy loss, mid-trimester loss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Treatable cause</w:t>
            </w:r>
          </w:p>
        </w:tc>
        <w:tc>
          <w:tcPr>
            <w:tcW w:type="dxa" w:w="720"/>
            <w:vAlign w:val="top"/>
          </w:tcPr>
          <w:p>
            <w:pPr>
              <w:spacing w:after="40" w:before="0" w:line="259" w:lineRule="auto"/>
            </w:pPr>
            <w:r>
              <w:rPr>
                <w:rFonts w:ascii="Calibri" w:hAnsi="Calibri"/>
                <w:b w:val="0"/>
                <w:i w:val="0"/>
                <w:color w:val="212121"/>
                <w:sz w:val="16"/>
              </w:rPr>
              <w:t>Treat with aspirin + heparin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Genetics</w:t>
            </w:r>
          </w:p>
        </w:tc>
        <w:tc>
          <w:tcPr>
            <w:tcW w:type="dxa" w:w="1036"/>
            <w:vAlign w:val="top"/>
          </w:tcPr>
          <w:p>
            <w:pPr>
              <w:spacing w:after="40" w:before="0" w:line="259" w:lineRule="auto"/>
            </w:pPr>
            <w:r>
              <w:rPr>
                <w:rFonts w:ascii="Calibri" w:hAnsi="Calibri"/>
                <w:b w:val="0"/>
                <w:i w:val="0"/>
                <w:color w:val="212121"/>
                <w:sz w:val="16"/>
              </w:rPr>
              <w:t>Karyotype (parental ± products of conception)</w:t>
            </w:r>
          </w:p>
        </w:tc>
        <w:tc>
          <w:tcPr>
            <w:tcW w:type="dxa" w:w="892"/>
            <w:vAlign w:val="top"/>
          </w:tcPr>
          <w:p>
            <w:pPr>
              <w:spacing w:after="40" w:before="0" w:line="259" w:lineRule="auto"/>
            </w:pPr>
            <w:r>
              <w:rPr>
                <w:rFonts w:ascii="Calibri" w:hAnsi="Calibri"/>
                <w:b w:val="0"/>
                <w:i w:val="0"/>
                <w:color w:val="212121"/>
                <w:sz w:val="16"/>
              </w:rPr>
              <w:t>Cytogenetics</w:t>
            </w:r>
          </w:p>
        </w:tc>
        <w:tc>
          <w:tcPr>
            <w:tcW w:type="dxa" w:w="950"/>
            <w:vAlign w:val="top"/>
          </w:tcPr>
          <w:p>
            <w:pPr>
              <w:spacing w:after="40" w:before="0" w:line="259" w:lineRule="auto"/>
            </w:pPr>
            <w:r>
              <w:rPr>
                <w:rFonts w:ascii="Calibri" w:hAnsi="Calibri"/>
                <w:b w:val="0"/>
                <w:i w:val="0"/>
                <w:color w:val="212121"/>
                <w:sz w:val="16"/>
              </w:rPr>
              <w:t>Normal 46,XX / 46,XY</w:t>
            </w:r>
          </w:p>
        </w:tc>
        <w:tc>
          <w:tcPr>
            <w:tcW w:type="dxa" w:w="950"/>
            <w:vAlign w:val="top"/>
          </w:tcPr>
          <w:p>
            <w:pPr>
              <w:spacing w:after="40" w:before="0" w:line="259" w:lineRule="auto"/>
            </w:pPr>
            <w:r>
              <w:rPr>
                <w:rFonts w:ascii="Calibri" w:hAnsi="Calibri"/>
                <w:b w:val="0"/>
                <w:i w:val="0"/>
                <w:color w:val="212121"/>
                <w:sz w:val="16"/>
              </w:rPr>
              <w:t>Balanced translocation (parent) or aneuploidy (POC)</w:t>
            </w:r>
          </w:p>
        </w:tc>
        <w:tc>
          <w:tcPr>
            <w:tcW w:type="dxa" w:w="1036"/>
            <w:vAlign w:val="top"/>
          </w:tcPr>
          <w:p>
            <w:pPr>
              <w:spacing w:after="40" w:before="0" w:line="259" w:lineRule="auto"/>
            </w:pPr>
            <w:r>
              <w:rPr>
                <w:rFonts w:ascii="Calibri" w:hAnsi="Calibri"/>
                <w:b w:val="0"/>
                <w:i w:val="0"/>
                <w:color w:val="212121"/>
                <w:sz w:val="16"/>
              </w:rPr>
              <w:t>Detects structural rearrangement guiding genetic counselling</w:t>
            </w:r>
          </w:p>
        </w:tc>
        <w:tc>
          <w:tcPr>
            <w:tcW w:type="dxa" w:w="1036"/>
            <w:vAlign w:val="top"/>
          </w:tcPr>
          <w:p>
            <w:pPr>
              <w:spacing w:after="40" w:before="0" w:line="259" w:lineRule="auto"/>
            </w:pPr>
            <w:r>
              <w:rPr>
                <w:rFonts w:ascii="Calibri" w:hAnsi="Calibri"/>
                <w:b w:val="0"/>
                <w:i w:val="0"/>
                <w:color w:val="212121"/>
                <w:sz w:val="16"/>
              </w:rPr>
              <w:t>Recurrent loss couples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Prognostic/counselling</w:t>
            </w:r>
          </w:p>
        </w:tc>
        <w:tc>
          <w:tcPr>
            <w:tcW w:type="dxa" w:w="720"/>
            <w:vAlign w:val="top"/>
          </w:tcPr>
          <w:p>
            <w:pPr>
              <w:spacing w:after="40" w:before="0" w:line="259" w:lineRule="auto"/>
            </w:pPr>
            <w:r>
              <w:rPr>
                <w:rFonts w:ascii="Calibri" w:hAnsi="Calibri"/>
                <w:b w:val="0"/>
                <w:i w:val="0"/>
                <w:color w:val="212121"/>
                <w:sz w:val="16"/>
              </w:rPr>
              <w:t>POC analysis clarifies cause of a loss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Vaginal bleeding, cramping, passage of tissue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 at &lt; 20 weeks</w:t>
            </w:r>
          </w:p>
        </w:tc>
        <w:tc>
          <w:tcPr>
            <w:tcW w:type="dxa" w:w="1036"/>
            <w:vAlign w:val="top"/>
          </w:tcPr>
          <w:p>
            <w:pPr>
              <w:spacing w:after="40" w:before="0" w:line="259" w:lineRule="auto"/>
            </w:pPr>
            <w:r>
              <w:rPr>
                <w:rFonts w:ascii="Calibri" w:hAnsi="Calibri"/>
                <w:b w:val="0"/>
                <w:i w:val="0"/>
                <w:color w:val="212121"/>
                <w:sz w:val="16"/>
              </w:rPr>
              <w:t>Cardinal features distinguishing threatened vs incomplete/inevitable loss</w:t>
            </w:r>
          </w:p>
        </w:tc>
        <w:tc>
          <w:tcPr>
            <w:tcW w:type="dxa" w:w="1036"/>
            <w:vAlign w:val="top"/>
          </w:tcPr>
          <w:p>
            <w:pPr>
              <w:spacing w:after="40" w:before="0" w:line="259" w:lineRule="auto"/>
            </w:pPr>
            <w:r>
              <w:rPr>
                <w:rFonts w:ascii="Calibri" w:hAnsi="Calibri"/>
                <w:b w:val="0"/>
                <w:i w:val="0"/>
                <w:color w:val="212121"/>
                <w:sz w:val="16"/>
              </w:rPr>
              <w:t>Any pregnant woman with bleeding/pain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bleeding and pass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&amp; menstrual history</w:t>
            </w:r>
          </w:p>
        </w:tc>
        <w:tc>
          <w:tcPr>
            <w:tcW w:type="dxa" w:w="979"/>
            <w:vAlign w:val="top"/>
          </w:tcPr>
          <w:p>
            <w:pPr>
              <w:spacing w:after="40" w:before="0" w:line="259" w:lineRule="auto"/>
            </w:pPr>
            <w:r>
              <w:rPr>
                <w:rFonts w:ascii="Calibri" w:hAnsi="Calibri"/>
                <w:b w:val="0"/>
                <w:i w:val="0"/>
                <w:color w:val="212121"/>
                <w:sz w:val="16"/>
              </w:rPr>
              <w:t>Prior losses, LMP/gestational age</w:t>
            </w:r>
          </w:p>
        </w:tc>
        <w:tc>
          <w:tcPr>
            <w:tcW w:type="dxa" w:w="950"/>
            <w:vAlign w:val="top"/>
          </w:tcPr>
          <w:p>
            <w:pPr>
              <w:spacing w:after="40" w:before="0" w:line="259" w:lineRule="auto"/>
            </w:pPr>
            <w:r>
              <w:rPr>
                <w:rFonts w:ascii="Calibri" w:hAnsi="Calibri"/>
                <w:b w:val="0"/>
                <w:i w:val="0"/>
                <w:color w:val="212121"/>
                <w:sz w:val="16"/>
              </w:rPr>
              <w:t>No prior loss; certain dates</w:t>
            </w:r>
          </w:p>
        </w:tc>
        <w:tc>
          <w:tcPr>
            <w:tcW w:type="dxa" w:w="950"/>
            <w:vAlign w:val="top"/>
          </w:tcPr>
          <w:p>
            <w:pPr>
              <w:spacing w:after="40" w:before="0" w:line="259" w:lineRule="auto"/>
            </w:pPr>
            <w:r>
              <w:rPr>
                <w:rFonts w:ascii="Calibri" w:hAnsi="Calibri"/>
                <w:b w:val="0"/>
                <w:i w:val="0"/>
                <w:color w:val="212121"/>
                <w:sz w:val="16"/>
              </w:rPr>
              <w:t>≥ 2–3 prior consecutive losses</w:t>
            </w:r>
          </w:p>
        </w:tc>
        <w:tc>
          <w:tcPr>
            <w:tcW w:type="dxa" w:w="1036"/>
            <w:vAlign w:val="top"/>
          </w:tcPr>
          <w:p>
            <w:pPr>
              <w:spacing w:after="40" w:before="0" w:line="259" w:lineRule="auto"/>
            </w:pPr>
            <w:r>
              <w:rPr>
                <w:rFonts w:ascii="Calibri" w:hAnsi="Calibri"/>
                <w:b w:val="0"/>
                <w:i w:val="0"/>
                <w:color w:val="212121"/>
                <w:sz w:val="16"/>
              </w:rPr>
              <w:t>Defines recurrent loss and triggers focused workup</w:t>
            </w:r>
          </w:p>
        </w:tc>
        <w:tc>
          <w:tcPr>
            <w:tcW w:type="dxa" w:w="1036"/>
            <w:vAlign w:val="top"/>
          </w:tcPr>
          <w:p>
            <w:pPr>
              <w:spacing w:after="40" w:before="0" w:line="259" w:lineRule="auto"/>
            </w:pPr>
            <w:r>
              <w:rPr>
                <w:rFonts w:ascii="Calibri" w:hAnsi="Calibri"/>
                <w:b w:val="0"/>
                <w:i w:val="0"/>
                <w:color w:val="212121"/>
                <w:sz w:val="16"/>
              </w:rPr>
              <w:t>Women with previous miscarriage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Note gestation of prior losses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&amp; family history</w:t>
            </w:r>
          </w:p>
        </w:tc>
        <w:tc>
          <w:tcPr>
            <w:tcW w:type="dxa" w:w="979"/>
            <w:vAlign w:val="top"/>
          </w:tcPr>
          <w:p>
            <w:pPr>
              <w:spacing w:after="40" w:before="0" w:line="259" w:lineRule="auto"/>
            </w:pPr>
            <w:r>
              <w:rPr>
                <w:rFonts w:ascii="Calibri" w:hAnsi="Calibri"/>
                <w:b w:val="0"/>
                <w:i w:val="0"/>
                <w:color w:val="212121"/>
                <w:sz w:val="16"/>
              </w:rPr>
              <w:t>Consanguinity, comorbidity, exposures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Consanguinity, diabetes/thyroid, smoking/alcohol</w:t>
            </w:r>
          </w:p>
        </w:tc>
        <w:tc>
          <w:tcPr>
            <w:tcW w:type="dxa" w:w="1036"/>
            <w:vAlign w:val="top"/>
          </w:tcPr>
          <w:p>
            <w:pPr>
              <w:spacing w:after="40" w:before="0" w:line="259" w:lineRule="auto"/>
            </w:pPr>
            <w:r>
              <w:rPr>
                <w:rFonts w:ascii="Calibri" w:hAnsi="Calibri"/>
                <w:b w:val="0"/>
                <w:i w:val="0"/>
                <w:color w:val="212121"/>
                <w:sz w:val="16"/>
              </w:rPr>
              <w:t>Identifies treatable and genetic contributors</w:t>
            </w:r>
          </w:p>
        </w:tc>
        <w:tc>
          <w:tcPr>
            <w:tcW w:type="dxa" w:w="1036"/>
            <w:vAlign w:val="top"/>
          </w:tcPr>
          <w:p>
            <w:pPr>
              <w:spacing w:after="40" w:before="0" w:line="259" w:lineRule="auto"/>
            </w:pPr>
            <w:r>
              <w:rPr>
                <w:rFonts w:ascii="Calibri" w:hAnsi="Calibri"/>
                <w:b w:val="0"/>
                <w:i w:val="0"/>
                <w:color w:val="212121"/>
                <w:sz w:val="16"/>
              </w:rPr>
              <w:t>Recurrent loss, high-risk women</w:t>
            </w:r>
          </w:p>
        </w:tc>
        <w:tc>
          <w:tcPr>
            <w:tcW w:type="dxa" w:w="720"/>
            <w:vAlign w:val="top"/>
          </w:tcPr>
          <w:p>
            <w:pPr>
              <w:spacing w:after="40" w:before="0" w:line="259" w:lineRule="auto"/>
            </w:pPr>
            <w:r>
              <w:rPr>
                <w:rFonts w:ascii="Calibri" w:hAnsi="Calibri"/>
                <w:b w:val="0"/>
                <w:i w:val="0"/>
                <w:color w:val="212121"/>
                <w:sz w:val="16"/>
              </w:rPr>
              <w:t>Smoking; Alcohol</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Relevant to Indian consanguineous unions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Speculum &amp; bimanual pelvic exam</w:t>
            </w:r>
          </w:p>
        </w:tc>
        <w:tc>
          <w:tcPr>
            <w:tcW w:type="dxa" w:w="979"/>
            <w:vAlign w:val="top"/>
          </w:tcPr>
          <w:p>
            <w:pPr>
              <w:spacing w:after="40" w:before="0" w:line="259" w:lineRule="auto"/>
            </w:pPr>
            <w:r>
              <w:rPr>
                <w:rFonts w:ascii="Calibri" w:hAnsi="Calibri"/>
                <w:b w:val="0"/>
                <w:i w:val="0"/>
                <w:color w:val="212121"/>
                <w:sz w:val="16"/>
              </w:rPr>
              <w:t>Cervical os, POC, uterine size</w:t>
            </w:r>
          </w:p>
        </w:tc>
        <w:tc>
          <w:tcPr>
            <w:tcW w:type="dxa" w:w="950"/>
            <w:vAlign w:val="top"/>
          </w:tcPr>
          <w:p>
            <w:pPr>
              <w:spacing w:after="40" w:before="0" w:line="259" w:lineRule="auto"/>
            </w:pPr>
            <w:r>
              <w:rPr>
                <w:rFonts w:ascii="Calibri" w:hAnsi="Calibri"/>
                <w:b w:val="0"/>
                <w:i w:val="0"/>
                <w:color w:val="212121"/>
                <w:sz w:val="16"/>
              </w:rPr>
              <w:t>Os closed, no POC, size = dates</w:t>
            </w:r>
          </w:p>
        </w:tc>
        <w:tc>
          <w:tcPr>
            <w:tcW w:type="dxa" w:w="950"/>
            <w:vAlign w:val="top"/>
          </w:tcPr>
          <w:p>
            <w:pPr>
              <w:spacing w:after="40" w:before="0" w:line="259" w:lineRule="auto"/>
            </w:pPr>
            <w:r>
              <w:rPr>
                <w:rFonts w:ascii="Calibri" w:hAnsi="Calibri"/>
                <w:b w:val="0"/>
                <w:i w:val="0"/>
                <w:color w:val="212121"/>
                <w:sz w:val="16"/>
              </w:rPr>
              <w:t>Os open, POC at os, uterus &lt; dates</w:t>
            </w:r>
          </w:p>
        </w:tc>
        <w:tc>
          <w:tcPr>
            <w:tcW w:type="dxa" w:w="1036"/>
            <w:vAlign w:val="top"/>
          </w:tcPr>
          <w:p>
            <w:pPr>
              <w:spacing w:after="40" w:before="0" w:line="259" w:lineRule="auto"/>
            </w:pPr>
            <w:r>
              <w:rPr>
                <w:rFonts w:ascii="Calibri" w:hAnsi="Calibri"/>
                <w:b w:val="0"/>
                <w:i w:val="0"/>
                <w:color w:val="212121"/>
                <w:sz w:val="16"/>
              </w:rPr>
              <w:t>Classifies threatened vs inevitable/incomplete/complete</w:t>
            </w:r>
          </w:p>
        </w:tc>
        <w:tc>
          <w:tcPr>
            <w:tcW w:type="dxa" w:w="1036"/>
            <w:vAlign w:val="top"/>
          </w:tcPr>
          <w:p>
            <w:pPr>
              <w:spacing w:after="40" w:before="0" w:line="259" w:lineRule="auto"/>
            </w:pPr>
            <w:r>
              <w:rPr>
                <w:rFonts w:ascii="Calibri" w:hAnsi="Calibri"/>
                <w:b w:val="0"/>
                <w:i w:val="0"/>
                <w:color w:val="212121"/>
                <w:sz w:val="16"/>
              </w:rPr>
              <w:t>All women with early bleeding</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Aseptic technique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Vital signs &amp; shock/sepsis assessment</w:t>
            </w:r>
          </w:p>
        </w:tc>
        <w:tc>
          <w:tcPr>
            <w:tcW w:type="dxa" w:w="979"/>
            <w:vAlign w:val="top"/>
          </w:tcPr>
          <w:p>
            <w:pPr>
              <w:spacing w:after="40" w:before="0" w:line="259" w:lineRule="auto"/>
            </w:pPr>
            <w:r>
              <w:rPr>
                <w:rFonts w:ascii="Calibri" w:hAnsi="Calibri"/>
                <w:b w:val="0"/>
                <w:i w:val="0"/>
                <w:color w:val="212121"/>
                <w:sz w:val="16"/>
              </w:rPr>
              <w:t>BP, pulse, temperature</w:t>
            </w:r>
          </w:p>
        </w:tc>
        <w:tc>
          <w:tcPr>
            <w:tcW w:type="dxa" w:w="950"/>
            <w:vAlign w:val="top"/>
          </w:tcPr>
          <w:p>
            <w:pPr>
              <w:spacing w:after="40" w:before="0" w:line="259" w:lineRule="auto"/>
            </w:pPr>
            <w:r>
              <w:rPr>
                <w:rFonts w:ascii="Calibri" w:hAnsi="Calibri"/>
                <w:b w:val="0"/>
                <w:i w:val="0"/>
                <w:color w:val="212121"/>
                <w:sz w:val="16"/>
              </w:rPr>
              <w:t>Stable, afebrile</w:t>
            </w:r>
          </w:p>
        </w:tc>
        <w:tc>
          <w:tcPr>
            <w:tcW w:type="dxa" w:w="950"/>
            <w:vAlign w:val="top"/>
          </w:tcPr>
          <w:p>
            <w:pPr>
              <w:spacing w:after="40" w:before="0" w:line="259" w:lineRule="auto"/>
            </w:pPr>
            <w:r>
              <w:rPr>
                <w:rFonts w:ascii="Calibri" w:hAnsi="Calibri"/>
                <w:b w:val="0"/>
                <w:i w:val="0"/>
                <w:color w:val="212121"/>
                <w:sz w:val="16"/>
              </w:rPr>
              <w:t>Tachycardia/hypotension (haemorrhage); fever (sepsis)</w:t>
            </w:r>
          </w:p>
        </w:tc>
        <w:tc>
          <w:tcPr>
            <w:tcW w:type="dxa" w:w="1036"/>
            <w:vAlign w:val="top"/>
          </w:tcPr>
          <w:p>
            <w:pPr>
              <w:spacing w:after="40" w:before="0" w:line="259" w:lineRule="auto"/>
            </w:pPr>
            <w:r>
              <w:rPr>
                <w:rFonts w:ascii="Calibri" w:hAnsi="Calibri"/>
                <w:b w:val="0"/>
                <w:i w:val="0"/>
                <w:color w:val="212121"/>
                <w:sz w:val="16"/>
              </w:rPr>
              <w:t>Detects hemorrhagic shock and septic abortion early</w:t>
            </w:r>
          </w:p>
        </w:tc>
        <w:tc>
          <w:tcPr>
            <w:tcW w:type="dxa" w:w="1036"/>
            <w:vAlign w:val="top"/>
          </w:tcPr>
          <w:p>
            <w:pPr>
              <w:spacing w:after="40" w:before="0" w:line="259" w:lineRule="auto"/>
            </w:pPr>
            <w:r>
              <w:rPr>
                <w:rFonts w:ascii="Calibri" w:hAnsi="Calibri"/>
                <w:b w:val="0"/>
                <w:i w:val="0"/>
                <w:color w:val="212121"/>
                <w:sz w:val="16"/>
              </w:rPr>
              <w:t>Heavy bleeding or suspected infection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Emergency triage</w:t>
            </w:r>
          </w:p>
        </w:tc>
        <w:tc>
          <w:tcPr>
            <w:tcW w:type="dxa" w:w="720"/>
            <w:vAlign w:val="top"/>
          </w:tcPr>
          <w:p>
            <w:pPr>
              <w:spacing w:after="40" w:before="0" w:line="259" w:lineRule="auto"/>
            </w:pPr>
            <w:r>
              <w:rPr>
                <w:rFonts w:ascii="Calibri" w:hAnsi="Calibri"/>
                <w:b w:val="0"/>
                <w:i w:val="0"/>
                <w:color w:val="212121"/>
                <w:sz w:val="16"/>
              </w:rPr>
              <w:t>Septic abortion is an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Fetal cardiac activity (Doppler/ultrasound)</w:t>
            </w:r>
          </w:p>
        </w:tc>
        <w:tc>
          <w:tcPr>
            <w:tcW w:type="dxa" w:w="979"/>
            <w:vAlign w:val="top"/>
          </w:tcPr>
          <w:p>
            <w:pPr>
              <w:spacing w:after="40" w:before="0" w:line="259" w:lineRule="auto"/>
            </w:pPr>
            <w:r>
              <w:rPr>
                <w:rFonts w:ascii="Calibri" w:hAnsi="Calibri"/>
                <w:b w:val="0"/>
                <w:i w:val="0"/>
                <w:color w:val="212121"/>
                <w:sz w:val="16"/>
              </w:rPr>
              <w:t>Fetal heart</w:t>
            </w:r>
          </w:p>
        </w:tc>
        <w:tc>
          <w:tcPr>
            <w:tcW w:type="dxa" w:w="950"/>
            <w:vAlign w:val="top"/>
          </w:tcPr>
          <w:p>
            <w:pPr>
              <w:spacing w:after="40" w:before="0" w:line="259" w:lineRule="auto"/>
            </w:pPr>
            <w:r>
              <w:rPr>
                <w:rFonts w:ascii="Calibri" w:hAnsi="Calibri"/>
                <w:b w:val="0"/>
                <w:i w:val="0"/>
                <w:color w:val="212121"/>
                <w:sz w:val="16"/>
              </w:rPr>
              <w:t>Present from ~6–7 weeks onward</w:t>
            </w:r>
          </w:p>
        </w:tc>
        <w:tc>
          <w:tcPr>
            <w:tcW w:type="dxa" w:w="950"/>
            <w:vAlign w:val="top"/>
          </w:tcPr>
          <w:p>
            <w:pPr>
              <w:spacing w:after="40" w:before="0" w:line="259" w:lineRule="auto"/>
            </w:pPr>
            <w:r>
              <w:rPr>
                <w:rFonts w:ascii="Calibri" w:hAnsi="Calibri"/>
                <w:b w:val="0"/>
                <w:i w:val="0"/>
                <w:color w:val="212121"/>
                <w:sz w:val="16"/>
              </w:rPr>
              <w:t>Absent when expected for gestation</w:t>
            </w:r>
          </w:p>
        </w:tc>
        <w:tc>
          <w:tcPr>
            <w:tcW w:type="dxa" w:w="1036"/>
            <w:vAlign w:val="top"/>
          </w:tcPr>
          <w:p>
            <w:pPr>
              <w:spacing w:after="40" w:before="0" w:line="259" w:lineRule="auto"/>
            </w:pPr>
            <w:r>
              <w:rPr>
                <w:rFonts w:ascii="Calibri" w:hAnsi="Calibri"/>
                <w:b w:val="0"/>
                <w:i w:val="0"/>
                <w:color w:val="212121"/>
                <w:sz w:val="16"/>
              </w:rPr>
              <w:t>Absence supports embryonic/fetal demise (missed abortion)</w:t>
            </w:r>
          </w:p>
        </w:tc>
        <w:tc>
          <w:tcPr>
            <w:tcW w:type="dxa" w:w="1036"/>
            <w:vAlign w:val="top"/>
          </w:tcPr>
          <w:p>
            <w:pPr>
              <w:spacing w:after="40" w:before="0" w:line="259" w:lineRule="auto"/>
            </w:pPr>
            <w:r>
              <w:rPr>
                <w:rFonts w:ascii="Calibri" w:hAnsi="Calibri"/>
                <w:b w:val="0"/>
                <w:i w:val="0"/>
                <w:color w:val="212121"/>
                <w:sz w:val="16"/>
              </w:rPr>
              <w:t>Women with waning pregnancy symptoms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Confirm with formal scan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Vaginal bleeding or spotting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symptom; ranges from light spotting (threatened) to heavy bleeding with clots (incomplete).</w:t>
            </w:r>
          </w:p>
        </w:tc>
      </w:tr>
      <w:tr>
        <w:trPr>
          <w:cantSplit/>
        </w:trPr>
        <w:tc>
          <w:tcPr>
            <w:tcW w:type="dxa" w:w="2304"/>
            <w:vAlign w:val="top"/>
          </w:tcPr>
          <w:p>
            <w:pPr>
              <w:spacing w:after="40" w:before="0" w:line="259" w:lineRule="auto"/>
            </w:pPr>
            <w:r>
              <w:rPr>
                <w:rFonts w:ascii="Calibri" w:hAnsi="Calibri"/>
                <w:b/>
                <w:i w:val="0"/>
                <w:color w:val="212121"/>
                <w:sz w:val="19"/>
              </w:rPr>
              <w:t>Lower-abdominal / suprapubic cramping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Rhythmic, period-like or stronger cramping as the uterus contracts to expel its contents.</w:t>
            </w:r>
          </w:p>
        </w:tc>
      </w:tr>
      <w:tr>
        <w:trPr>
          <w:cantSplit/>
        </w:trPr>
        <w:tc>
          <w:tcPr>
            <w:tcW w:type="dxa" w:w="2304"/>
            <w:vAlign w:val="top"/>
          </w:tcPr>
          <w:p>
            <w:pPr>
              <w:spacing w:after="40" w:before="0" w:line="259" w:lineRule="auto"/>
            </w:pPr>
            <w:r>
              <w:rPr>
                <w:rFonts w:ascii="Calibri" w:hAnsi="Calibri"/>
                <w:b/>
                <w:i w:val="0"/>
                <w:color w:val="212121"/>
                <w:sz w:val="19"/>
              </w:rPr>
              <w:t>Low back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or aching lower-back pain that often accompanies uterine cramping.</w:t>
            </w:r>
          </w:p>
        </w:tc>
      </w:tr>
      <w:tr>
        <w:trPr>
          <w:cantSplit/>
        </w:trPr>
        <w:tc>
          <w:tcPr>
            <w:tcW w:type="dxa" w:w="2304"/>
            <w:vAlign w:val="top"/>
          </w:tcPr>
          <w:p>
            <w:pPr>
              <w:spacing w:after="40" w:before="0" w:line="259" w:lineRule="auto"/>
            </w:pPr>
            <w:r>
              <w:rPr>
                <w:rFonts w:ascii="Calibri" w:hAnsi="Calibri"/>
                <w:b/>
                <w:i w:val="0"/>
                <w:color w:val="212121"/>
                <w:sz w:val="19"/>
              </w:rPr>
              <w:t>Passage of tissue or clots (products of conception)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Expulsion of grey/pink tissue or a gestational sac; important to note for classifying complete vs incomplete loss.</w:t>
            </w:r>
          </w:p>
        </w:tc>
      </w:tr>
      <w:tr>
        <w:trPr>
          <w:cantSplit/>
        </w:trPr>
        <w:tc>
          <w:tcPr>
            <w:tcW w:type="dxa" w:w="2304"/>
            <w:vAlign w:val="top"/>
          </w:tcPr>
          <w:p>
            <w:pPr>
              <w:spacing w:after="40" w:before="0" w:line="259" w:lineRule="auto"/>
            </w:pPr>
            <w:r>
              <w:rPr>
                <w:rFonts w:ascii="Calibri" w:hAnsi="Calibri"/>
                <w:b/>
                <w:i w:val="0"/>
                <w:color w:val="212121"/>
                <w:sz w:val="19"/>
              </w:rPr>
              <w:t>Loss or waning of pregnancy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reduction in breast tenderness and nausea, especially with a missed (silent) abortion.</w:t>
            </w:r>
          </w:p>
        </w:tc>
      </w:tr>
      <w:tr>
        <w:trPr>
          <w:cantSplit/>
        </w:trPr>
        <w:tc>
          <w:tcPr>
            <w:tcW w:type="dxa" w:w="2304"/>
            <w:vAlign w:val="top"/>
          </w:tcPr>
          <w:p>
            <w:pPr>
              <w:spacing w:after="40" w:before="0" w:line="259" w:lineRule="auto"/>
            </w:pPr>
            <w:r>
              <w:rPr>
                <w:rFonts w:ascii="Calibri" w:hAnsi="Calibri"/>
                <w:b/>
                <w:i w:val="0"/>
                <w:color w:val="212121"/>
                <w:sz w:val="19"/>
              </w:rPr>
              <w:t>Watery or fluid vaginal discharge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indicate ruptured membranes, particularly in mid-trimester loss.</w:t>
            </w:r>
          </w:p>
        </w:tc>
      </w:tr>
      <w:tr>
        <w:trPr>
          <w:cantSplit/>
        </w:trPr>
        <w:tc>
          <w:tcPr>
            <w:tcW w:type="dxa" w:w="2304"/>
            <w:vAlign w:val="top"/>
          </w:tcPr>
          <w:p>
            <w:pPr>
              <w:spacing w:after="40" w:before="0" w:line="259" w:lineRule="auto"/>
            </w:pPr>
            <w:r>
              <w:rPr>
                <w:rFonts w:ascii="Calibri" w:hAnsi="Calibri"/>
                <w:b/>
                <w:i w:val="0"/>
                <w:color w:val="212121"/>
                <w:sz w:val="19"/>
              </w:rPr>
              <w:t>Pelvic pressure or heaviness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Sensation of downward pressure, sometimes preceding expulsion.</w:t>
            </w:r>
          </w:p>
        </w:tc>
      </w:tr>
      <w:tr>
        <w:trPr>
          <w:cantSplit/>
        </w:trPr>
        <w:tc>
          <w:tcPr>
            <w:tcW w:type="dxa" w:w="2304"/>
            <w:vAlign w:val="top"/>
          </w:tcPr>
          <w:p>
            <w:pPr>
              <w:spacing w:after="40" w:before="0" w:line="259" w:lineRule="auto"/>
            </w:pPr>
            <w:r>
              <w:rPr>
                <w:rFonts w:ascii="Calibri" w:hAnsi="Calibri"/>
                <w:b/>
                <w:i w:val="0"/>
                <w:color w:val="212121"/>
                <w:sz w:val="19"/>
              </w:rPr>
              <w:t>Dizziness, light-headedness or fainting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significant blood loss; a warning sign of hemorrhage needing urgent care.</w:t>
            </w:r>
          </w:p>
        </w:tc>
      </w:tr>
      <w:tr>
        <w:trPr>
          <w:cantSplit/>
        </w:trPr>
        <w:tc>
          <w:tcPr>
            <w:tcW w:type="dxa" w:w="2304"/>
            <w:vAlign w:val="top"/>
          </w:tcPr>
          <w:p>
            <w:pPr>
              <w:spacing w:after="40" w:before="0" w:line="259" w:lineRule="auto"/>
            </w:pPr>
            <w:r>
              <w:rPr>
                <w:rFonts w:ascii="Calibri" w:hAnsi="Calibri"/>
                <w:b/>
                <w:i w:val="0"/>
                <w:color w:val="212121"/>
                <w:sz w:val="19"/>
              </w:rPr>
              <w:t>Fever, chills and foul-smelling discharge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septic abortion — an emergency, especially after unsafe or incomplete abortion.</w:t>
            </w:r>
          </w:p>
        </w:tc>
      </w:tr>
      <w:tr>
        <w:trPr>
          <w:cantSplit/>
        </w:trPr>
        <w:tc>
          <w:tcPr>
            <w:tcW w:type="dxa" w:w="2304"/>
            <w:vAlign w:val="top"/>
          </w:tcPr>
          <w:p>
            <w:pPr>
              <w:spacing w:after="40" w:before="0" w:line="259" w:lineRule="auto"/>
            </w:pPr>
            <w:r>
              <w:rPr>
                <w:rFonts w:ascii="Calibri" w:hAnsi="Calibri"/>
                <w:b/>
                <w:i w:val="0"/>
                <w:color w:val="212121"/>
                <w:sz w:val="19"/>
              </w:rPr>
              <w:t>Absent fetal movements (mid-trimester)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Loss of previously felt movements in a later (13–20 week) loss.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Per-vaginal bleeding on speculum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Blood from the cervical canal confirms the source; amount helps gauge severity.</w:t>
            </w:r>
          </w:p>
        </w:tc>
      </w:tr>
      <w:tr>
        <w:trPr>
          <w:cantSplit/>
        </w:trPr>
        <w:tc>
          <w:tcPr>
            <w:tcW w:type="dxa" w:w="3456"/>
            <w:vAlign w:val="top"/>
          </w:tcPr>
          <w:p>
            <w:pPr>
              <w:spacing w:after="40" w:before="0" w:line="259" w:lineRule="auto"/>
            </w:pPr>
            <w:r>
              <w:rPr>
                <w:rFonts w:ascii="Calibri" w:hAnsi="Calibri"/>
                <w:b/>
                <w:i w:val="0"/>
                <w:color w:val="212121"/>
                <w:sz w:val="19"/>
              </w:rPr>
              <w:t>Cervical os status (closed vs open/dilated)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Closed os suggests threatened or missed abortion; open os indicates inevitable or incomplete abortion.</w:t>
            </w:r>
          </w:p>
        </w:tc>
      </w:tr>
      <w:tr>
        <w:trPr>
          <w:cantSplit/>
        </w:trPr>
        <w:tc>
          <w:tcPr>
            <w:tcW w:type="dxa" w:w="3456"/>
            <w:vAlign w:val="top"/>
          </w:tcPr>
          <w:p>
            <w:pPr>
              <w:spacing w:after="40" w:before="0" w:line="259" w:lineRule="auto"/>
            </w:pPr>
            <w:r>
              <w:rPr>
                <w:rFonts w:ascii="Calibri" w:hAnsi="Calibri"/>
                <w:b/>
                <w:i w:val="0"/>
                <w:color w:val="212121"/>
                <w:sz w:val="19"/>
              </w:rPr>
              <w:t>Products of conception visible at os or in vagina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Confirms an ongoing/incomplete abortion; removing tissue at the os may relieve cramping and bleeding.</w:t>
            </w:r>
          </w:p>
        </w:tc>
      </w:tr>
      <w:tr>
        <w:trPr>
          <w:cantSplit/>
        </w:trPr>
        <w:tc>
          <w:tcPr>
            <w:tcW w:type="dxa" w:w="3456"/>
            <w:vAlign w:val="top"/>
          </w:tcPr>
          <w:p>
            <w:pPr>
              <w:spacing w:after="40" w:before="0" w:line="259" w:lineRule="auto"/>
            </w:pPr>
            <w:r>
              <w:rPr>
                <w:rFonts w:ascii="Calibri" w:hAnsi="Calibri"/>
                <w:b/>
                <w:i w:val="0"/>
                <w:color w:val="212121"/>
                <w:sz w:val="19"/>
              </w:rPr>
              <w:t>Uterine size smaller than expected for dates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Suggests missed abortion or a loss that has partly passed.</w:t>
            </w:r>
          </w:p>
        </w:tc>
      </w:tr>
      <w:tr>
        <w:trPr>
          <w:cantSplit/>
        </w:trPr>
        <w:tc>
          <w:tcPr>
            <w:tcW w:type="dxa" w:w="3456"/>
            <w:vAlign w:val="top"/>
          </w:tcPr>
          <w:p>
            <w:pPr>
              <w:spacing w:after="40" w:before="0" w:line="259" w:lineRule="auto"/>
            </w:pPr>
            <w:r>
              <w:rPr>
                <w:rFonts w:ascii="Calibri" w:hAnsi="Calibri"/>
                <w:b/>
                <w:i w:val="0"/>
                <w:color w:val="212121"/>
                <w:sz w:val="19"/>
              </w:rPr>
              <w:t>Absent fetal cardiac activity on ultrasound/Doppler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confirmation of demise using the CRL/MSD criteria.</w:t>
            </w:r>
          </w:p>
        </w:tc>
      </w:tr>
      <w:tr>
        <w:trPr>
          <w:cantSplit/>
        </w:trPr>
        <w:tc>
          <w:tcPr>
            <w:tcW w:type="dxa" w:w="3456"/>
            <w:vAlign w:val="top"/>
          </w:tcPr>
          <w:p>
            <w:pPr>
              <w:spacing w:after="40" w:before="0" w:line="259" w:lineRule="auto"/>
            </w:pPr>
            <w:r>
              <w:rPr>
                <w:rFonts w:ascii="Calibri" w:hAnsi="Calibri"/>
                <w:b/>
                <w:i w:val="0"/>
                <w:color w:val="212121"/>
                <w:sz w:val="19"/>
              </w:rPr>
              <w:t>Pallor, tachycardia and hypotension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hypovolaemia from heavy bleeding — hemorrhagic shock.</w:t>
            </w:r>
          </w:p>
        </w:tc>
      </w:tr>
      <w:tr>
        <w:trPr>
          <w:cantSplit/>
        </w:trPr>
        <w:tc>
          <w:tcPr>
            <w:tcW w:type="dxa" w:w="3456"/>
            <w:vAlign w:val="top"/>
          </w:tcPr>
          <w:p>
            <w:pPr>
              <w:spacing w:after="40" w:before="0" w:line="259" w:lineRule="auto"/>
            </w:pPr>
            <w:r>
              <w:rPr>
                <w:rFonts w:ascii="Calibri" w:hAnsi="Calibri"/>
                <w:b/>
                <w:i w:val="0"/>
                <w:color w:val="212121"/>
                <w:sz w:val="19"/>
              </w:rPr>
              <w:t>Uterine or adnexal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May accompany infection or a co-existing ectopic pregnancy (which must be excluded).</w:t>
            </w:r>
          </w:p>
        </w:tc>
      </w:tr>
      <w:tr>
        <w:trPr>
          <w:cantSplit/>
        </w:trPr>
        <w:tc>
          <w:tcPr>
            <w:tcW w:type="dxa" w:w="3456"/>
            <w:vAlign w:val="top"/>
          </w:tcPr>
          <w:p>
            <w:pPr>
              <w:spacing w:after="40" w:before="0" w:line="259" w:lineRule="auto"/>
            </w:pPr>
            <w:r>
              <w:rPr>
                <w:rFonts w:ascii="Calibri" w:hAnsi="Calibri"/>
                <w:b/>
                <w:i w:val="0"/>
                <w:color w:val="212121"/>
                <w:sz w:val="19"/>
              </w:rPr>
              <w:t>Fever with uterine tenderness and purulent cervical discharge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Hallmarks of septic abortion / endometritis requiring urgent antibiotics and evacuation.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per-vaginal bleeding /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Retained products of conception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Incomplete evacuation of the uterus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Hypovolaemic (haemorrhagic) shock</w:t>
            </w:r>
          </w:p>
        </w:tc>
        <w:tc>
          <w:tcPr>
            <w:tcW w:type="dxa" w:w="2980"/>
            <w:vAlign w:val="top"/>
          </w:tcPr>
          <w:p>
            <w:pPr>
              <w:spacing w:after="40" w:before="0" w:line="259" w:lineRule="auto"/>
            </w:pPr>
            <w:r>
              <w:rPr>
                <w:rFonts w:ascii="Calibri" w:hAnsi="Calibri"/>
                <w:b w:val="0"/>
                <w:i w:val="0"/>
                <w:color w:val="212121"/>
                <w:sz w:val="19"/>
              </w:rPr>
              <w:t>Immediate consequences of the loss itself, driven by bleeding and incomplete expulsion.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Septic abortion, endometritis and pelvic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Rh(D) isoimmunization in Rh-negative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Intrauterine adhesions (Asherman syndrome) after surgical evacuation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Cervical or uterine injury from instrumentation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Disseminated intravascular coagulation (missed/septic abortion)</w:t>
            </w:r>
          </w:p>
        </w:tc>
        <w:tc>
          <w:tcPr>
            <w:tcW w:type="dxa" w:w="2980"/>
            <w:vAlign w:val="top"/>
          </w:tcPr>
          <w:p>
            <w:pPr>
              <w:spacing w:after="40" w:before="0" w:line="259" w:lineRule="auto"/>
            </w:pPr>
            <w:r>
              <w:rPr>
                <w:rFonts w:ascii="Calibri" w:hAnsi="Calibri"/>
                <w:b w:val="0"/>
                <w:i w:val="0"/>
                <w:color w:val="212121"/>
                <w:sz w:val="19"/>
              </w:rPr>
              <w:t>Arise from infection, blood-group sensitization or from the management (evacuation) of the loss.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pregnancy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infertility / tubal-factor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sequelae — depression, anxiety, PTSD and prolonged grief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death from haemorrhage or sepsis (notably following unsafe abortion)</w:t>
            </w:r>
          </w:p>
        </w:tc>
        <w:tc>
          <w:tcPr>
            <w:tcW w:type="dxa" w:w="2980"/>
            <w:vAlign w:val="top"/>
          </w:tcPr>
          <w:p>
            <w:pPr>
              <w:spacing w:after="40" w:before="0" w:line="259" w:lineRule="auto"/>
            </w:pPr>
            <w:r>
              <w:rPr>
                <w:rFonts w:ascii="Calibri" w:hAnsi="Calibri"/>
                <w:b w:val="0"/>
                <w:i w:val="0"/>
                <w:color w:val="212121"/>
                <w:sz w:val="19"/>
              </w:rPr>
              <w:t>Long-term reproductive, psychological and — in low-resource settings — fatal outcomes of longstanding or poorly managed loss.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Antiphospholipid syndrome (APS)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Antiphospholipid antibodies cause placental thrombosis; the most important treatable cause of recurrent loss, managed with low-dose aspirin plus heparin.</w:t>
            </w:r>
          </w:p>
        </w:tc>
      </w:tr>
      <w:tr>
        <w:trPr>
          <w:cantSplit/>
        </w:trPr>
        <w:tc>
          <w:tcPr>
            <w:tcW w:type="dxa" w:w="2232"/>
            <w:vAlign w:val="top"/>
          </w:tcPr>
          <w:p>
            <w:pPr>
              <w:spacing w:after="40" w:before="0" w:line="259" w:lineRule="auto"/>
            </w:pPr>
            <w:r>
              <w:rPr>
                <w:rFonts w:ascii="Calibri" w:hAnsi="Calibri"/>
                <w:b/>
                <w:i w:val="0"/>
                <w:color w:val="212121"/>
                <w:sz w:val="19"/>
              </w:rPr>
              <w:t>Thyroid disorders (hypothyroidism / thyroid autoimmunity)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Overt/subclinical hypothyroidism and TPO-antibody positivity — common in Indian women — impair early pregnancy maintenance; screening and levothyroxine reduce risk.</w:t>
            </w:r>
          </w:p>
        </w:tc>
      </w:tr>
      <w:tr>
        <w:trPr>
          <w:cantSplit/>
        </w:trPr>
        <w:tc>
          <w:tcPr>
            <w:tcW w:type="dxa" w:w="2232"/>
            <w:vAlign w:val="top"/>
          </w:tcPr>
          <w:p>
            <w:pPr>
              <w:spacing w:after="40" w:before="0" w:line="259" w:lineRule="auto"/>
            </w:pPr>
            <w:r>
              <w:rPr>
                <w:rFonts w:ascii="Calibri" w:hAnsi="Calibri"/>
                <w:b/>
                <w:i w:val="0"/>
                <w:color w:val="212121"/>
                <w:sz w:val="19"/>
              </w:rPr>
              <w:t>Pre-gestational 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Peri-conceptional hyperglycaemia is teratogenic and increases loss in proportion to HbA1c; pre-pregnancy control is protective.</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Insulin resistance and hyperandrogenism impair implantation and raise sporadic and recurrent miscarriage.</w:t>
            </w:r>
          </w:p>
        </w:tc>
      </w:tr>
      <w:tr>
        <w:trPr>
          <w:cantSplit/>
        </w:trPr>
        <w:tc>
          <w:tcPr>
            <w:tcW w:type="dxa" w:w="2232"/>
            <w:vAlign w:val="top"/>
          </w:tcPr>
          <w:p>
            <w:pPr>
              <w:spacing w:after="40" w:before="0" w:line="259" w:lineRule="auto"/>
            </w:pPr>
            <w:r>
              <w:rPr>
                <w:rFonts w:ascii="Calibri" w:hAnsi="Calibri"/>
                <w:b/>
                <w:i w:val="0"/>
                <w:color w:val="212121"/>
                <w:sz w:val="19"/>
              </w:rPr>
              <w:t>Uterine anomalies, fibroids &amp; cervical insufficiency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Septate uterus, submucosal fibroids and intrauterine adhesions disturb implantation; cervical insufficiency causes mid-trimester loss and may need cerclage.</w:t>
            </w:r>
          </w:p>
        </w:tc>
      </w:tr>
      <w:tr>
        <w:trPr>
          <w:cantSplit/>
        </w:trPr>
        <w:tc>
          <w:tcPr>
            <w:tcW w:type="dxa" w:w="2232"/>
            <w:vAlign w:val="top"/>
          </w:tcPr>
          <w:p>
            <w:pPr>
              <w:spacing w:after="40" w:before="0" w:line="259" w:lineRule="auto"/>
            </w:pPr>
            <w:r>
              <w:rPr>
                <w:rFonts w:ascii="Calibri" w:hAnsi="Calibri"/>
                <w:b/>
                <w:i w:val="0"/>
                <w:color w:val="212121"/>
                <w:sz w:val="19"/>
              </w:rPr>
              <w:t>Inherited thrombophilia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Hereditary hypercoagulable states promote placental thrombosis and are screened for in recurrent loss.</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Widespread among Indian women; bleeding from miscarriage worsens anaemia while pre-existing anaemia reduces tolerance of blood loss.</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inflammation and insulin resistance impair implantation, increasing both sporadic and recurrent loss.</w:t>
            </w:r>
          </w:p>
        </w:tc>
      </w:tr>
      <w:tr>
        <w:trPr>
          <w:cantSplit/>
        </w:trPr>
        <w:tc>
          <w:tcPr>
            <w:tcW w:type="dxa" w:w="2232"/>
            <w:vAlign w:val="top"/>
          </w:tcPr>
          <w:p>
            <w:pPr>
              <w:spacing w:after="40" w:before="0" w:line="259" w:lineRule="auto"/>
            </w:pPr>
            <w:r>
              <w:rPr>
                <w:rFonts w:ascii="Calibri" w:hAnsi="Calibri"/>
                <w:b/>
                <w:i w:val="0"/>
                <w:color w:val="212121"/>
                <w:sz w:val="19"/>
              </w:rPr>
              <w:t>Depression, anxiety &amp; PTSD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Miscarriage frequently precipitates significant psychological morbidity and grief, and high pre-existing stress may modestly raise loss risk — a bidirectional relationship.</w:t>
            </w:r>
          </w:p>
        </w:tc>
      </w:tr>
      <w:tr>
        <w:trPr>
          <w:cantSplit/>
        </w:trPr>
        <w:tc>
          <w:tcPr>
            <w:tcW w:type="dxa" w:w="2232"/>
            <w:vAlign w:val="top"/>
          </w:tcPr>
          <w:p>
            <w:pPr>
              <w:spacing w:after="40" w:before="0" w:line="259" w:lineRule="auto"/>
            </w:pPr>
            <w:r>
              <w:rPr>
                <w:rFonts w:ascii="Calibri" w:hAnsi="Calibri"/>
                <w:b/>
                <w:i w:val="0"/>
                <w:color w:val="212121"/>
                <w:sz w:val="19"/>
              </w:rPr>
              <w:t>Asherman syndrome / secondary infertility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Intrauterine adhesions after surgical evacuation can impair future implantation and cause secondary infertility.</w:t>
            </w:r>
          </w:p>
        </w:tc>
      </w:tr>
      <w:tr>
        <w:trPr>
          <w:cantSplit/>
        </w:trPr>
        <w:tc>
          <w:tcPr>
            <w:tcW w:type="dxa" w:w="2232"/>
            <w:vAlign w:val="top"/>
          </w:tcPr>
          <w:p>
            <w:pPr>
              <w:spacing w:after="40" w:before="0" w:line="259" w:lineRule="auto"/>
            </w:pPr>
            <w:r>
              <w:rPr>
                <w:rFonts w:ascii="Calibri" w:hAnsi="Calibri"/>
                <w:b/>
                <w:i w:val="0"/>
                <w:color w:val="212121"/>
                <w:sz w:val="19"/>
              </w:rPr>
              <w:t>Recurrent pregnancy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Repeated miscarriage; about 1% of women experience 3 or more consecutive losses, defining a group needing structured investigation.</w:t>
            </w:r>
          </w:p>
          <w:p>
            <w:pPr>
              <w:spacing w:after="40" w:before="0" w:line="259" w:lineRule="auto"/>
            </w:pPr>
            <w:r>
              <w:rPr>
                <w:rFonts w:ascii="Calibri" w:hAnsi="Calibri"/>
                <w:b/>
                <w:i w:val="0"/>
                <w:color w:val="212121"/>
                <w:sz w:val="19"/>
              </w:rPr>
              <w:t>~1% have ≥3 consecutive losses</w:t>
            </w:r>
          </w:p>
        </w:tc>
      </w:tr>
      <w:tr>
        <w:trPr>
          <w:cantSplit/>
        </w:trPr>
        <w:tc>
          <w:tcPr>
            <w:tcW w:type="dxa" w:w="2232"/>
            <w:vAlign w:val="top"/>
          </w:tcPr>
          <w:p>
            <w:pPr>
              <w:spacing w:after="40" w:before="0" w:line="259" w:lineRule="auto"/>
            </w:pPr>
            <w:r>
              <w:rPr>
                <w:rFonts w:ascii="Calibri" w:hAnsi="Calibri"/>
                <w:b/>
                <w:i w:val="0"/>
                <w:color w:val="212121"/>
                <w:sz w:val="19"/>
              </w:rPr>
              <w:t>TORCH &amp; genital-tract infections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Toxoplasma, rubella, CMV, syphilis and symptomatic genital infection can cause sporadic loss and, if unsafe/incomplete abortion supervenes, sepsis.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pre-conception care: take folic acid 400 mcg/day (5 mg/day if diabetic, obese, on anti-epileptics or with a prior neural-tube defect) starting before conception.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and optimise treatable conditions before pregnancy — thyroid function, blood sugar/HbA1c, anaemia and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Register early for antenatal care and confirm dating with an early ultrasound; know the danger signs (bleeding, cramping, passage of tissue,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single miscarriages are due to random chromosomal errors, are not the woman’s fault, and that the next pregnancy usually succeeds.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unsafe or self-managed abortion; seek care at an equipped facility to prevent incomplete and septic abortion.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 rubella immunity and avoid known teratogens, radiation and toxic exposures when planning pregnancy.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 prior miscarriage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diabetes/thyroid disease/PCOS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with recurrent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low-access women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 healthy pre-pregnancy BMI (18.5–24.9 kg/m²); both underweight and obesity raise loss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moderate routine activity (about 150 min/week) — it is safe and does not cause miscarriage.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excessively strenuous physical labour and heavy lifting, and limit prolonged night-shift work around conception and early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activity gradually and stay well hydrated; stop and seek care if bleeding or cramping occurs.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Night-shift &amp; heavy-labour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iron-deficiency anaemia (very common in Indian women) with iron-folate supplementation and iron-rich foods before and during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and a balanced diet with whole grains, pulses, vegetables, fruit and adequate protein.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to under 200 mg/day (about 1–2 cups of coffee or moderate tea) and avoid energy drinks.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food hygiene to avoid listeria and toxoplasma — wash produce, avoid unpasteurised dairy and undercooked meat.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when trying to conceive and during pregnancy.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caffeine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Where possible, reduce chronic night-shift rotations when planning pregnancy and in the first trimester.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to limit circadian disruption.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before conception and throughout pregnancy — risk falls after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(household) smoke, which independently raises loss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where appropriate, clinician-guided cessation help.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exposed to household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alcohol when trying to conceive and during pregnancy — there is no known safe amount.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to stop if drinking is regular or heavy.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recreational/street drugs, which also increase miscarriage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drink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compassionate bereavement care after a loss and validate grief; miscarriage commonly causes depression, anxiety and PTSD.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anxiety and post-traumatic stress at follow-up and refer for counselling when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accurate information and reassurance that most subsequent pregnancies are successful.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peer support, family involvement and, where helpful, faith-sensitive support; treat significant illness actively.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chronic stress with relaxation, adequate sleep and social support while planning the next pregnancy.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after miscarriage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with recurrent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prior mental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Partners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y.clevelandclinic.org/health/diseases/9688-miscarriage" TargetMode="External"/><Relationship Id="rId10" Type="http://schemas.openxmlformats.org/officeDocument/2006/relationships/hyperlink" Target="https://pubmed.ncbi.nlm.nih.gov/30894356/" TargetMode="External"/><Relationship Id="rId11" Type="http://schemas.openxmlformats.org/officeDocument/2006/relationships/hyperlink" Target="https://pubmed.ncbi.nlm.nih.gov/33915094/" TargetMode="External"/><Relationship Id="rId12" Type="http://schemas.openxmlformats.org/officeDocument/2006/relationships/hyperlink" Target="https://pubmed.ncbi.nlm.nih.gov/38263129/" TargetMode="External"/><Relationship Id="rId13" Type="http://schemas.openxmlformats.org/officeDocument/2006/relationships/hyperlink" Target="https://www.nhs.uk/conditions/miscarriage/causes/" TargetMode="External"/><Relationship Id="rId14" Type="http://schemas.openxmlformats.org/officeDocument/2006/relationships/hyperlink" Target="https://www.marchofdimes.org/find-support/topics/miscarriage-loss-grief/miscarriage" TargetMode="External"/><Relationship Id="rId15" Type="http://schemas.openxmlformats.org/officeDocument/2006/relationships/hyperlink" Target="https://www.ncbi.nlm.nih.gov/books/NBK5605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