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Congenital Heart Disease</w:t>
      </w:r>
    </w:p>
    <w:p>
      <w:pPr>
        <w:spacing w:before="0" w:after="160"/>
      </w:pPr>
      <w:r>
        <w:rPr>
          <w:rFonts w:ascii="Calibri" w:hAnsi="Calibri"/>
          <w:b/>
          <w:i w:val="0"/>
          <w:color w:val="212121"/>
          <w:sz w:val="22"/>
        </w:rPr>
        <w:t xml:space="preserve">AKA </w:t>
      </w:r>
      <w:r>
        <w:rPr>
          <w:rFonts w:ascii="Calibri" w:hAnsi="Calibri"/>
          <w:b w:val="0"/>
          <w:i w:val="0"/>
          <w:color w:val="212121"/>
          <w:sz w:val="22"/>
        </w:rPr>
        <w:t>i.e., Congenital Heart Defect (CHD), Congenital cardiac anomaly, Hole in the heart (lay term for septal defects), Blue baby disease (cyanotic CHD)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Congenital heart disease (CHD) is a group of structural abnormalities of the heart or great vessels that are present at birth, arising from defective cardiac development during the first eight weeks of embryogenesis. Defects range from simple, clinically silent lesions (such as a small ventricular septal defect) to complex, life-threatening malformations (such as transposition of the great arteries or single-ventricle physiology). CHD is the most common birth defect worldwide and a leading cause of infant morbidity and mortality, producing abnormal shunting, obstruction to blood flow, and, in many lesions, systemic desaturation (cyanosis).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Congenital heart disease affects an estimated 8-9 per 1,000 live births in India, translating to more than 200,000 children born with CHD every year - the largest such birth cohort of any country. A large North Indian birth-cohort screening study documented a birth prevalence of significant CHD of 8.07 per 1,000 live births. Roughly one-fifth of affected infants have a serious defect requiring intervention within the first year of life, yet advanced cardiac care reaches only a minority, leaving a substantial unoperated and late-presenting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CHD is suspected on antenatal screening or clinical examination and confirmed by cardiac imaging.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Antenatal detection by fetal echocardiography (typically 18-22 weeks of gestation) in at-risk pregnancies, defining structural cardiac anomalies before birth;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Newborn pulse-oximetry screening - a pre- and post-ductal SpO2 &lt; 95%, or a &gt; 3% difference between limbs, flags critical CHD (CCHD);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findings of central cyanosis, a pathological murmur, abnormal or absent pulses, signs of heart failure, or failure to thrive on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Transthoracic 2D echocardiography with colour and spectral Doppler - the diagnostic gold standard that defines anatomy, shunt direction, chamber size and haemodynamics;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investigations - electrocardiogram (chamber hypertrophy, axis deviation) and chest radiograph (cardiac silhouette, pulmonary vascularity);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Cardiac catheterization and/or CT / MR angiography for haemodynamic assessment (pulmonary vascular resistance, operability) and delineation of complex anatomy.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Congenital heart disease is broadly classified by the presence of cyanosis and by the underlying haemodynamics:</w:t>
      </w:r>
    </w:p>
    <w:p>
      <w:pPr>
        <w:spacing w:before="0" w:after="80"/>
      </w:pPr>
      <w:r>
        <w:rPr>
          <w:rFonts w:ascii="Calibri" w:hAnsi="Calibri"/>
          <w:b w:val="0"/>
          <w:i w:val="0"/>
          <w:color w:val="212121"/>
          <w:sz w:val="21"/>
        </w:rPr>
        <w:t>(1) Acyanotic CHD - lesions without systemic desaturation, comprising left-to-right shunts (ventricular septal defect, atrial septal defect, patent ductus arteriosus, atrioventricular septal defect) and obstructive lesions (pulmonary stenosis, aortic stenosis, coarctation of the aorta). These account for roughly 80% of cases and cause pulmonary over-circulation or pressure/volume overload;</w:t>
      </w:r>
    </w:p>
    <w:p>
      <w:pPr>
        <w:spacing w:before="0" w:after="80"/>
      </w:pPr>
      <w:r>
        <w:rPr>
          <w:rFonts w:ascii="Calibri" w:hAnsi="Calibri"/>
          <w:b w:val="0"/>
          <w:i w:val="0"/>
          <w:color w:val="212121"/>
          <w:sz w:val="21"/>
        </w:rPr>
        <w:t>(2) Cyanotic CHD - lesions with right-to-left shunting and systemic desaturation, classically remembered as the “5 Ts”: Tetralogy of Fallot, Transposition of the great arteries, Truncus arteriosus, Total anomalous pulmonary venous connection and Tricuspid atresia (with single-ventricle physiology and hypoplastic left heart syndrome). These comprise roughly 20% of cases;</w:t>
      </w:r>
    </w:p>
    <w:p>
      <w:pPr>
        <w:spacing w:before="0" w:after="80"/>
      </w:pPr>
      <w:r>
        <w:rPr>
          <w:rFonts w:ascii="Calibri" w:hAnsi="Calibri"/>
          <w:b w:val="0"/>
          <w:i w:val="0"/>
          <w:color w:val="212121"/>
          <w:sz w:val="21"/>
        </w:rPr>
        <w:t>(3) Critical / duct-dependent CHD - lesions in which systemic or pulmonary circulation depends on a patent ductus arteriosus, presenting with collapse or profound cyanosis in the neonatal period and requiring emergency prostaglandin and intervention;</w:t>
      </w:r>
    </w:p>
    <w:p>
      <w:pPr>
        <w:spacing w:before="0" w:after="80"/>
      </w:pPr>
      <w:r>
        <w:rPr>
          <w:rFonts w:ascii="Calibri" w:hAnsi="Calibri"/>
          <w:b w:val="0"/>
          <w:i w:val="0"/>
          <w:color w:val="212121"/>
          <w:sz w:val="21"/>
        </w:rPr>
        <w:t>(4) Simple versus complex CHD - isolated single lesions (e.g., small VSD) versus complex multi-lesion or single-ventricle malformations requiring staged palliation.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Chromosomal and genetic disorders: Trisomy 21 (Down), trisomies 18 and 13, 22q11.2 deletion (DiGeorge), Turner and Williams syndromes, and single-gene defects account for a substantial minority of CHD and disrupt normal cardiac morphogenesis.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Multifactorial inheritance: Most isolated CHD results from polygenic susceptibility interacting with environmental exposures during the vulnerable first-trimester window of heart formation.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Maternal metabolic disease: Pregestational and gestational diabetes, obesity and phenylketonuria expose the embryo to hyperglycaemia and metabolic derangement that are directly teratogenic to the developing heart.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Maternal infection: First-trimester rubella (and other TORCH infections) disrupts cardiac and vascular development, classically causing patent ductus arteriosus and pulmonary artery stenosis.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Teratogen exposure: Maternal alcohol, tobacco, sodium valproate and other anticonvulsants, lithium, retinoids (isotretinoin), ACE inhibitors and thalidomide increase the risk of cardiac malformation.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Periconceptional folate deficiency: Inadequate folate around conception impairs neural-crest and cardiac outflow-tract development; supplementation is protective.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Consanguinity: First-cousin and closer unions increase homozygous expression of autosomal-recessive cardiac malformations and are an important, culturally prevalent risk factor in parts of India.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&amp; infants</w:t>
            </w:r>
          </w:p>
        </w:tc>
        <w:tc>
          <w:tcPr>
            <w:tcW w:type="dxa" w:w="4276"/>
            <w:vAlign w:val="top"/>
          </w:tcPr>
          <w:p>
            <w:pPr>
              <w:spacing w:after="60" w:line="259" w:lineRule="auto"/>
            </w:pPr>
            <w:r>
              <w:rPr>
                <w:rFonts w:ascii="Calibri" w:hAnsi="Calibri"/>
                <w:b w:val="0"/>
                <w:i w:val="0"/>
                <w:color w:val="212121"/>
                <w:sz w:val="19"/>
              </w:rPr>
              <w:t>CHD is present from birth; most significant and duct-dependent lesions declare themselves in the neonatal and early-infant period as the fetal circulation transitions, causing cyanosis, heart failure or collapse. Early detection in this window is decisive for survival.</w:t>
            </w:r>
          </w:p>
          <w:p>
            <w:pPr>
              <w:spacing w:after="40" w:before="60" w:line="259" w:lineRule="auto"/>
            </w:pPr>
            <w:r>
              <w:rPr>
                <w:rFonts w:ascii="Calibri" w:hAnsi="Calibri"/>
                <w:b w:val="0"/>
                <w:i w:val="0"/>
                <w:color w:val="212121"/>
                <w:sz w:val="19"/>
              </w:rPr>
              <w:t>A North Indian birth-cohort study of 20,307 newborns found a birth prevalence of significant CHD of 8.07 per 1,000 live births, with acyanotic lesions in ~80% and cyanotic in ~20%.</w:t>
            </w:r>
          </w:p>
          <w:p>
            <w:pPr>
              <w:spacing w:after="40" w:line="252" w:lineRule="auto"/>
            </w:pPr>
            <w:hyperlink r:id="rId9">
              <w:r>
                <w:rPr>
                  <w:rFonts w:ascii="Calibri" w:hAnsi="Calibri" w:cs="Calibri"/>
                  <w:sz w:val="18"/>
                  <w:color w:val="1155CC"/>
                  <w:u w:val="single"/>
                </w:rPr>
                <w:t xml:space="preserve">pubmed.ncbi.nlm.nih.gov/27625516 - birth prevalence CHD, North India</w:t>
              </w:r>
            </w:hyperlink>
          </w:p>
          <w:p>
            <w:pPr>
              <w:spacing w:before="60" w:after="40"/>
            </w:pPr>
            <w:r>
              <w:rPr>
                <w:rFonts w:ascii="Calibri" w:hAnsi="Calibri"/>
                <w:b w:val="0"/>
                <w:i w:val="0"/>
                <w:color w:val="5A5A5A"/>
                <w:sz w:val="18"/>
              </w:rPr>
              <w:t>#congenitalheartdisease  #neonate  #birthprevalence  #cyanosis  #ductdependent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age</w:t>
            </w:r>
          </w:p>
        </w:tc>
        <w:tc>
          <w:tcPr>
            <w:tcW w:type="dxa" w:w="2160"/>
            <w:vAlign w:val="top"/>
          </w:tcPr>
          <w:p>
            <w:pPr>
              <w:spacing w:after="40" w:before="0" w:line="259" w:lineRule="auto"/>
            </w:pPr>
            <w:r>
              <w:rPr>
                <w:rFonts w:ascii="Calibri" w:hAnsi="Calibri"/>
                <w:b w:val="0"/>
                <w:i w:val="0"/>
                <w:color w:val="212121"/>
                <w:sz w:val="19"/>
              </w:rPr>
              <w:t>Advanced maternal age (≥ 35 years)</w:t>
            </w:r>
          </w:p>
        </w:tc>
        <w:tc>
          <w:tcPr>
            <w:tcW w:type="dxa" w:w="4276"/>
            <w:vAlign w:val="top"/>
          </w:tcPr>
          <w:p>
            <w:pPr>
              <w:spacing w:after="60" w:line="259" w:lineRule="auto"/>
            </w:pPr>
            <w:r>
              <w:rPr>
                <w:rFonts w:ascii="Calibri" w:hAnsi="Calibri"/>
                <w:b w:val="0"/>
                <w:i w:val="0"/>
                <w:color w:val="212121"/>
                <w:sz w:val="19"/>
              </w:rPr>
              <w:t>Advancing maternal age raises the risk of chromosomal aneuploidy (e.g., Down syndrome) and, independently, of non-syndromic CHD through age-related changes in oocyte quality and placentation.</w:t>
            </w:r>
          </w:p>
          <w:p>
            <w:pPr>
              <w:spacing w:after="40" w:before="60" w:line="259" w:lineRule="auto"/>
            </w:pPr>
            <w:r>
              <w:rPr>
                <w:rFonts w:ascii="Calibri" w:hAnsi="Calibri"/>
                <w:b w:val="0"/>
                <w:i w:val="0"/>
                <w:color w:val="212121"/>
                <w:sz w:val="19"/>
              </w:rPr>
              <w:t>A meta-analysis of maternal factors found advanced maternal age (≥ 35 y) associated with offspring CHD after adjustment (OR ≈ 1.09, 95% CI 1.00-1.19).</w:t>
            </w:r>
          </w:p>
          <w:p>
            <w:pPr>
              <w:spacing w:after="40" w:line="252" w:lineRule="auto"/>
            </w:pPr>
            <w:hyperlink r:id="rId10">
              <w:r>
                <w:rPr>
                  <w:rFonts w:ascii="Calibri" w:hAnsi="Calibri" w:cs="Calibri"/>
                  <w:sz w:val="18"/>
                  <w:color w:val="1155CC"/>
                  <w:u w:val="single"/>
                </w:rPr>
                <w:t xml:space="preserve">link.springer.com - maternal factors &amp; CHD meta-analysis</w:t>
              </w:r>
            </w:hyperlink>
          </w:p>
          <w:p>
            <w:pPr>
              <w:spacing w:before="60" w:after="40"/>
            </w:pPr>
            <w:r>
              <w:rPr>
                <w:rFonts w:ascii="Calibri" w:hAnsi="Calibri"/>
                <w:b w:val="0"/>
                <w:i w:val="0"/>
                <w:color w:val="5A5A5A"/>
                <w:sz w:val="18"/>
              </w:rPr>
              <w:t>#maternalage  #aneuploidy  #downsyndrome  #pregnancyrisk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adults with CHD (GUCH/ACHD)</w:t>
            </w:r>
          </w:p>
        </w:tc>
        <w:tc>
          <w:tcPr>
            <w:tcW w:type="dxa" w:w="4276"/>
            <w:vAlign w:val="top"/>
          </w:tcPr>
          <w:p>
            <w:pPr>
              <w:spacing w:after="60" w:line="259" w:lineRule="auto"/>
            </w:pPr>
            <w:r>
              <w:rPr>
                <w:rFonts w:ascii="Calibri" w:hAnsi="Calibri"/>
                <w:b w:val="0"/>
                <w:i w:val="0"/>
                <w:color w:val="212121"/>
                <w:sz w:val="19"/>
              </w:rPr>
              <w:t>Improved paediatric survival has created a growing population of grown-up (adult) congenital heart disease patients who need lifelong specialist follow-up. In India, late or missed diagnosis means many present in adulthood with established complications such as pulmonary hypertension.</w:t>
            </w:r>
          </w:p>
          <w:p>
            <w:pPr>
              <w:spacing w:after="40" w:before="60" w:line="259" w:lineRule="auto"/>
            </w:pPr>
            <w:r>
              <w:rPr>
                <w:rFonts w:ascii="Calibri" w:hAnsi="Calibri"/>
                <w:b w:val="0"/>
                <w:i w:val="0"/>
                <w:color w:val="212121"/>
                <w:sz w:val="19"/>
              </w:rPr>
              <w:t>Late presentation of CHD in low- and middle-income countries is common and adversely affects operability and outcomes, with many patients reaching irreversible pulmonary vascular disease before repair.</w:t>
            </w:r>
          </w:p>
          <w:p>
            <w:pPr>
              <w:spacing w:after="40" w:line="252" w:lineRule="auto"/>
            </w:pPr>
            <w:hyperlink r:id="rId11">
              <w:r>
                <w:rPr>
                  <w:rFonts w:ascii="Calibri" w:hAnsi="Calibri" w:cs="Calibri"/>
                  <w:sz w:val="18"/>
                  <w:color w:val="1155CC"/>
                  <w:u w:val="single"/>
                </w:rPr>
                <w:t xml:space="preserve">link.springer.com - late presentation of CHD in LMICs</w:t>
              </w:r>
            </w:hyperlink>
          </w:p>
          <w:p>
            <w:pPr>
              <w:spacing w:before="60" w:after="40"/>
            </w:pPr>
            <w:r>
              <w:rPr>
                <w:rFonts w:ascii="Calibri" w:hAnsi="Calibri"/>
                <w:b w:val="0"/>
                <w:i w:val="0"/>
                <w:color w:val="5A5A5A"/>
                <w:sz w:val="18"/>
              </w:rPr>
              <w:t>#GUCH  #ACHD  #latepresentation  #Eisenmenger  #lifelongcare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infants (lesion-specific)</w:t>
            </w:r>
          </w:p>
        </w:tc>
        <w:tc>
          <w:tcPr>
            <w:tcW w:type="dxa" w:w="4276"/>
            <w:vAlign w:val="top"/>
          </w:tcPr>
          <w:p>
            <w:pPr>
              <w:spacing w:after="60" w:line="259" w:lineRule="auto"/>
            </w:pPr>
            <w:r>
              <w:rPr>
                <w:rFonts w:ascii="Calibri" w:hAnsi="Calibri"/>
                <w:b w:val="0"/>
                <w:i w:val="0"/>
                <w:color w:val="212121"/>
                <w:sz w:val="19"/>
              </w:rPr>
              <w:t>Sex distribution is lesion-specific: transposition of the great arteries, aortic stenosis, coarctation and hypoplastic left heart predominate in males, whereas atrial septal defect and patent ductus arteriosus are commoner in females.</w:t>
            </w:r>
          </w:p>
          <w:p>
            <w:pPr>
              <w:spacing w:after="40" w:before="60" w:line="259" w:lineRule="auto"/>
            </w:pPr>
            <w:r>
              <w:rPr>
                <w:rFonts w:ascii="Calibri" w:hAnsi="Calibri"/>
                <w:b w:val="0"/>
                <w:i w:val="0"/>
                <w:color w:val="212121"/>
                <w:sz w:val="19"/>
              </w:rPr>
              <w:t>Male preponderance is well described for obstructive left-heart and conotruncal lesions, while ASD and PDA show a female predominance (roughly 2:1 for PDA).</w:t>
            </w:r>
          </w:p>
          <w:p>
            <w:pPr>
              <w:spacing w:before="60" w:after="40"/>
            </w:pPr>
            <w:r>
              <w:rPr>
                <w:rFonts w:ascii="Calibri" w:hAnsi="Calibri"/>
                <w:b w:val="0"/>
                <w:i w:val="0"/>
                <w:color w:val="5A5A5A"/>
                <w:sz w:val="18"/>
              </w:rPr>
              <w:t>#sexdifference  #TGA  #coarctation  #PDA  #lesionspecific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families</w:t>
            </w:r>
          </w:p>
        </w:tc>
        <w:tc>
          <w:tcPr>
            <w:tcW w:type="dxa" w:w="4276"/>
            <w:vAlign w:val="top"/>
          </w:tcPr>
          <w:p>
            <w:pPr>
              <w:spacing w:after="60" w:line="259" w:lineRule="auto"/>
            </w:pPr>
            <w:r>
              <w:rPr>
                <w:rFonts w:ascii="Calibri" w:hAnsi="Calibri"/>
                <w:b w:val="0"/>
                <w:i w:val="0"/>
                <w:color w:val="212121"/>
                <w:sz w:val="19"/>
              </w:rPr>
              <w:t>Poverty clusters modifiable maternal risks (undernutrition, unbooked pregnancy, infections, teratogen exposure) and drives delayed diagnosis and limited access to surgical correction, worsening outcomes across India.</w:t>
            </w:r>
          </w:p>
          <w:p>
            <w:pPr>
              <w:spacing w:after="40" w:before="60" w:line="259" w:lineRule="auto"/>
            </w:pPr>
            <w:r>
              <w:rPr>
                <w:rFonts w:ascii="Calibri" w:hAnsi="Calibri"/>
                <w:b w:val="0"/>
                <w:i w:val="0"/>
                <w:color w:val="212121"/>
                <w:sz w:val="19"/>
              </w:rPr>
              <w:t>Advanced cardiac care reaches only a minority of the &gt;200,000 Indian children born with CHD each year, leaving a large untreated and late-presenting burden concentrated in poorer families.</w:t>
            </w:r>
          </w:p>
          <w:p>
            <w:pPr>
              <w:spacing w:after="40" w:line="252" w:lineRule="auto"/>
            </w:pPr>
            <w:hyperlink r:id="rId12">
              <w:r>
                <w:rPr>
                  <w:rFonts w:ascii="Calibri" w:hAnsi="Calibri" w:cs="Calibri"/>
                  <w:sz w:val="18"/>
                  <w:color w:val="1155CC"/>
                  <w:u w:val="single"/>
                </w:rPr>
                <w:t xml:space="preserve">link.springer.com - CHD in India: a status report</w:t>
              </w:r>
            </w:hyperlink>
          </w:p>
          <w:p>
            <w:pPr>
              <w:spacing w:before="60" w:after="40"/>
            </w:pPr>
            <w:r>
              <w:rPr>
                <w:rFonts w:ascii="Calibri" w:hAnsi="Calibri"/>
                <w:b w:val="0"/>
                <w:i w:val="0"/>
                <w:color w:val="5A5A5A"/>
                <w:sz w:val="18"/>
              </w:rPr>
              <w:t>#socioeconomic  #accessgap  #surgicalbacklog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consanguinity</w:t>
            </w:r>
          </w:p>
        </w:tc>
        <w:tc>
          <w:tcPr>
            <w:tcW w:type="dxa" w:w="2160"/>
            <w:vAlign w:val="top"/>
          </w:tcPr>
          <w:p>
            <w:pPr>
              <w:spacing w:after="40" w:before="0" w:line="259" w:lineRule="auto"/>
            </w:pPr>
            <w:r>
              <w:rPr>
                <w:rFonts w:ascii="Calibri" w:hAnsi="Calibri"/>
                <w:b w:val="0"/>
                <w:i w:val="0"/>
                <w:color w:val="212121"/>
                <w:sz w:val="19"/>
              </w:rPr>
              <w:t>South Indian populations with high consanguinity</w:t>
            </w:r>
          </w:p>
        </w:tc>
        <w:tc>
          <w:tcPr>
            <w:tcW w:type="dxa" w:w="4276"/>
            <w:vAlign w:val="top"/>
          </w:tcPr>
          <w:p>
            <w:pPr>
              <w:spacing w:after="60" w:line="259" w:lineRule="auto"/>
            </w:pPr>
            <w:r>
              <w:rPr>
                <w:rFonts w:ascii="Calibri" w:hAnsi="Calibri"/>
                <w:b w:val="0"/>
                <w:i w:val="0"/>
                <w:color w:val="212121"/>
                <w:sz w:val="19"/>
              </w:rPr>
              <w:t>Consanguineous (first-cousin and closer) marriage - culturally prevalent in parts of South India - increases homozygosity for recessive cardiac malformation alleles, raising CHD prevalence in offspring.</w:t>
            </w:r>
          </w:p>
          <w:p>
            <w:pPr>
              <w:spacing w:after="40" w:before="60" w:line="259" w:lineRule="auto"/>
            </w:pPr>
            <w:r>
              <w:rPr>
                <w:rFonts w:ascii="Calibri" w:hAnsi="Calibri"/>
                <w:b w:val="0"/>
                <w:i w:val="0"/>
                <w:color w:val="212121"/>
                <w:sz w:val="19"/>
              </w:rPr>
              <w:t>Consanguinity-mapping studies in a South Indian population identified parental consanguinity as a significant risk factor for congenital heart disease.</w:t>
            </w:r>
          </w:p>
          <w:p>
            <w:pPr>
              <w:spacing w:after="40" w:line="252" w:lineRule="auto"/>
            </w:pPr>
            <w:hyperlink r:id="rId13">
              <w:r>
                <w:rPr>
                  <w:rFonts w:ascii="Calibri" w:hAnsi="Calibri" w:cs="Calibri"/>
                  <w:sz w:val="18"/>
                  <w:color w:val="1155CC"/>
                  <w:u w:val="single"/>
                </w:rPr>
                <w:t xml:space="preserve">journals.plos.org - consanguinity mapping of CHD, South India</w:t>
              </w:r>
            </w:hyperlink>
          </w:p>
          <w:p>
            <w:pPr>
              <w:spacing w:before="60" w:after="40"/>
            </w:pPr>
            <w:r>
              <w:rPr>
                <w:rFonts w:ascii="Calibri" w:hAnsi="Calibri"/>
                <w:b w:val="0"/>
                <w:i w:val="0"/>
                <w:color w:val="5A5A5A"/>
                <w:sz w:val="18"/>
              </w:rPr>
              <w:t>#consanguinity  #firstcousin  #recessive  #SouthIndia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&amp; remote districts (India)</w:t>
            </w:r>
          </w:p>
        </w:tc>
        <w:tc>
          <w:tcPr>
            <w:tcW w:type="dxa" w:w="4276"/>
            <w:vAlign w:val="top"/>
          </w:tcPr>
          <w:p>
            <w:pPr>
              <w:spacing w:after="60" w:line="259" w:lineRule="auto"/>
            </w:pPr>
            <w:r>
              <w:rPr>
                <w:rFonts w:ascii="Calibri" w:hAnsi="Calibri"/>
                <w:b w:val="0"/>
                <w:i w:val="0"/>
                <w:color w:val="212121"/>
                <w:sz w:val="19"/>
              </w:rPr>
              <w:t>Scarcity of paediatric-cardiac centres, fetal-echo screening and trained personnel outside metros means rural infants are diagnosed late, miss the neonatal window for critical CHD, and travel long distances for care.</w:t>
            </w:r>
          </w:p>
          <w:p>
            <w:pPr>
              <w:spacing w:after="40" w:before="60" w:line="259" w:lineRule="auto"/>
            </w:pPr>
            <w:r>
              <w:rPr>
                <w:rFonts w:ascii="Calibri" w:hAnsi="Calibri"/>
                <w:b w:val="0"/>
                <w:i w:val="0"/>
                <w:color w:val="212121"/>
                <w:sz w:val="19"/>
              </w:rPr>
              <w:t>Late presentation is a defining feature of CHD in low- and middle-income settings such as rural India, reducing the proportion of patients who remain operable.</w:t>
            </w:r>
          </w:p>
          <w:p>
            <w:pPr>
              <w:spacing w:after="40" w:line="252" w:lineRule="auto"/>
            </w:pPr>
            <w:hyperlink r:id="rId11">
              <w:r>
                <w:rPr>
                  <w:rFonts w:ascii="Calibri" w:hAnsi="Calibri" w:cs="Calibri"/>
                  <w:sz w:val="18"/>
                  <w:color w:val="1155CC"/>
                  <w:u w:val="single"/>
                </w:rPr>
                <w:t xml:space="preserve">link.springer.com - late presentation of CHD in LMICs</w:t>
              </w:r>
            </w:hyperlink>
          </w:p>
          <w:p>
            <w:pPr>
              <w:spacing w:before="60" w:after="40"/>
            </w:pPr>
            <w:r>
              <w:rPr>
                <w:rFonts w:ascii="Calibri" w:hAnsi="Calibri"/>
                <w:b w:val="0"/>
                <w:i w:val="0"/>
                <w:color w:val="5A5A5A"/>
                <w:sz w:val="18"/>
              </w:rPr>
              <w:t>#ruralhealth  #accessgap  #pediatriccardiology  #screeninggap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Mothers who smoke / passive smoke exposure in pregnancy</w:t>
            </w:r>
          </w:p>
        </w:tc>
        <w:tc>
          <w:tcPr>
            <w:tcW w:type="dxa" w:w="4276"/>
            <w:vAlign w:val="top"/>
          </w:tcPr>
          <w:p>
            <w:pPr>
              <w:spacing w:after="60" w:line="259" w:lineRule="auto"/>
            </w:pPr>
            <w:r>
              <w:rPr>
                <w:rFonts w:ascii="Calibri" w:hAnsi="Calibri"/>
                <w:b w:val="0"/>
                <w:i w:val="0"/>
                <w:color w:val="212121"/>
                <w:sz w:val="19"/>
              </w:rPr>
              <w:t>Maternal active smoking and second-hand (passive) smoke exposure deliver nicotine and carbon monoxide that impair placental perfusion and fetal oxygenation during cardiac organogenesis, raising CHD risk - passive exposure carries a notably higher risk than active smoking in pooled data.</w:t>
            </w:r>
          </w:p>
          <w:p>
            <w:pPr>
              <w:spacing w:after="40" w:before="60" w:line="259" w:lineRule="auto"/>
            </w:pPr>
            <w:r>
              <w:rPr>
                <w:rFonts w:ascii="Calibri" w:hAnsi="Calibri"/>
                <w:b w:val="0"/>
                <w:i w:val="0"/>
                <w:color w:val="212121"/>
                <w:sz w:val="19"/>
              </w:rPr>
              <w:t>Meta-analysis: maternal active smoking OR 1.28 (95% CI 1.03-1.57); passive smoking OR 2.67 (95% CI 1.30-5.46).</w:t>
            </w:r>
          </w:p>
          <w:p>
            <w:pPr>
              <w:spacing w:after="40" w:line="252" w:lineRule="auto"/>
            </w:pPr>
            <w:hyperlink r:id="rId14">
              <w:r>
                <w:rPr>
                  <w:rFonts w:ascii="Calibri" w:hAnsi="Calibri" w:cs="Calibri"/>
                  <w:sz w:val="18"/>
                  <w:color w:val="1155CC"/>
                  <w:u w:val="single"/>
                </w:rPr>
                <w:t xml:space="preserve">link.springer.com - maternal factors in early pregnancy &amp; CHD</w:t>
              </w:r>
            </w:hyperlink>
          </w:p>
          <w:p>
            <w:pPr>
              <w:spacing w:before="60" w:after="40"/>
            </w:pPr>
            <w:r>
              <w:rPr>
                <w:rFonts w:ascii="Calibri" w:hAnsi="Calibri"/>
                <w:b w:val="0"/>
                <w:i w:val="0"/>
                <w:color w:val="5A5A5A"/>
                <w:sz w:val="18"/>
              </w:rPr>
              <w:t>#maternalsmoking  #passivesmoke  #secondhandsmoke  #nicotine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Mothers consuming alcohol in pregnancy</w:t>
            </w:r>
          </w:p>
        </w:tc>
        <w:tc>
          <w:tcPr>
            <w:tcW w:type="dxa" w:w="4276"/>
            <w:vAlign w:val="top"/>
          </w:tcPr>
          <w:p>
            <w:pPr>
              <w:spacing w:after="60" w:line="259" w:lineRule="auto"/>
            </w:pPr>
            <w:r>
              <w:rPr>
                <w:rFonts w:ascii="Calibri" w:hAnsi="Calibri"/>
                <w:b w:val="0"/>
                <w:i w:val="0"/>
                <w:color w:val="212121"/>
                <w:sz w:val="19"/>
              </w:rPr>
              <w:t>Prenatal alcohol is a cardiac teratogen; ethanol disrupts neural-crest migration and outflow-tract septation, producing septal and conotruncal defects as part of the fetal alcohol spectrum.</w:t>
            </w:r>
          </w:p>
          <w:p>
            <w:pPr>
              <w:spacing w:after="40" w:before="60" w:line="259" w:lineRule="auto"/>
            </w:pPr>
            <w:r>
              <w:rPr>
                <w:rFonts w:ascii="Calibri" w:hAnsi="Calibri"/>
                <w:b w:val="0"/>
                <w:i w:val="0"/>
                <w:color w:val="212121"/>
                <w:sz w:val="19"/>
              </w:rPr>
              <w:t>Prenatal alcohol exposure: any CHD RR 1.33 (95% CI 1.21-1.46); conotruncal defects RR 1.62; endocardial-cushion (AVSD) defects RR 2.71.</w:t>
            </w:r>
          </w:p>
          <w:p>
            <w:pPr>
              <w:spacing w:after="40" w:line="252" w:lineRule="auto"/>
            </w:pPr>
            <w:hyperlink r:id="rId15">
              <w:r>
                <w:rPr>
                  <w:rFonts w:ascii="Calibri" w:hAnsi="Calibri" w:cs="Calibri"/>
                  <w:sz w:val="18"/>
                  <w:color w:val="1155CC"/>
                  <w:u w:val="single"/>
                </w:rPr>
                <w:t xml:space="preserve">ahajournals.org - prenatal alcohol &amp; conotruncal/cushion defects</w:t>
              </w:r>
            </w:hyperlink>
          </w:p>
          <w:p>
            <w:pPr>
              <w:spacing w:before="60" w:after="40"/>
            </w:pPr>
            <w:r>
              <w:rPr>
                <w:rFonts w:ascii="Calibri" w:hAnsi="Calibri"/>
                <w:b w:val="0"/>
                <w:i w:val="0"/>
                <w:color w:val="5A5A5A"/>
                <w:sz w:val="18"/>
              </w:rPr>
              <w:t>#maternalalcohol  #FASD  #conotruncal  #teratogen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 / Overweight</w:t>
            </w:r>
          </w:p>
        </w:tc>
        <w:tc>
          <w:tcPr>
            <w:tcW w:type="dxa" w:w="2160"/>
            <w:vAlign w:val="top"/>
          </w:tcPr>
          <w:p>
            <w:pPr>
              <w:spacing w:after="40" w:before="0" w:line="259" w:lineRule="auto"/>
            </w:pPr>
            <w:r>
              <w:rPr>
                <w:rFonts w:ascii="Calibri" w:hAnsi="Calibri"/>
                <w:b w:val="0"/>
                <w:i w:val="0"/>
                <w:color w:val="212121"/>
                <w:sz w:val="19"/>
              </w:rPr>
              <w:t>Mothers with pre-pregnancy obesity</w:t>
            </w:r>
          </w:p>
        </w:tc>
        <w:tc>
          <w:tcPr>
            <w:tcW w:type="dxa" w:w="4276"/>
            <w:vAlign w:val="top"/>
          </w:tcPr>
          <w:p>
            <w:pPr>
              <w:spacing w:after="60" w:line="259" w:lineRule="auto"/>
            </w:pPr>
            <w:r>
              <w:rPr>
                <w:rFonts w:ascii="Calibri" w:hAnsi="Calibri"/>
                <w:b w:val="0"/>
                <w:i w:val="0"/>
                <w:color w:val="212121"/>
                <w:sz w:val="19"/>
              </w:rPr>
              <w:t>Maternal obesity promotes insulin resistance, hyperglycaemia, chronic inflammation and folate dysregulation, all of which disturb early cardiac development independently of overt diabetes.</w:t>
            </w:r>
          </w:p>
          <w:p>
            <w:pPr>
              <w:spacing w:after="40" w:before="60" w:line="259" w:lineRule="auto"/>
            </w:pPr>
            <w:r>
              <w:rPr>
                <w:rFonts w:ascii="Calibri" w:hAnsi="Calibri"/>
                <w:b w:val="0"/>
                <w:i w:val="0"/>
                <w:color w:val="212121"/>
                <w:sz w:val="19"/>
              </w:rPr>
              <w:t>Maternal obesity is associated with offspring CHD, OR ≈ 1.23 (95% CI 1.13-1.33) in pooled analysis.</w:t>
            </w:r>
          </w:p>
          <w:p>
            <w:pPr>
              <w:spacing w:after="40" w:line="252" w:lineRule="auto"/>
            </w:pPr>
            <w:hyperlink r:id="rId14">
              <w:r>
                <w:rPr>
                  <w:rFonts w:ascii="Calibri" w:hAnsi="Calibri" w:cs="Calibri"/>
                  <w:sz w:val="18"/>
                  <w:color w:val="1155CC"/>
                  <w:u w:val="single"/>
                </w:rPr>
                <w:t xml:space="preserve">link.springer.com - maternal factors in early pregnancy &amp; CHD</w:t>
              </w:r>
            </w:hyperlink>
          </w:p>
          <w:p>
            <w:pPr>
              <w:spacing w:before="60" w:after="40"/>
            </w:pPr>
            <w:r>
              <w:rPr>
                <w:rFonts w:ascii="Calibri" w:hAnsi="Calibri"/>
                <w:b w:val="0"/>
                <w:i w:val="0"/>
                <w:color w:val="5A5A5A"/>
                <w:sz w:val="18"/>
              </w:rPr>
              <w:t>#maternalobesity  #prepregnancyBMI  #insulinresistance  #inflammation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Folate deficiency</w:t>
            </w:r>
          </w:p>
        </w:tc>
        <w:tc>
          <w:tcPr>
            <w:tcW w:type="dxa" w:w="2160"/>
            <w:vAlign w:val="top"/>
          </w:tcPr>
          <w:p>
            <w:pPr>
              <w:spacing w:after="40" w:before="0" w:line="259" w:lineRule="auto"/>
            </w:pPr>
            <w:r>
              <w:rPr>
                <w:rFonts w:ascii="Calibri" w:hAnsi="Calibri"/>
                <w:b w:val="0"/>
                <w:i w:val="0"/>
                <w:color w:val="212121"/>
                <w:sz w:val="19"/>
              </w:rPr>
              <w:t>Mothers with periconceptional folate deficiency / no supplementation</w:t>
            </w:r>
          </w:p>
        </w:tc>
        <w:tc>
          <w:tcPr>
            <w:tcW w:type="dxa" w:w="4276"/>
            <w:vAlign w:val="top"/>
          </w:tcPr>
          <w:p>
            <w:pPr>
              <w:spacing w:after="60" w:line="259" w:lineRule="auto"/>
            </w:pPr>
            <w:r>
              <w:rPr>
                <w:rFonts w:ascii="Calibri" w:hAnsi="Calibri"/>
                <w:b w:val="0"/>
                <w:i w:val="0"/>
                <w:color w:val="212121"/>
                <w:sz w:val="19"/>
              </w:rPr>
              <w:t>Folate is essential for neural-crest and cardiac outflow-tract development; deficiency around conception increases CHD risk, while periconceptional folic-acid supplementation is protective.</w:t>
            </w:r>
          </w:p>
          <w:p>
            <w:pPr>
              <w:spacing w:after="40" w:before="60" w:line="259" w:lineRule="auto"/>
            </w:pPr>
            <w:r>
              <w:rPr>
                <w:rFonts w:ascii="Calibri" w:hAnsi="Calibri"/>
                <w:b w:val="0"/>
                <w:i w:val="0"/>
                <w:color w:val="212121"/>
                <w:sz w:val="19"/>
              </w:rPr>
              <w:t>Meta-analysis of 18 studies: maternal folic-acid supplementation reduced offspring CHD risk, pooled RR 0.72 (95% CI 0.63-0.82).</w:t>
            </w:r>
          </w:p>
          <w:p>
            <w:pPr>
              <w:spacing w:after="40" w:line="252" w:lineRule="auto"/>
            </w:pPr>
            <w:hyperlink r:id="rId16">
              <w:r>
                <w:rPr>
                  <w:rFonts w:ascii="Calibri" w:hAnsi="Calibri" w:cs="Calibri"/>
                  <w:sz w:val="18"/>
                  <w:color w:val="1155CC"/>
                  <w:u w:val="single"/>
                </w:rPr>
                <w:t xml:space="preserve">nature.com - folate supplementation &amp; CHD meta-analysis</w:t>
              </w:r>
            </w:hyperlink>
          </w:p>
          <w:p>
            <w:pPr>
              <w:spacing w:before="60" w:after="40"/>
            </w:pPr>
            <w:r>
              <w:rPr>
                <w:rFonts w:ascii="Calibri" w:hAnsi="Calibri"/>
                <w:b w:val="0"/>
                <w:i w:val="0"/>
                <w:color w:val="5A5A5A"/>
                <w:sz w:val="18"/>
              </w:rPr>
              <w:t>#folate  #folicacid  #periconception  #neuralcrest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glycaemic diet</w:t>
            </w:r>
          </w:p>
        </w:tc>
        <w:tc>
          <w:tcPr>
            <w:tcW w:type="dxa" w:w="2160"/>
            <w:vAlign w:val="top"/>
          </w:tcPr>
          <w:p>
            <w:pPr>
              <w:spacing w:after="40" w:before="0" w:line="259" w:lineRule="auto"/>
            </w:pPr>
            <w:r>
              <w:rPr>
                <w:rFonts w:ascii="Calibri" w:hAnsi="Calibri"/>
                <w:b w:val="0"/>
                <w:i w:val="0"/>
                <w:color w:val="212121"/>
                <w:sz w:val="19"/>
              </w:rPr>
              <w:t>Mothers with poorly controlled diabetic diet</w:t>
            </w:r>
          </w:p>
        </w:tc>
        <w:tc>
          <w:tcPr>
            <w:tcW w:type="dxa" w:w="4276"/>
            <w:vAlign w:val="top"/>
          </w:tcPr>
          <w:p>
            <w:pPr>
              <w:spacing w:after="60" w:line="259" w:lineRule="auto"/>
            </w:pPr>
            <w:r>
              <w:rPr>
                <w:rFonts w:ascii="Calibri" w:hAnsi="Calibri"/>
                <w:b w:val="0"/>
                <w:i w:val="0"/>
                <w:color w:val="212121"/>
                <w:sz w:val="19"/>
              </w:rPr>
              <w:t>A high-glycaemic maternal diet driving peri-conceptional hyperglycaemia is directly teratogenic to the embryonic heart; tight pre-pregnancy glycaemic control markedly lowers this risk.</w:t>
            </w:r>
          </w:p>
          <w:p>
            <w:pPr>
              <w:spacing w:after="40" w:before="60" w:line="259" w:lineRule="auto"/>
            </w:pPr>
            <w:r>
              <w:rPr>
                <w:rFonts w:ascii="Calibri" w:hAnsi="Calibri"/>
                <w:b w:val="0"/>
                <w:i w:val="0"/>
                <w:color w:val="212121"/>
                <w:sz w:val="19"/>
              </w:rPr>
              <w:t>Pregestational diabetes (glycaemic dysregulation) raises offspring CHD risk about 3-4 fold (pooled RR 3.59, 95% CI 3.03-4.25).</w:t>
            </w:r>
          </w:p>
          <w:p>
            <w:pPr>
              <w:spacing w:after="40" w:line="252" w:lineRule="auto"/>
            </w:pPr>
            <w:hyperlink r:id="rId17">
              <w:r>
                <w:rPr>
                  <w:rFonts w:ascii="Calibri" w:hAnsi="Calibri" w:cs="Calibri"/>
                  <w:sz w:val="18"/>
                  <w:color w:val="1155CC"/>
                  <w:u w:val="single"/>
                </w:rPr>
                <w:t xml:space="preserve">academic.oup.com - maternal diabetes &amp; CHD meta-analysis</w:t>
              </w:r>
            </w:hyperlink>
          </w:p>
          <w:p>
            <w:pPr>
              <w:spacing w:before="60" w:after="40"/>
            </w:pPr>
            <w:r>
              <w:rPr>
                <w:rFonts w:ascii="Calibri" w:hAnsi="Calibri"/>
                <w:b w:val="0"/>
                <w:i w:val="0"/>
                <w:color w:val="5A5A5A"/>
                <w:sz w:val="18"/>
              </w:rPr>
              <w:t>#hyperglycemia  #glycemiccontrol  #diabeticdiet  #teratogenic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Chromosomal syndrome</w:t>
            </w:r>
          </w:p>
        </w:tc>
        <w:tc>
          <w:tcPr>
            <w:tcW w:type="dxa" w:w="2160"/>
            <w:vAlign w:val="top"/>
          </w:tcPr>
          <w:p>
            <w:pPr>
              <w:spacing w:after="40" w:before="0" w:line="259" w:lineRule="auto"/>
            </w:pPr>
            <w:r>
              <w:rPr>
                <w:rFonts w:ascii="Calibri" w:hAnsi="Calibri"/>
                <w:b w:val="0"/>
                <w:i w:val="0"/>
                <w:color w:val="212121"/>
                <w:sz w:val="19"/>
              </w:rPr>
              <w:t>Children with Down syndrome (Trisomy 21)</w:t>
            </w:r>
          </w:p>
        </w:tc>
        <w:tc>
          <w:tcPr>
            <w:tcW w:type="dxa" w:w="4276"/>
            <w:vAlign w:val="top"/>
          </w:tcPr>
          <w:p>
            <w:pPr>
              <w:spacing w:after="60" w:line="259" w:lineRule="auto"/>
            </w:pPr>
            <w:r>
              <w:rPr>
                <w:rFonts w:ascii="Calibri" w:hAnsi="Calibri"/>
                <w:b w:val="0"/>
                <w:i w:val="0"/>
                <w:color w:val="212121"/>
                <w:sz w:val="19"/>
              </w:rPr>
              <w:t>Trisomy 21 is the commonest chromosomal cause of CHD; the endocardial cushions are characteristically affected, producing atrioventricular septal defects and other shunts.</w:t>
            </w:r>
          </w:p>
          <w:p>
            <w:pPr>
              <w:spacing w:after="40" w:before="60" w:line="259" w:lineRule="auto"/>
            </w:pPr>
            <w:r>
              <w:rPr>
                <w:rFonts w:ascii="Calibri" w:hAnsi="Calibri"/>
                <w:b w:val="0"/>
                <w:i w:val="0"/>
                <w:color w:val="212121"/>
                <w:sz w:val="19"/>
              </w:rPr>
              <w:t>Around half of children with Down syndrome have CHD; in an Indian series ~50% were affected, with atrioventricular septal defect the commonest lesion followed by VSD.</w:t>
            </w:r>
          </w:p>
          <w:p>
            <w:pPr>
              <w:spacing w:after="40" w:line="252" w:lineRule="auto"/>
            </w:pPr>
            <w:hyperlink r:id="rId18">
              <w:r>
                <w:rPr>
                  <w:rFonts w:ascii="Calibri" w:hAnsi="Calibri" w:cs="Calibri"/>
                  <w:sz w:val="18"/>
                  <w:color w:val="1155CC"/>
                  <w:u w:val="single"/>
                </w:rPr>
                <w:t xml:space="preserve">austinpublishinggroup.com - CHD in Indian children with Down syndrome</w:t>
              </w:r>
            </w:hyperlink>
          </w:p>
          <w:p>
            <w:pPr>
              <w:spacing w:before="60" w:after="40"/>
            </w:pPr>
            <w:r>
              <w:rPr>
                <w:rFonts w:ascii="Calibri" w:hAnsi="Calibri"/>
                <w:b w:val="0"/>
                <w:i w:val="0"/>
                <w:color w:val="5A5A5A"/>
                <w:sz w:val="18"/>
              </w:rPr>
              <w:t>#trisomy21  #downsyndrome  #AVSD  #endocardialcushion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Chromosomal microdeletion</w:t>
            </w:r>
          </w:p>
        </w:tc>
        <w:tc>
          <w:tcPr>
            <w:tcW w:type="dxa" w:w="2160"/>
            <w:vAlign w:val="top"/>
          </w:tcPr>
          <w:p>
            <w:pPr>
              <w:spacing w:after="40" w:before="0" w:line="259" w:lineRule="auto"/>
            </w:pPr>
            <w:r>
              <w:rPr>
                <w:rFonts w:ascii="Calibri" w:hAnsi="Calibri"/>
                <w:b w:val="0"/>
                <w:i w:val="0"/>
                <w:color w:val="212121"/>
                <w:sz w:val="19"/>
              </w:rPr>
              <w:t>Children with 22q11.2 deletion (DiGeorge)</w:t>
            </w:r>
          </w:p>
        </w:tc>
        <w:tc>
          <w:tcPr>
            <w:tcW w:type="dxa" w:w="4276"/>
            <w:vAlign w:val="top"/>
          </w:tcPr>
          <w:p>
            <w:pPr>
              <w:spacing w:after="60" w:line="259" w:lineRule="auto"/>
            </w:pPr>
            <w:r>
              <w:rPr>
                <w:rFonts w:ascii="Calibri" w:hAnsi="Calibri"/>
                <w:b w:val="0"/>
                <w:i w:val="0"/>
                <w:color w:val="212121"/>
                <w:sz w:val="19"/>
              </w:rPr>
              <w:t>The 22q11.2 deletion disrupts neural-crest contribution to the cardiac outflow tract and aortic arch, producing conotruncal defects such as tetralogy of Fallot, interrupted aortic arch and truncus arteriosus.</w:t>
            </w:r>
          </w:p>
          <w:p>
            <w:pPr>
              <w:spacing w:after="40" w:before="60" w:line="259" w:lineRule="auto"/>
            </w:pPr>
            <w:r>
              <w:rPr>
                <w:rFonts w:ascii="Calibri" w:hAnsi="Calibri"/>
                <w:b w:val="0"/>
                <w:i w:val="0"/>
                <w:color w:val="212121"/>
                <w:sz w:val="19"/>
              </w:rPr>
              <w:t>A review of 1,421 individuals with 22q11.2 deletion found CHD in 64% - VSD 23%, tetralogy of Fallot 18%, interrupted aortic arch 11%, truncus arteriosus 4%.</w:t>
            </w:r>
          </w:p>
          <w:p>
            <w:pPr>
              <w:spacing w:after="40" w:line="252" w:lineRule="auto"/>
            </w:pPr>
            <w:hyperlink r:id="rId19">
              <w:r>
                <w:rPr>
                  <w:rFonts w:ascii="Calibri" w:hAnsi="Calibri" w:cs="Calibri"/>
                  <w:sz w:val="18"/>
                  <w:color w:val="1155CC"/>
                  <w:u w:val="single"/>
                </w:rPr>
                <w:t xml:space="preserve">ncbi.nlm.nih.gov - 22q11.2 Deletion Syndrome, GeneReviews</w:t>
              </w:r>
            </w:hyperlink>
          </w:p>
          <w:p>
            <w:pPr>
              <w:spacing w:before="60" w:after="40"/>
            </w:pPr>
            <w:r>
              <w:rPr>
                <w:rFonts w:ascii="Calibri" w:hAnsi="Calibri"/>
                <w:b w:val="0"/>
                <w:i w:val="0"/>
                <w:color w:val="5A5A5A"/>
                <w:sz w:val="18"/>
              </w:rPr>
              <w:t>#22q11deletion  #DiGeorge  #conotruncal  #tetralogy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CHD</w:t>
            </w:r>
          </w:p>
        </w:tc>
        <w:tc>
          <w:tcPr>
            <w:tcW w:type="dxa" w:w="4276"/>
            <w:vAlign w:val="top"/>
          </w:tcPr>
          <w:p>
            <w:pPr>
              <w:spacing w:after="60" w:line="259" w:lineRule="auto"/>
            </w:pPr>
            <w:r>
              <w:rPr>
                <w:rFonts w:ascii="Calibri" w:hAnsi="Calibri"/>
                <w:b w:val="0"/>
                <w:i w:val="0"/>
                <w:color w:val="212121"/>
                <w:sz w:val="19"/>
              </w:rPr>
              <w:t>A previously affected sibling or an affected parent substantially raises recurrence risk through shared genetic susceptibility, warranting fetal echocardiography in subsequent pregnancies.</w:t>
            </w:r>
          </w:p>
          <w:p>
            <w:pPr>
              <w:spacing w:after="40" w:before="60" w:line="259" w:lineRule="auto"/>
            </w:pPr>
            <w:r>
              <w:rPr>
                <w:rFonts w:ascii="Calibri" w:hAnsi="Calibri"/>
                <w:b w:val="0"/>
                <w:i w:val="0"/>
                <w:color w:val="212121"/>
                <w:sz w:val="19"/>
              </w:rPr>
              <w:t>With one affected first-degree relative the recurrence risk of CHD is broadly cited at ~2-6% (vs a background of &lt;1%), and is higher when the mother is the affected parent.</w:t>
            </w:r>
          </w:p>
          <w:p>
            <w:pPr>
              <w:spacing w:before="60" w:after="40"/>
            </w:pPr>
            <w:r>
              <w:rPr>
                <w:rFonts w:ascii="Calibri" w:hAnsi="Calibri"/>
                <w:b w:val="0"/>
                <w:i w:val="0"/>
                <w:color w:val="5A5A5A"/>
                <w:sz w:val="18"/>
              </w:rPr>
              <w:t>#familyhistory  #recurrencerisk  #fetalecho  #geneticcounselling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Maternal diabetes mellitus</w:t>
            </w:r>
          </w:p>
        </w:tc>
        <w:tc>
          <w:tcPr>
            <w:tcW w:type="dxa" w:w="2160"/>
            <w:vAlign w:val="top"/>
          </w:tcPr>
          <w:p>
            <w:pPr>
              <w:spacing w:after="40" w:before="0" w:line="259" w:lineRule="auto"/>
            </w:pPr>
            <w:r>
              <w:rPr>
                <w:rFonts w:ascii="Calibri" w:hAnsi="Calibri"/>
                <w:b w:val="0"/>
                <w:i w:val="0"/>
                <w:color w:val="212121"/>
                <w:sz w:val="19"/>
              </w:rPr>
              <w:t>Infants of diabetic mothers</w:t>
            </w:r>
          </w:p>
        </w:tc>
        <w:tc>
          <w:tcPr>
            <w:tcW w:type="dxa" w:w="4276"/>
            <w:vAlign w:val="top"/>
          </w:tcPr>
          <w:p>
            <w:pPr>
              <w:spacing w:after="60" w:line="259" w:lineRule="auto"/>
            </w:pPr>
            <w:r>
              <w:rPr>
                <w:rFonts w:ascii="Calibri" w:hAnsi="Calibri"/>
                <w:b w:val="0"/>
                <w:i w:val="0"/>
                <w:color w:val="212121"/>
                <w:sz w:val="19"/>
              </w:rPr>
              <w:t>Peri-conceptional maternal hyperglycaemia is a potent cardiac teratogen, producing transposition, VSD, truncus arteriosus and hypertrophic cardiomyopathy; risk tracks with first-trimester glycaemic control.</w:t>
            </w:r>
          </w:p>
          <w:p>
            <w:pPr>
              <w:spacing w:after="40" w:before="60" w:line="259" w:lineRule="auto"/>
            </w:pPr>
            <w:r>
              <w:rPr>
                <w:rFonts w:ascii="Calibri" w:hAnsi="Calibri"/>
                <w:b w:val="0"/>
                <w:i w:val="0"/>
                <w:color w:val="212121"/>
                <w:sz w:val="19"/>
              </w:rPr>
              <w:t>Pregestational diabetes raises offspring CHD risk roughly 3-4 fold (pooled RR 3.59, 95% CI 3.03-4.25; other meta-analyses OR ~2.9).</w:t>
            </w:r>
          </w:p>
          <w:p>
            <w:pPr>
              <w:spacing w:after="40" w:line="252" w:lineRule="auto"/>
            </w:pPr>
            <w:hyperlink r:id="rId17">
              <w:r>
                <w:rPr>
                  <w:rFonts w:ascii="Calibri" w:hAnsi="Calibri" w:cs="Calibri"/>
                  <w:sz w:val="18"/>
                  <w:color w:val="1155CC"/>
                  <w:u w:val="single"/>
                </w:rPr>
                <w:t xml:space="preserve">academic.oup.com - maternal diabetes &amp; CHD phenotypes</w:t>
              </w:r>
            </w:hyperlink>
          </w:p>
          <w:p>
            <w:pPr>
              <w:spacing w:before="60" w:after="40"/>
            </w:pPr>
            <w:r>
              <w:rPr>
                <w:rFonts w:ascii="Calibri" w:hAnsi="Calibri"/>
                <w:b w:val="0"/>
                <w:i w:val="0"/>
                <w:color w:val="5A5A5A"/>
                <w:sz w:val="18"/>
              </w:rPr>
              <w:t>#maternaldiabetes  #hyperglycemia  #IDM  #TGA  #teratogen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rubella infection</w:t>
            </w:r>
          </w:p>
        </w:tc>
        <w:tc>
          <w:tcPr>
            <w:tcW w:type="dxa" w:w="2160"/>
            <w:vAlign w:val="top"/>
          </w:tcPr>
          <w:p>
            <w:pPr>
              <w:spacing w:after="40" w:before="0" w:line="259" w:lineRule="auto"/>
            </w:pPr>
            <w:r>
              <w:rPr>
                <w:rFonts w:ascii="Calibri" w:hAnsi="Calibri"/>
                <w:b w:val="0"/>
                <w:i w:val="0"/>
                <w:color w:val="212121"/>
                <w:sz w:val="19"/>
              </w:rPr>
              <w:t>Congenital rubella syndrome</w:t>
            </w:r>
          </w:p>
        </w:tc>
        <w:tc>
          <w:tcPr>
            <w:tcW w:type="dxa" w:w="4276"/>
            <w:vAlign w:val="top"/>
          </w:tcPr>
          <w:p>
            <w:pPr>
              <w:spacing w:after="60" w:line="259" w:lineRule="auto"/>
            </w:pPr>
            <w:r>
              <w:rPr>
                <w:rFonts w:ascii="Calibri" w:hAnsi="Calibri"/>
                <w:b w:val="0"/>
                <w:i w:val="0"/>
                <w:color w:val="212121"/>
                <w:sz w:val="19"/>
              </w:rPr>
              <w:t>First-trimester rubella infection disrupts vascular and cardiac development, classically causing patent ductus arteriosus and peripheral pulmonary artery stenosis; it is preventable by pre-pregnancy immunisation.</w:t>
            </w:r>
          </w:p>
          <w:p>
            <w:pPr>
              <w:spacing w:after="40" w:before="60" w:line="259" w:lineRule="auto"/>
            </w:pPr>
            <w:r>
              <w:rPr>
                <w:rFonts w:ascii="Calibri" w:hAnsi="Calibri"/>
                <w:b w:val="0"/>
                <w:i w:val="0"/>
                <w:color w:val="212121"/>
                <w:sz w:val="19"/>
              </w:rPr>
              <w:t>In Indian congenital-rubella-syndrome surveillance, a large majority of infants had cardiac lesions, with septal defects common (VSD ~35%) alongside classic PDA and pulmonary stenosis.</w:t>
            </w:r>
          </w:p>
          <w:p>
            <w:pPr>
              <w:spacing w:after="40" w:line="252" w:lineRule="auto"/>
            </w:pPr>
            <w:hyperlink r:id="rId20">
              <w:r>
                <w:rPr>
                  <w:rFonts w:ascii="Calibri" w:hAnsi="Calibri" w:cs="Calibri"/>
                  <w:sz w:val="18"/>
                  <w:color w:val="1155CC"/>
                  <w:u w:val="single"/>
                </w:rPr>
                <w:t xml:space="preserve">pubmed.ncbi.nlm.nih.gov/36306124 - CHD in congenital rubella syndrome</w:t>
              </w:r>
            </w:hyperlink>
          </w:p>
          <w:p>
            <w:pPr>
              <w:spacing w:before="60" w:after="40"/>
            </w:pPr>
            <w:r>
              <w:rPr>
                <w:rFonts w:ascii="Calibri" w:hAnsi="Calibri"/>
                <w:b w:val="0"/>
                <w:i w:val="0"/>
                <w:color w:val="5A5A5A"/>
                <w:sz w:val="18"/>
              </w:rPr>
              <w:t>#rubella  #CRS  #PDA  #pulmonarystenosis  #vaccinepreventable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teratogen / febrile illness</w:t>
            </w:r>
          </w:p>
        </w:tc>
        <w:tc>
          <w:tcPr>
            <w:tcW w:type="dxa" w:w="2160"/>
            <w:vAlign w:val="top"/>
          </w:tcPr>
          <w:p>
            <w:pPr>
              <w:spacing w:after="40" w:before="0" w:line="259" w:lineRule="auto"/>
            </w:pPr>
            <w:r>
              <w:rPr>
                <w:rFonts w:ascii="Calibri" w:hAnsi="Calibri"/>
                <w:b w:val="0"/>
                <w:i w:val="0"/>
                <w:color w:val="212121"/>
                <w:sz w:val="19"/>
              </w:rPr>
              <w:t>Mothers on teratogenic drugs or with first-trimester fever</w:t>
            </w:r>
          </w:p>
        </w:tc>
        <w:tc>
          <w:tcPr>
            <w:tcW w:type="dxa" w:w="4276"/>
            <w:vAlign w:val="top"/>
          </w:tcPr>
          <w:p>
            <w:pPr>
              <w:spacing w:after="60" w:line="259" w:lineRule="auto"/>
            </w:pPr>
            <w:r>
              <w:rPr>
                <w:rFonts w:ascii="Calibri" w:hAnsi="Calibri"/>
                <w:b w:val="0"/>
                <w:i w:val="0"/>
                <w:color w:val="212121"/>
                <w:sz w:val="19"/>
              </w:rPr>
              <w:t>Maternal use of sodium valproate, lithium, retinoids, ACE inhibitors or thalidomide, and febrile viral illness in the first trimester, each disturb cardiac organogenesis and raise CHD risk.</w:t>
            </w:r>
          </w:p>
          <w:p>
            <w:pPr>
              <w:spacing w:after="40" w:before="60" w:line="259" w:lineRule="auto"/>
            </w:pPr>
            <w:r>
              <w:rPr>
                <w:rFonts w:ascii="Calibri" w:hAnsi="Calibri"/>
                <w:b w:val="0"/>
                <w:i w:val="0"/>
                <w:color w:val="212121"/>
                <w:sz w:val="19"/>
              </w:rPr>
              <w:t>Anticonvulsants (notably valproate), lithium and retinoids are established cardiac teratogens, and first-trimester maternal fever/infection is a recognised, potentially avoidable CHD risk factor.</w:t>
            </w:r>
          </w:p>
          <w:p>
            <w:pPr>
              <w:spacing w:before="60" w:after="40"/>
            </w:pPr>
            <w:r>
              <w:rPr>
                <w:rFonts w:ascii="Calibri" w:hAnsi="Calibri"/>
                <w:b w:val="0"/>
                <w:i w:val="0"/>
                <w:color w:val="5A5A5A"/>
                <w:sz w:val="18"/>
              </w:rPr>
              <w:t>#teratogen  #valproate  #lithium  #maternalfever  #medicationsafety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pre-pregnancy obesity and physical inactivity raise offspring CHD risk (obesity OR ~1.23); optimising maternal weight and activity before conception is protective. For children and adults living with CHD, tailored activity supports cardiovascular fitness and quality of life.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Periconceptional folate deficiency increases CHD risk while folic-acid supplementation is protective (RR 0.72). Maternal high-glycaemic diet and poorly controlled diabetes are directly teratogenic to the developing heart.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maternal short sleep and obstructive sleep apnoea (via hypoxia and metabolic stress) have weak, inconsistent associations with adverse fetal cardiac outcomes and are under-studied for CHD specifically.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Maternal active smoking (OR 1.28) and especially passive smoke exposure (OR 2.67) increase CHD risk through nicotine/CO-mediated impairment of placental perfusion and fetal oxygenation during organogenesis.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Prenatal alcohol is a cardiac teratogen; any exposure raises CHD risk (RR 1.33), with strong associations for conotruncal (RR 1.62) and endocardial-cushion (RR 2.71) defects. There is no known safe amount in pregnancy.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Maternal periconceptional stress, anxiety and depression show weak and inconsistent links to CHD; the larger, well-established mental-health burden is on parents and on adolescents/adults living with CHD.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maternal hydration has no direct proven role, but maternal exposure to certain waterborne contaminants (e.g., disinfection by-products such as trihalomethanes, nitrates) has weak associations with cardiac defects.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Associations between maternal caffeine intake and CHD are weak and inconsistent; very high consumption may carry a small risk, but moderate intake shows negligible effect.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Prevention of first-trimester infection is relevant - rubella and other febrile viral illnesses disrupt cardiac development; pre-pregnancy rubella immunity and infection avoidance are protective.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provoking exposures - maternal diabetes, rubella and other TORCH infections, alcohol, tobacco and teratogenic medications (valproate, lithium, retinoids, ACE inhibitors) - act during the first-trimester window of heart formation.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Periconceptional folic acid dose</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 400 µg/day (start pre-conception)</w:t>
            </w:r>
          </w:p>
        </w:tc>
        <w:tc>
          <w:tcPr>
            <w:tcW w:type="dxa" w:w="1512"/>
            <w:vAlign w:val="top"/>
          </w:tcPr>
          <w:p>
            <w:pPr>
              <w:spacing w:after="40" w:before="0" w:line="259" w:lineRule="auto"/>
            </w:pPr>
            <w:r>
              <w:rPr>
                <w:rFonts w:ascii="Calibri" w:hAnsi="Calibri"/>
                <w:b w:val="0"/>
                <w:i w:val="0"/>
                <w:color w:val="212121"/>
                <w:sz w:val="19"/>
              </w:rPr>
              <w:t>0 µg/day or started only after 1st trimester</w:t>
            </w:r>
          </w:p>
        </w:tc>
        <w:tc>
          <w:tcPr>
            <w:tcW w:type="dxa" w:w="1468"/>
            <w:vAlign w:val="top"/>
          </w:tcPr>
          <w:p>
            <w:pPr>
              <w:spacing w:after="60" w:line="259" w:lineRule="auto"/>
            </w:pPr>
            <w:r>
              <w:rPr>
                <w:rFonts w:ascii="Calibri" w:hAnsi="Calibri"/>
                <w:b w:val="0"/>
                <w:i w:val="0"/>
                <w:color w:val="212121"/>
                <w:sz w:val="19"/>
              </w:rPr>
              <w:t>Supplementation lowers CHD risk (RR 0.72)</w:t>
            </w:r>
          </w:p>
          <w:p>
            <w:pPr>
              <w:spacing w:after="40" w:line="252" w:lineRule="auto"/>
            </w:pPr>
            <w:hyperlink r:id="rId16">
              <w:r>
                <w:rPr>
                  <w:rFonts w:ascii="Calibri" w:hAnsi="Calibri" w:cs="Calibri"/>
                  <w:sz w:val="18"/>
                  <w:color w:val="1155CC"/>
                  <w:u w:val="single"/>
                </w:rPr>
                <w:t xml:space="preserve">https://www.nature.com/articles/srep08506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Maternal pre-pregnancy HbA1c</w:t>
            </w:r>
          </w:p>
        </w:tc>
        <w:tc>
          <w:tcPr>
            <w:tcW w:type="dxa" w:w="1655"/>
            <w:vAlign w:val="top"/>
          </w:tcPr>
          <w:p>
            <w:pPr>
              <w:spacing w:after="40" w:before="0" w:line="259" w:lineRule="auto"/>
            </w:pPr>
            <w:r>
              <w:rPr>
                <w:rFonts w:ascii="Calibri" w:hAnsi="Calibri"/>
                <w:b w:val="0"/>
                <w:i w:val="0"/>
                <w:color w:val="212121"/>
                <w:sz w:val="19"/>
              </w:rPr>
              <w:t>Diabetic women planning pregnancy</w:t>
            </w:r>
          </w:p>
        </w:tc>
        <w:tc>
          <w:tcPr>
            <w:tcW w:type="dxa" w:w="1512"/>
            <w:vAlign w:val="top"/>
          </w:tcPr>
          <w:p>
            <w:pPr>
              <w:spacing w:after="40" w:before="0" w:line="259" w:lineRule="auto"/>
            </w:pPr>
            <w:r>
              <w:rPr>
                <w:rFonts w:ascii="Calibri" w:hAnsi="Calibri"/>
                <w:b w:val="0"/>
                <w:i w:val="0"/>
                <w:color w:val="212121"/>
                <w:sz w:val="19"/>
              </w:rPr>
              <w:t>&lt; 6.5 %</w:t>
            </w:r>
          </w:p>
        </w:tc>
        <w:tc>
          <w:tcPr>
            <w:tcW w:type="dxa" w:w="1512"/>
            <w:vAlign w:val="top"/>
          </w:tcPr>
          <w:p>
            <w:pPr>
              <w:spacing w:after="40" w:before="0" w:line="259" w:lineRule="auto"/>
            </w:pPr>
            <w:r>
              <w:rPr>
                <w:rFonts w:ascii="Calibri" w:hAnsi="Calibri"/>
                <w:b w:val="0"/>
                <w:i w:val="0"/>
                <w:color w:val="212121"/>
                <w:sz w:val="19"/>
              </w:rPr>
              <w:t>≥ 6.5 % (risk rises steeply &gt; 7-8 %)</w:t>
            </w:r>
          </w:p>
        </w:tc>
        <w:tc>
          <w:tcPr>
            <w:tcW w:type="dxa" w:w="1468"/>
            <w:vAlign w:val="top"/>
          </w:tcPr>
          <w:p>
            <w:pPr>
              <w:spacing w:after="60" w:line="259" w:lineRule="auto"/>
            </w:pPr>
            <w:r>
              <w:rPr>
                <w:rFonts w:ascii="Calibri" w:hAnsi="Calibri"/>
                <w:b w:val="0"/>
                <w:i w:val="0"/>
                <w:color w:val="212121"/>
                <w:sz w:val="19"/>
              </w:rPr>
              <w:t>Peri-conceptional hyperglycaemia is a cardiac teratogen</w:t>
            </w:r>
          </w:p>
          <w:p>
            <w:pPr>
              <w:spacing w:after="40" w:line="252" w:lineRule="auto"/>
            </w:pPr>
            <w:hyperlink r:id="rId17">
              <w:r>
                <w:rPr>
                  <w:rFonts w:ascii="Calibri" w:hAnsi="Calibri" w:cs="Calibri"/>
                  <w:sz w:val="18"/>
                  <w:color w:val="1155CC"/>
                  <w:u w:val="single"/>
                </w:rPr>
                <w:t xml:space="preserve">https://academic.oup.com/aje/article/186/1/118/3823275</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Maternal pre-pregnancy BMI</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30 kg/m² (obesity)</w:t>
            </w:r>
          </w:p>
        </w:tc>
        <w:tc>
          <w:tcPr>
            <w:tcW w:type="dxa" w:w="1468"/>
            <w:vAlign w:val="top"/>
          </w:tcPr>
          <w:p>
            <w:pPr>
              <w:spacing w:after="60" w:line="259" w:lineRule="auto"/>
            </w:pPr>
            <w:r>
              <w:rPr>
                <w:rFonts w:ascii="Calibri" w:hAnsi="Calibri"/>
                <w:b w:val="0"/>
                <w:i w:val="0"/>
                <w:color w:val="212121"/>
                <w:sz w:val="19"/>
              </w:rPr>
              <w:t>Maternal obesity raises offspring CHD risk (OR ~1.23)</w:t>
            </w:r>
          </w:p>
          <w:p>
            <w:pPr>
              <w:spacing w:after="40" w:line="252" w:lineRule="auto"/>
            </w:pPr>
            <w:hyperlink r:id="rId14">
              <w:r>
                <w:rPr>
                  <w:rFonts w:ascii="Calibri" w:hAnsi="Calibri" w:cs="Calibri"/>
                  <w:sz w:val="18"/>
                  <w:color w:val="1155CC"/>
                  <w:u w:val="single"/>
                </w:rPr>
                <w:t xml:space="preserve">https://link.springer.com/article/10.1007/s11684-025-1170-2</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Maternal cigarettes per day</w:t>
            </w:r>
          </w:p>
        </w:tc>
        <w:tc>
          <w:tcPr>
            <w:tcW w:type="dxa" w:w="1655"/>
            <w:vAlign w:val="top"/>
          </w:tcPr>
          <w:p>
            <w:pPr>
              <w:spacing w:after="40" w:before="0" w:line="259" w:lineRule="auto"/>
            </w:pPr>
            <w:r>
              <w:rPr>
                <w:rFonts w:ascii="Calibri" w:hAnsi="Calibri"/>
                <w:b w:val="0"/>
                <w:i w:val="0"/>
                <w:color w:val="212121"/>
                <w:sz w:val="19"/>
              </w:rPr>
              <w:t>Pregnant women / household</w:t>
            </w:r>
          </w:p>
        </w:tc>
        <w:tc>
          <w:tcPr>
            <w:tcW w:type="dxa" w:w="1512"/>
            <w:vAlign w:val="top"/>
          </w:tcPr>
          <w:p>
            <w:pPr>
              <w:spacing w:after="40" w:before="0" w:line="259" w:lineRule="auto"/>
            </w:pPr>
            <w:r>
              <w:rPr>
                <w:rFonts w:ascii="Calibri" w:hAnsi="Calibri"/>
                <w:b w:val="0"/>
                <w:i w:val="0"/>
                <w:color w:val="212121"/>
                <w:sz w:val="19"/>
              </w:rPr>
              <w:t>0 cigarettes/day (incl. no passive exposure)</w:t>
            </w:r>
          </w:p>
        </w:tc>
        <w:tc>
          <w:tcPr>
            <w:tcW w:type="dxa" w:w="1512"/>
            <w:vAlign w:val="top"/>
          </w:tcPr>
          <w:p>
            <w:pPr>
              <w:spacing w:after="40" w:before="0" w:line="259" w:lineRule="auto"/>
            </w:pPr>
            <w:r>
              <w:rPr>
                <w:rFonts w:ascii="Calibri" w:hAnsi="Calibri"/>
                <w:b w:val="0"/>
                <w:i w:val="0"/>
                <w:color w:val="212121"/>
                <w:sz w:val="19"/>
              </w:rPr>
              <w:t>≥ 1 cigarette/day or any second-hand smoke</w:t>
            </w:r>
          </w:p>
        </w:tc>
        <w:tc>
          <w:tcPr>
            <w:tcW w:type="dxa" w:w="1468"/>
            <w:vAlign w:val="top"/>
          </w:tcPr>
          <w:p>
            <w:pPr>
              <w:spacing w:after="60" w:line="259" w:lineRule="auto"/>
            </w:pPr>
            <w:r>
              <w:rPr>
                <w:rFonts w:ascii="Calibri" w:hAnsi="Calibri"/>
                <w:b w:val="0"/>
                <w:i w:val="0"/>
                <w:color w:val="212121"/>
                <w:sz w:val="19"/>
              </w:rPr>
              <w:t>Passive smoke OR 2.67; active OR 1.28</w:t>
            </w:r>
          </w:p>
          <w:p>
            <w:pPr>
              <w:spacing w:after="40" w:line="252" w:lineRule="auto"/>
            </w:pPr>
            <w:hyperlink r:id="rId14">
              <w:r>
                <w:rPr>
                  <w:rFonts w:ascii="Calibri" w:hAnsi="Calibri" w:cs="Calibri"/>
                  <w:sz w:val="18"/>
                  <w:color w:val="1155CC"/>
                  <w:u w:val="single"/>
                </w:rPr>
                <w:t xml:space="preserve">https://link.springer.com/article/10.1007/s11684-025-1170-2</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Maternal alcohol in pregnancy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0 drinks (total abstinence)</w:t>
            </w:r>
          </w:p>
        </w:tc>
        <w:tc>
          <w:tcPr>
            <w:tcW w:type="dxa" w:w="1512"/>
            <w:vAlign w:val="top"/>
          </w:tcPr>
          <w:p>
            <w:pPr>
              <w:spacing w:after="40" w:before="0" w:line="259" w:lineRule="auto"/>
            </w:pPr>
            <w:r>
              <w:rPr>
                <w:rFonts w:ascii="Calibri" w:hAnsi="Calibri"/>
                <w:b w:val="0"/>
                <w:i w:val="0"/>
                <w:color w:val="212121"/>
                <w:sz w:val="19"/>
              </w:rPr>
              <w:t>Any alcohol intake</w:t>
            </w:r>
          </w:p>
        </w:tc>
        <w:tc>
          <w:tcPr>
            <w:tcW w:type="dxa" w:w="1468"/>
            <w:vAlign w:val="top"/>
          </w:tcPr>
          <w:p>
            <w:pPr>
              <w:spacing w:after="60" w:line="259" w:lineRule="auto"/>
            </w:pPr>
            <w:r>
              <w:rPr>
                <w:rFonts w:ascii="Calibri" w:hAnsi="Calibri"/>
                <w:b w:val="0"/>
                <w:i w:val="0"/>
                <w:color w:val="212121"/>
                <w:sz w:val="19"/>
              </w:rPr>
              <w:t>Prenatal alcohol raises CHD risk (RR 1.33)</w:t>
            </w:r>
          </w:p>
          <w:p>
            <w:pPr>
              <w:spacing w:after="40" w:line="252" w:lineRule="auto"/>
            </w:pPr>
            <w:hyperlink r:id="rId15">
              <w:r>
                <w:rPr>
                  <w:rFonts w:ascii="Calibri" w:hAnsi="Calibri" w:cs="Calibri"/>
                  <w:sz w:val="18"/>
                  <w:color w:val="1155CC"/>
                  <w:u w:val="single"/>
                </w:rPr>
                <w:t xml:space="preserve">https://www.ahajournals.org/doi/10.1161/JAHA.121.022175</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Maternal rubella IgG immunity</w:t>
            </w:r>
          </w:p>
        </w:tc>
        <w:tc>
          <w:tcPr>
            <w:tcW w:type="dxa" w:w="1655"/>
            <w:vAlign w:val="top"/>
          </w:tcPr>
          <w:p>
            <w:pPr>
              <w:spacing w:after="40" w:before="0" w:line="259" w:lineRule="auto"/>
            </w:pPr>
            <w:r>
              <w:rPr>
                <w:rFonts w:ascii="Calibri" w:hAnsi="Calibri"/>
                <w:b w:val="0"/>
                <w:i w:val="0"/>
                <w:color w:val="212121"/>
                <w:sz w:val="19"/>
              </w:rPr>
              <w:t>Women of child-bearing age</w:t>
            </w:r>
          </w:p>
        </w:tc>
        <w:tc>
          <w:tcPr>
            <w:tcW w:type="dxa" w:w="1512"/>
            <w:vAlign w:val="top"/>
          </w:tcPr>
          <w:p>
            <w:pPr>
              <w:spacing w:after="40" w:before="0" w:line="259" w:lineRule="auto"/>
            </w:pPr>
            <w:r>
              <w:rPr>
                <w:rFonts w:ascii="Calibri" w:hAnsi="Calibri"/>
                <w:b w:val="0"/>
                <w:i w:val="0"/>
                <w:color w:val="212121"/>
                <w:sz w:val="19"/>
              </w:rPr>
              <w:t>Immune (rubella IgG positive pre-pregnancy)</w:t>
            </w:r>
          </w:p>
        </w:tc>
        <w:tc>
          <w:tcPr>
            <w:tcW w:type="dxa" w:w="1512"/>
            <w:vAlign w:val="top"/>
          </w:tcPr>
          <w:p>
            <w:pPr>
              <w:spacing w:after="40" w:before="0" w:line="259" w:lineRule="auto"/>
            </w:pPr>
            <w:r>
              <w:rPr>
                <w:rFonts w:ascii="Calibri" w:hAnsi="Calibri"/>
                <w:b w:val="0"/>
                <w:i w:val="0"/>
                <w:color w:val="212121"/>
                <w:sz w:val="19"/>
              </w:rPr>
              <w:t>Non-immune / seronegative</w:t>
            </w:r>
          </w:p>
        </w:tc>
        <w:tc>
          <w:tcPr>
            <w:tcW w:type="dxa" w:w="1468"/>
            <w:vAlign w:val="top"/>
          </w:tcPr>
          <w:p>
            <w:pPr>
              <w:spacing w:after="40" w:before="0" w:line="259" w:lineRule="auto"/>
            </w:pPr>
            <w:r>
              <w:rPr>
                <w:rFonts w:ascii="Calibri" w:hAnsi="Calibri"/>
                <w:b w:val="0"/>
                <w:i w:val="0"/>
                <w:color w:val="212121"/>
                <w:sz w:val="19"/>
              </w:rPr>
              <w:t>Rubella causes PDA &amp; pulmonary stenosis; MR vaccine is preventive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Pre- &amp; post-ductal SpO2 (newborn screen)</w:t>
            </w:r>
          </w:p>
        </w:tc>
        <w:tc>
          <w:tcPr>
            <w:tcW w:type="dxa" w:w="1655"/>
            <w:vAlign w:val="top"/>
          </w:tcPr>
          <w:p>
            <w:pPr>
              <w:spacing w:after="40" w:before="0" w:line="259" w:lineRule="auto"/>
            </w:pPr>
            <w:r>
              <w:rPr>
                <w:rFonts w:ascii="Calibri" w:hAnsi="Calibri"/>
                <w:b w:val="0"/>
                <w:i w:val="0"/>
                <w:color w:val="212121"/>
                <w:sz w:val="19"/>
              </w:rPr>
              <w:t>All newborns (24-48 h)</w:t>
            </w:r>
          </w:p>
        </w:tc>
        <w:tc>
          <w:tcPr>
            <w:tcW w:type="dxa" w:w="1512"/>
            <w:vAlign w:val="top"/>
          </w:tcPr>
          <w:p>
            <w:pPr>
              <w:spacing w:after="40" w:before="0" w:line="259" w:lineRule="auto"/>
            </w:pPr>
            <w:r>
              <w:rPr>
                <w:rFonts w:ascii="Calibri" w:hAnsi="Calibri"/>
                <w:b w:val="0"/>
                <w:i w:val="0"/>
                <w:color w:val="212121"/>
                <w:sz w:val="19"/>
              </w:rPr>
              <w:t>≥ 95% and &lt; 3% pre-post difference</w:t>
            </w:r>
          </w:p>
        </w:tc>
        <w:tc>
          <w:tcPr>
            <w:tcW w:type="dxa" w:w="1512"/>
            <w:vAlign w:val="top"/>
          </w:tcPr>
          <w:p>
            <w:pPr>
              <w:spacing w:after="40" w:before="0" w:line="259" w:lineRule="auto"/>
            </w:pPr>
            <w:r>
              <w:rPr>
                <w:rFonts w:ascii="Calibri" w:hAnsi="Calibri"/>
                <w:b w:val="0"/>
                <w:i w:val="0"/>
                <w:color w:val="212121"/>
                <w:sz w:val="19"/>
              </w:rPr>
              <w:t>&lt; 90% (fail) or 90-94% / ≥ 3% difference (repeat)</w:t>
            </w:r>
          </w:p>
        </w:tc>
        <w:tc>
          <w:tcPr>
            <w:tcW w:type="dxa" w:w="1468"/>
            <w:vAlign w:val="top"/>
          </w:tcPr>
          <w:p>
            <w:pPr>
              <w:spacing w:after="40" w:before="0" w:line="259" w:lineRule="auto"/>
            </w:pPr>
            <w:r>
              <w:rPr>
                <w:rFonts w:ascii="Calibri" w:hAnsi="Calibri"/>
                <w:b w:val="0"/>
                <w:i w:val="0"/>
                <w:color w:val="212121"/>
                <w:sz w:val="19"/>
              </w:rPr>
              <w:t>Detects critical (duct-dependent) CHD before collapse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Weight-for-age Z-score (infant)</w:t>
            </w:r>
          </w:p>
        </w:tc>
        <w:tc>
          <w:tcPr>
            <w:tcW w:type="dxa" w:w="1655"/>
            <w:vAlign w:val="top"/>
          </w:tcPr>
          <w:p>
            <w:pPr>
              <w:spacing w:after="40" w:before="0" w:line="259" w:lineRule="auto"/>
            </w:pPr>
            <w:r>
              <w:rPr>
                <w:rFonts w:ascii="Calibri" w:hAnsi="Calibri"/>
                <w:b w:val="0"/>
                <w:i w:val="0"/>
                <w:color w:val="212121"/>
                <w:sz w:val="19"/>
              </w:rPr>
              <w:t>Infants with CHD</w:t>
            </w:r>
          </w:p>
        </w:tc>
        <w:tc>
          <w:tcPr>
            <w:tcW w:type="dxa" w:w="1512"/>
            <w:vAlign w:val="top"/>
          </w:tcPr>
          <w:p>
            <w:pPr>
              <w:spacing w:after="40" w:before="0" w:line="259" w:lineRule="auto"/>
            </w:pPr>
            <w:r>
              <w:rPr>
                <w:rFonts w:ascii="Calibri" w:hAnsi="Calibri"/>
                <w:b w:val="0"/>
                <w:i w:val="0"/>
                <w:color w:val="212121"/>
                <w:sz w:val="19"/>
              </w:rPr>
              <w:t>≥ -2 SD</w:t>
            </w:r>
          </w:p>
        </w:tc>
        <w:tc>
          <w:tcPr>
            <w:tcW w:type="dxa" w:w="1512"/>
            <w:vAlign w:val="top"/>
          </w:tcPr>
          <w:p>
            <w:pPr>
              <w:spacing w:after="40" w:before="0" w:line="259" w:lineRule="auto"/>
            </w:pPr>
            <w:r>
              <w:rPr>
                <w:rFonts w:ascii="Calibri" w:hAnsi="Calibri"/>
                <w:b w:val="0"/>
                <w:i w:val="0"/>
                <w:color w:val="212121"/>
                <w:sz w:val="19"/>
              </w:rPr>
              <w:t>&lt; -2 SD (failure to thrive)</w:t>
            </w:r>
          </w:p>
        </w:tc>
        <w:tc>
          <w:tcPr>
            <w:tcW w:type="dxa" w:w="1468"/>
            <w:vAlign w:val="top"/>
          </w:tcPr>
          <w:p>
            <w:pPr>
              <w:spacing w:after="40" w:before="0" w:line="259" w:lineRule="auto"/>
            </w:pPr>
            <w:r>
              <w:rPr>
                <w:rFonts w:ascii="Calibri" w:hAnsi="Calibri"/>
                <w:b w:val="0"/>
                <w:i w:val="0"/>
                <w:color w:val="212121"/>
                <w:sz w:val="19"/>
              </w:rPr>
              <w:t>Heart failure &amp; high metabolic demand cause faltering growth</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Haemoglobin / haematocrit (cyanotic CHD)</w:t>
            </w:r>
          </w:p>
        </w:tc>
        <w:tc>
          <w:tcPr>
            <w:tcW w:type="dxa" w:w="1655"/>
            <w:vAlign w:val="top"/>
          </w:tcPr>
          <w:p>
            <w:pPr>
              <w:spacing w:after="40" w:before="0" w:line="259" w:lineRule="auto"/>
            </w:pPr>
            <w:r>
              <w:rPr>
                <w:rFonts w:ascii="Calibri" w:hAnsi="Calibri"/>
                <w:b w:val="0"/>
                <w:i w:val="0"/>
                <w:color w:val="212121"/>
                <w:sz w:val="19"/>
              </w:rPr>
              <w:t>Cyanotic CHD patients</w:t>
            </w:r>
          </w:p>
        </w:tc>
        <w:tc>
          <w:tcPr>
            <w:tcW w:type="dxa" w:w="1512"/>
            <w:vAlign w:val="top"/>
          </w:tcPr>
          <w:p>
            <w:pPr>
              <w:spacing w:after="40" w:before="0" w:line="259" w:lineRule="auto"/>
            </w:pPr>
            <w:r>
              <w:rPr>
                <w:rFonts w:ascii="Calibri" w:hAnsi="Calibri"/>
                <w:b w:val="0"/>
                <w:i w:val="0"/>
                <w:color w:val="212121"/>
                <w:sz w:val="19"/>
              </w:rPr>
              <w:t>Age-appropriate range</w:t>
            </w:r>
          </w:p>
        </w:tc>
        <w:tc>
          <w:tcPr>
            <w:tcW w:type="dxa" w:w="1512"/>
            <w:vAlign w:val="top"/>
          </w:tcPr>
          <w:p>
            <w:pPr>
              <w:spacing w:after="40" w:before="0" w:line="259" w:lineRule="auto"/>
            </w:pPr>
            <w:r>
              <w:rPr>
                <w:rFonts w:ascii="Calibri" w:hAnsi="Calibri"/>
                <w:b w:val="0"/>
                <w:i w:val="0"/>
                <w:color w:val="212121"/>
                <w:sz w:val="19"/>
              </w:rPr>
              <w:t>Secondary erythrocytosis (Hct &gt; 55-65%)</w:t>
            </w:r>
          </w:p>
        </w:tc>
        <w:tc>
          <w:tcPr>
            <w:tcW w:type="dxa" w:w="1468"/>
            <w:vAlign w:val="top"/>
          </w:tcPr>
          <w:p>
            <w:pPr>
              <w:spacing w:after="40" w:before="0" w:line="259" w:lineRule="auto"/>
            </w:pPr>
            <w:r>
              <w:rPr>
                <w:rFonts w:ascii="Calibri" w:hAnsi="Calibri"/>
                <w:b w:val="0"/>
                <w:i w:val="0"/>
                <w:color w:val="212121"/>
                <w:sz w:val="19"/>
              </w:rPr>
              <w:t>Chronic hypoxia drives compensatory erythrocytosis &amp; hyperviscosity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NT-proBNP</w:t>
            </w:r>
          </w:p>
        </w:tc>
        <w:tc>
          <w:tcPr>
            <w:tcW w:type="dxa" w:w="1655"/>
            <w:vAlign w:val="top"/>
          </w:tcPr>
          <w:p>
            <w:pPr>
              <w:spacing w:after="40" w:before="0" w:line="259" w:lineRule="auto"/>
            </w:pPr>
            <w:r>
              <w:rPr>
                <w:rFonts w:ascii="Calibri" w:hAnsi="Calibri"/>
                <w:b w:val="0"/>
                <w:i w:val="0"/>
                <w:color w:val="212121"/>
                <w:sz w:val="19"/>
              </w:rPr>
              <w:t>CHD with suspected heart failure</w:t>
            </w:r>
          </w:p>
        </w:tc>
        <w:tc>
          <w:tcPr>
            <w:tcW w:type="dxa" w:w="1512"/>
            <w:vAlign w:val="top"/>
          </w:tcPr>
          <w:p>
            <w:pPr>
              <w:spacing w:after="40" w:before="0" w:line="259" w:lineRule="auto"/>
            </w:pPr>
            <w:r>
              <w:rPr>
                <w:rFonts w:ascii="Calibri" w:hAnsi="Calibri"/>
                <w:b w:val="0"/>
                <w:i w:val="0"/>
                <w:color w:val="212121"/>
                <w:sz w:val="19"/>
              </w:rPr>
              <w:t>Age-appropriate normal</w:t>
            </w:r>
          </w:p>
        </w:tc>
        <w:tc>
          <w:tcPr>
            <w:tcW w:type="dxa" w:w="1512"/>
            <w:vAlign w:val="top"/>
          </w:tcPr>
          <w:p>
            <w:pPr>
              <w:spacing w:after="40" w:before="0" w:line="259" w:lineRule="auto"/>
            </w:pPr>
            <w:r>
              <w:rPr>
                <w:rFonts w:ascii="Calibri" w:hAnsi="Calibri"/>
                <w:b w:val="0"/>
                <w:i w:val="0"/>
                <w:color w:val="212121"/>
                <w:sz w:val="19"/>
              </w:rPr>
              <w:t>Elevated for age</w:t>
            </w:r>
          </w:p>
        </w:tc>
        <w:tc>
          <w:tcPr>
            <w:tcW w:type="dxa" w:w="1468"/>
            <w:vAlign w:val="top"/>
          </w:tcPr>
          <w:p>
            <w:pPr>
              <w:spacing w:after="40" w:before="0" w:line="259" w:lineRule="auto"/>
            </w:pPr>
            <w:r>
              <w:rPr>
                <w:rFonts w:ascii="Calibri" w:hAnsi="Calibri"/>
                <w:b w:val="0"/>
                <w:i w:val="0"/>
                <w:color w:val="212121"/>
                <w:sz w:val="19"/>
              </w:rPr>
              <w:t>Marks ventricular strain / heart failure and guides follow-up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Pulmonary vascular resistance (PVR)</w:t>
            </w:r>
          </w:p>
        </w:tc>
        <w:tc>
          <w:tcPr>
            <w:tcW w:type="dxa" w:w="1655"/>
            <w:vAlign w:val="top"/>
          </w:tcPr>
          <w:p>
            <w:pPr>
              <w:spacing w:after="40" w:before="0" w:line="259" w:lineRule="auto"/>
            </w:pPr>
            <w:r>
              <w:rPr>
                <w:rFonts w:ascii="Calibri" w:hAnsi="Calibri"/>
                <w:b w:val="0"/>
                <w:i w:val="0"/>
                <w:color w:val="212121"/>
                <w:sz w:val="19"/>
              </w:rPr>
              <w:t>Left-to-right shunt lesions</w:t>
            </w:r>
          </w:p>
        </w:tc>
        <w:tc>
          <w:tcPr>
            <w:tcW w:type="dxa" w:w="1512"/>
            <w:vAlign w:val="top"/>
          </w:tcPr>
          <w:p>
            <w:pPr>
              <w:spacing w:after="40" w:before="0" w:line="259" w:lineRule="auto"/>
            </w:pPr>
            <w:r>
              <w:rPr>
                <w:rFonts w:ascii="Calibri" w:hAnsi="Calibri"/>
                <w:b w:val="0"/>
                <w:i w:val="0"/>
                <w:color w:val="212121"/>
                <w:sz w:val="19"/>
              </w:rPr>
              <w:t>&lt; 3 Wood units·m² (operable)</w:t>
            </w:r>
          </w:p>
        </w:tc>
        <w:tc>
          <w:tcPr>
            <w:tcW w:type="dxa" w:w="1512"/>
            <w:vAlign w:val="top"/>
          </w:tcPr>
          <w:p>
            <w:pPr>
              <w:spacing w:after="40" w:before="0" w:line="259" w:lineRule="auto"/>
            </w:pPr>
            <w:r>
              <w:rPr>
                <w:rFonts w:ascii="Calibri" w:hAnsi="Calibri"/>
                <w:b w:val="0"/>
                <w:i w:val="0"/>
                <w:color w:val="212121"/>
                <w:sz w:val="19"/>
              </w:rPr>
              <w:t>Rising PVR → Eisenmenger (inoperable)</w:t>
            </w:r>
          </w:p>
        </w:tc>
        <w:tc>
          <w:tcPr>
            <w:tcW w:type="dxa" w:w="1468"/>
            <w:vAlign w:val="top"/>
          </w:tcPr>
          <w:p>
            <w:pPr>
              <w:spacing w:after="40" w:before="0" w:line="259" w:lineRule="auto"/>
            </w:pPr>
            <w:r>
              <w:rPr>
                <w:rFonts w:ascii="Calibri" w:hAnsi="Calibri"/>
                <w:b w:val="0"/>
                <w:i w:val="0"/>
                <w:color w:val="212121"/>
                <w:sz w:val="19"/>
              </w:rPr>
              <w:t>Unrepaired shunts can progress to irreversible pulmonary vascular disease</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Maternal caffeine intake</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&gt; 300-400 mg/day</w:t>
            </w:r>
          </w:p>
        </w:tc>
        <w:tc>
          <w:tcPr>
            <w:tcW w:type="dxa" w:w="1468"/>
            <w:vAlign w:val="top"/>
          </w:tcPr>
          <w:p>
            <w:pPr>
              <w:spacing w:after="40" w:before="0" w:line="259" w:lineRule="auto"/>
            </w:pPr>
            <w:r>
              <w:rPr>
                <w:rFonts w:ascii="Calibri" w:hAnsi="Calibri"/>
                <w:b w:val="0"/>
                <w:i w:val="0"/>
                <w:color w:val="212121"/>
                <w:sz w:val="19"/>
              </w:rPr>
              <w:t>Very high intake has a weak, inconsistent association with CHD</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Cardiac structure, shunts &amp; haemodynamics</w:t>
            </w:r>
          </w:p>
        </w:tc>
        <w:tc>
          <w:tcPr>
            <w:tcW w:type="dxa" w:w="892"/>
            <w:vAlign w:val="top"/>
          </w:tcPr>
          <w:p>
            <w:pPr>
              <w:spacing w:after="40" w:before="0" w:line="259" w:lineRule="auto"/>
            </w:pPr>
            <w:r>
              <w:rPr>
                <w:rFonts w:ascii="Calibri" w:hAnsi="Calibri"/>
                <w:b w:val="0"/>
                <w:i w:val="0"/>
                <w:color w:val="212121"/>
                <w:sz w:val="16"/>
              </w:rPr>
              <w:t>Transthoracic 2D echocardiography with Doppler</w:t>
            </w:r>
          </w:p>
        </w:tc>
        <w:tc>
          <w:tcPr>
            <w:tcW w:type="dxa" w:w="950"/>
            <w:vAlign w:val="top"/>
          </w:tcPr>
          <w:p>
            <w:pPr>
              <w:spacing w:after="40" w:before="0" w:line="259" w:lineRule="auto"/>
            </w:pPr>
            <w:r>
              <w:rPr>
                <w:rFonts w:ascii="Calibri" w:hAnsi="Calibri"/>
                <w:b w:val="0"/>
                <w:i w:val="0"/>
                <w:color w:val="212121"/>
                <w:sz w:val="16"/>
              </w:rPr>
              <w:t>Structurally normal heart, no shunt</w:t>
            </w:r>
          </w:p>
        </w:tc>
        <w:tc>
          <w:tcPr>
            <w:tcW w:type="dxa" w:w="950"/>
            <w:vAlign w:val="top"/>
          </w:tcPr>
          <w:p>
            <w:pPr>
              <w:spacing w:after="40" w:before="0" w:line="259" w:lineRule="auto"/>
            </w:pPr>
            <w:r>
              <w:rPr>
                <w:rFonts w:ascii="Calibri" w:hAnsi="Calibri"/>
                <w:b w:val="0"/>
                <w:i w:val="0"/>
                <w:color w:val="212121"/>
                <w:sz w:val="16"/>
              </w:rPr>
              <w:t>Septal defect, valve/outflow lesion, abnormal connections</w:t>
            </w:r>
          </w:p>
        </w:tc>
        <w:tc>
          <w:tcPr>
            <w:tcW w:type="dxa" w:w="1036"/>
            <w:vAlign w:val="top"/>
          </w:tcPr>
          <w:p>
            <w:pPr>
              <w:spacing w:after="40" w:before="0" w:line="259" w:lineRule="auto"/>
            </w:pPr>
            <w:r>
              <w:rPr>
                <w:rFonts w:ascii="Calibri" w:hAnsi="Calibri"/>
                <w:b w:val="0"/>
                <w:i w:val="0"/>
                <w:color w:val="212121"/>
                <w:sz w:val="16"/>
              </w:rPr>
              <w:t>Defines anatomy and physiology; diagnostic gold standard</w:t>
            </w:r>
          </w:p>
        </w:tc>
        <w:tc>
          <w:tcPr>
            <w:tcW w:type="dxa" w:w="1036"/>
            <w:vAlign w:val="top"/>
          </w:tcPr>
          <w:p>
            <w:pPr>
              <w:spacing w:after="40" w:before="0" w:line="259" w:lineRule="auto"/>
            </w:pPr>
            <w:r>
              <w:rPr>
                <w:rFonts w:ascii="Calibri" w:hAnsi="Calibri"/>
                <w:b w:val="0"/>
                <w:i w:val="0"/>
                <w:color w:val="212121"/>
                <w:sz w:val="16"/>
              </w:rPr>
              <w:t>All suspected CHD; neonates with cyanosis/murmur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Non-invasive; also used for fetal echo antenatally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Screening</w:t>
            </w:r>
          </w:p>
        </w:tc>
        <w:tc>
          <w:tcPr>
            <w:tcW w:type="dxa" w:w="1036"/>
            <w:vAlign w:val="top"/>
          </w:tcPr>
          <w:p>
            <w:pPr>
              <w:spacing w:after="40" w:before="0" w:line="259" w:lineRule="auto"/>
            </w:pPr>
            <w:r>
              <w:rPr>
                <w:rFonts w:ascii="Calibri" w:hAnsi="Calibri"/>
                <w:b w:val="0"/>
                <w:i w:val="0"/>
                <w:color w:val="212121"/>
                <w:sz w:val="16"/>
              </w:rPr>
              <w:t>Pre- &amp; post-ductal oxygen saturation</w:t>
            </w:r>
          </w:p>
        </w:tc>
        <w:tc>
          <w:tcPr>
            <w:tcW w:type="dxa" w:w="892"/>
            <w:vAlign w:val="top"/>
          </w:tcPr>
          <w:p>
            <w:pPr>
              <w:spacing w:after="40" w:before="0" w:line="259" w:lineRule="auto"/>
            </w:pPr>
            <w:r>
              <w:rPr>
                <w:rFonts w:ascii="Calibri" w:hAnsi="Calibri"/>
                <w:b w:val="0"/>
                <w:i w:val="0"/>
                <w:color w:val="212121"/>
                <w:sz w:val="16"/>
              </w:rPr>
              <w:t>Pulse oximetry (CCHD screen)</w:t>
            </w:r>
          </w:p>
        </w:tc>
        <w:tc>
          <w:tcPr>
            <w:tcW w:type="dxa" w:w="950"/>
            <w:vAlign w:val="top"/>
          </w:tcPr>
          <w:p>
            <w:pPr>
              <w:spacing w:after="40" w:before="0" w:line="259" w:lineRule="auto"/>
            </w:pPr>
            <w:r>
              <w:rPr>
                <w:rFonts w:ascii="Calibri" w:hAnsi="Calibri"/>
                <w:b w:val="0"/>
                <w:i w:val="0"/>
                <w:color w:val="212121"/>
                <w:sz w:val="16"/>
              </w:rPr>
              <w:t>≥ 95% and &lt; 3% difference</w:t>
            </w:r>
          </w:p>
        </w:tc>
        <w:tc>
          <w:tcPr>
            <w:tcW w:type="dxa" w:w="950"/>
            <w:vAlign w:val="top"/>
          </w:tcPr>
          <w:p>
            <w:pPr>
              <w:spacing w:after="40" w:before="0" w:line="259" w:lineRule="auto"/>
            </w:pPr>
            <w:r>
              <w:rPr>
                <w:rFonts w:ascii="Calibri" w:hAnsi="Calibri"/>
                <w:b w:val="0"/>
                <w:i w:val="0"/>
                <w:color w:val="212121"/>
                <w:sz w:val="16"/>
              </w:rPr>
              <w:t>&lt; 90% (fail); 90-94% or ≥ 3% difference (repeat)</w:t>
            </w:r>
          </w:p>
        </w:tc>
        <w:tc>
          <w:tcPr>
            <w:tcW w:type="dxa" w:w="1036"/>
            <w:vAlign w:val="top"/>
          </w:tcPr>
          <w:p>
            <w:pPr>
              <w:spacing w:after="40" w:before="0" w:line="259" w:lineRule="auto"/>
            </w:pPr>
            <w:r>
              <w:rPr>
                <w:rFonts w:ascii="Calibri" w:hAnsi="Calibri"/>
                <w:b w:val="0"/>
                <w:i w:val="0"/>
                <w:color w:val="212121"/>
                <w:sz w:val="16"/>
              </w:rPr>
              <w:t>Detects critical duct-dependent CHD in asymptomatic newborns</w:t>
            </w:r>
          </w:p>
        </w:tc>
        <w:tc>
          <w:tcPr>
            <w:tcW w:type="dxa" w:w="1036"/>
            <w:vAlign w:val="top"/>
          </w:tcPr>
          <w:p>
            <w:pPr>
              <w:spacing w:after="40" w:before="0" w:line="259" w:lineRule="auto"/>
            </w:pPr>
            <w:r>
              <w:rPr>
                <w:rFonts w:ascii="Calibri" w:hAnsi="Calibri"/>
                <w:b w:val="0"/>
                <w:i w:val="0"/>
                <w:color w:val="212121"/>
                <w:sz w:val="16"/>
              </w:rPr>
              <w:t>All newborns at 24-48 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cheap, high-yield point-of-care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Cardiac size &amp; pulmonary vascularity</w:t>
            </w:r>
          </w:p>
        </w:tc>
        <w:tc>
          <w:tcPr>
            <w:tcW w:type="dxa" w:w="892"/>
            <w:vAlign w:val="top"/>
          </w:tcPr>
          <w:p>
            <w:pPr>
              <w:spacing w:after="40" w:before="0" w:line="259" w:lineRule="auto"/>
            </w:pPr>
            <w:r>
              <w:rPr>
                <w:rFonts w:ascii="Calibri" w:hAnsi="Calibri"/>
                <w:b w:val="0"/>
                <w:i w:val="0"/>
                <w:color w:val="212121"/>
                <w:sz w:val="16"/>
              </w:rPr>
              <w:t>Chest radiograph</w:t>
            </w:r>
          </w:p>
        </w:tc>
        <w:tc>
          <w:tcPr>
            <w:tcW w:type="dxa" w:w="950"/>
            <w:vAlign w:val="top"/>
          </w:tcPr>
          <w:p>
            <w:pPr>
              <w:spacing w:after="40" w:before="0" w:line="259" w:lineRule="auto"/>
            </w:pPr>
            <w:r>
              <w:rPr>
                <w:rFonts w:ascii="Calibri" w:hAnsi="Calibri"/>
                <w:b w:val="0"/>
                <w:i w:val="0"/>
                <w:color w:val="212121"/>
                <w:sz w:val="16"/>
              </w:rPr>
              <w:t>Normal cardiothoracic ratio &amp; lung vascular markings</w:t>
            </w:r>
          </w:p>
        </w:tc>
        <w:tc>
          <w:tcPr>
            <w:tcW w:type="dxa" w:w="950"/>
            <w:vAlign w:val="top"/>
          </w:tcPr>
          <w:p>
            <w:pPr>
              <w:spacing w:after="40" w:before="0" w:line="259" w:lineRule="auto"/>
            </w:pPr>
            <w:r>
              <w:rPr>
                <w:rFonts w:ascii="Calibri" w:hAnsi="Calibri"/>
                <w:b w:val="0"/>
                <w:i w:val="0"/>
                <w:color w:val="212121"/>
                <w:sz w:val="16"/>
              </w:rPr>
              <w:t>Cardiomegaly; increased/decreased pulmonary vascularity; classic silhouettes</w:t>
            </w:r>
          </w:p>
        </w:tc>
        <w:tc>
          <w:tcPr>
            <w:tcW w:type="dxa" w:w="1036"/>
            <w:vAlign w:val="top"/>
          </w:tcPr>
          <w:p>
            <w:pPr>
              <w:spacing w:after="40" w:before="0" w:line="259" w:lineRule="auto"/>
            </w:pPr>
            <w:r>
              <w:rPr>
                <w:rFonts w:ascii="Calibri" w:hAnsi="Calibri"/>
                <w:b w:val="0"/>
                <w:i w:val="0"/>
                <w:color w:val="212121"/>
                <w:sz w:val="16"/>
              </w:rPr>
              <w:t>Supports shunt vs obstructive physiology; e.g., 'boot-shaped' heart in TOF</w:t>
            </w:r>
          </w:p>
        </w:tc>
        <w:tc>
          <w:tcPr>
            <w:tcW w:type="dxa" w:w="1036"/>
            <w:vAlign w:val="top"/>
          </w:tcPr>
          <w:p>
            <w:pPr>
              <w:spacing w:after="40" w:before="0" w:line="259" w:lineRule="auto"/>
            </w:pPr>
            <w:r>
              <w:rPr>
                <w:rFonts w:ascii="Calibri" w:hAnsi="Calibri"/>
                <w:b w:val="0"/>
                <w:i w:val="0"/>
                <w:color w:val="212121"/>
                <w:sz w:val="16"/>
              </w:rPr>
              <w:t>Infants with cyanosis or heart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Widely available; non-specific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Chamber hypertrophy &amp; axis</w:t>
            </w:r>
          </w:p>
        </w:tc>
        <w:tc>
          <w:tcPr>
            <w:tcW w:type="dxa" w:w="892"/>
            <w:vAlign w:val="top"/>
          </w:tcPr>
          <w:p>
            <w:pPr>
              <w:spacing w:after="40" w:before="0" w:line="259" w:lineRule="auto"/>
            </w:pPr>
            <w:r>
              <w:rPr>
                <w:rFonts w:ascii="Calibri" w:hAnsi="Calibri"/>
                <w:b w:val="0"/>
                <w:i w:val="0"/>
                <w:color w:val="212121"/>
                <w:sz w:val="16"/>
              </w:rPr>
              <w:t>12-lead ECG</w:t>
            </w:r>
          </w:p>
        </w:tc>
        <w:tc>
          <w:tcPr>
            <w:tcW w:type="dxa" w:w="950"/>
            <w:vAlign w:val="top"/>
          </w:tcPr>
          <w:p>
            <w:pPr>
              <w:spacing w:after="40" w:before="0" w:line="259" w:lineRule="auto"/>
            </w:pPr>
            <w:r>
              <w:rPr>
                <w:rFonts w:ascii="Calibri" w:hAnsi="Calibri"/>
                <w:b w:val="0"/>
                <w:i w:val="0"/>
                <w:color w:val="212121"/>
                <w:sz w:val="16"/>
              </w:rPr>
              <w:t>Age-appropriate pattern</w:t>
            </w:r>
          </w:p>
        </w:tc>
        <w:tc>
          <w:tcPr>
            <w:tcW w:type="dxa" w:w="950"/>
            <w:vAlign w:val="top"/>
          </w:tcPr>
          <w:p>
            <w:pPr>
              <w:spacing w:after="40" w:before="0" w:line="259" w:lineRule="auto"/>
            </w:pPr>
            <w:r>
              <w:rPr>
                <w:rFonts w:ascii="Calibri" w:hAnsi="Calibri"/>
                <w:b w:val="0"/>
                <w:i w:val="0"/>
                <w:color w:val="212121"/>
                <w:sz w:val="16"/>
              </w:rPr>
              <w:t>RVH/LVH, atrial enlargement, axis deviation, conduction block</w:t>
            </w:r>
          </w:p>
        </w:tc>
        <w:tc>
          <w:tcPr>
            <w:tcW w:type="dxa" w:w="1036"/>
            <w:vAlign w:val="top"/>
          </w:tcPr>
          <w:p>
            <w:pPr>
              <w:spacing w:after="40" w:before="0" w:line="259" w:lineRule="auto"/>
            </w:pPr>
            <w:r>
              <w:rPr>
                <w:rFonts w:ascii="Calibri" w:hAnsi="Calibri"/>
                <w:b w:val="0"/>
                <w:i w:val="0"/>
                <w:color w:val="212121"/>
                <w:sz w:val="16"/>
              </w:rPr>
              <w:t>Points to volume/pressure overload and specific lesions</w:t>
            </w:r>
          </w:p>
        </w:tc>
        <w:tc>
          <w:tcPr>
            <w:tcW w:type="dxa" w:w="1036"/>
            <w:vAlign w:val="top"/>
          </w:tcPr>
          <w:p>
            <w:pPr>
              <w:spacing w:after="40" w:before="0" w:line="259" w:lineRule="auto"/>
            </w:pPr>
            <w:r>
              <w:rPr>
                <w:rFonts w:ascii="Calibri" w:hAnsi="Calibri"/>
                <w:b w:val="0"/>
                <w:i w:val="0"/>
                <w:color w:val="212121"/>
                <w:sz w:val="16"/>
              </w:rPr>
              <w:t>All CHD; maternal-SLE offspring (heart block)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against age-specific norms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Arterial oxygenation response to O2</w:t>
            </w:r>
          </w:p>
        </w:tc>
        <w:tc>
          <w:tcPr>
            <w:tcW w:type="dxa" w:w="892"/>
            <w:vAlign w:val="top"/>
          </w:tcPr>
          <w:p>
            <w:pPr>
              <w:spacing w:after="40" w:before="0" w:line="259" w:lineRule="auto"/>
            </w:pPr>
            <w:r>
              <w:rPr>
                <w:rFonts w:ascii="Calibri" w:hAnsi="Calibri"/>
                <w:b w:val="0"/>
                <w:i w:val="0"/>
                <w:color w:val="212121"/>
                <w:sz w:val="16"/>
              </w:rPr>
              <w:t>Hyperoxia test / arterial blood gas</w:t>
            </w:r>
          </w:p>
        </w:tc>
        <w:tc>
          <w:tcPr>
            <w:tcW w:type="dxa" w:w="950"/>
            <w:vAlign w:val="top"/>
          </w:tcPr>
          <w:p>
            <w:pPr>
              <w:spacing w:after="40" w:before="0" w:line="259" w:lineRule="auto"/>
            </w:pPr>
            <w:r>
              <w:rPr>
                <w:rFonts w:ascii="Calibri" w:hAnsi="Calibri"/>
                <w:b w:val="0"/>
                <w:i w:val="0"/>
                <w:color w:val="212121"/>
                <w:sz w:val="16"/>
              </w:rPr>
              <w:t>PaO2 rises &gt; 150-250 mmHg on 100% O2</w:t>
            </w:r>
          </w:p>
        </w:tc>
        <w:tc>
          <w:tcPr>
            <w:tcW w:type="dxa" w:w="950"/>
            <w:vAlign w:val="top"/>
          </w:tcPr>
          <w:p>
            <w:pPr>
              <w:spacing w:after="40" w:before="0" w:line="259" w:lineRule="auto"/>
            </w:pPr>
            <w:r>
              <w:rPr>
                <w:rFonts w:ascii="Calibri" w:hAnsi="Calibri"/>
                <w:b w:val="0"/>
                <w:i w:val="0"/>
                <w:color w:val="212121"/>
                <w:sz w:val="16"/>
              </w:rPr>
              <w:t>PaO2 remains low (&lt; 100-150 mmHg)</w:t>
            </w:r>
          </w:p>
        </w:tc>
        <w:tc>
          <w:tcPr>
            <w:tcW w:type="dxa" w:w="1036"/>
            <w:vAlign w:val="top"/>
          </w:tcPr>
          <w:p>
            <w:pPr>
              <w:spacing w:after="40" w:before="0" w:line="259" w:lineRule="auto"/>
            </w:pPr>
            <w:r>
              <w:rPr>
                <w:rFonts w:ascii="Calibri" w:hAnsi="Calibri"/>
                <w:b w:val="0"/>
                <w:i w:val="0"/>
                <w:color w:val="212121"/>
                <w:sz w:val="16"/>
              </w:rPr>
              <w:t>Distinguishes cardiac (fixed right-to-left shunt) from pulmonary cyanosis</w:t>
            </w:r>
          </w:p>
        </w:tc>
        <w:tc>
          <w:tcPr>
            <w:tcW w:type="dxa" w:w="1036"/>
            <w:vAlign w:val="top"/>
          </w:tcPr>
          <w:p>
            <w:pPr>
              <w:spacing w:after="40" w:before="0" w:line="259" w:lineRule="auto"/>
            </w:pPr>
            <w:r>
              <w:rPr>
                <w:rFonts w:ascii="Calibri" w:hAnsi="Calibri"/>
                <w:b w:val="0"/>
                <w:i w:val="0"/>
                <w:color w:val="212121"/>
                <w:sz w:val="16"/>
              </w:rPr>
              <w:t>Cyanotic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Failure to rise suggests cyanotic CHD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 / haematocrit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Age-appropriate range</w:t>
            </w:r>
          </w:p>
        </w:tc>
        <w:tc>
          <w:tcPr>
            <w:tcW w:type="dxa" w:w="950"/>
            <w:vAlign w:val="top"/>
          </w:tcPr>
          <w:p>
            <w:pPr>
              <w:spacing w:after="40" w:before="0" w:line="259" w:lineRule="auto"/>
            </w:pPr>
            <w:r>
              <w:rPr>
                <w:rFonts w:ascii="Calibri" w:hAnsi="Calibri"/>
                <w:b w:val="0"/>
                <w:i w:val="0"/>
                <w:color w:val="212121"/>
                <w:sz w:val="16"/>
              </w:rPr>
              <w:t>Secondary erythrocytosis (raised Hct) in cyanotic CHD</w:t>
            </w:r>
          </w:p>
        </w:tc>
        <w:tc>
          <w:tcPr>
            <w:tcW w:type="dxa" w:w="1036"/>
            <w:vAlign w:val="top"/>
          </w:tcPr>
          <w:p>
            <w:pPr>
              <w:spacing w:after="40" w:before="0" w:line="259" w:lineRule="auto"/>
            </w:pPr>
            <w:r>
              <w:rPr>
                <w:rFonts w:ascii="Calibri" w:hAnsi="Calibri"/>
                <w:b w:val="0"/>
                <w:i w:val="0"/>
                <w:color w:val="212121"/>
                <w:sz w:val="16"/>
              </w:rPr>
              <w:t>Reflects chronic hypoxaemia; hyperviscosity risk</w:t>
            </w:r>
          </w:p>
        </w:tc>
        <w:tc>
          <w:tcPr>
            <w:tcW w:type="dxa" w:w="1036"/>
            <w:vAlign w:val="top"/>
          </w:tcPr>
          <w:p>
            <w:pPr>
              <w:spacing w:after="40" w:before="0" w:line="259" w:lineRule="auto"/>
            </w:pPr>
            <w:r>
              <w:rPr>
                <w:rFonts w:ascii="Calibri" w:hAnsi="Calibri"/>
                <w:b w:val="0"/>
                <w:i w:val="0"/>
                <w:color w:val="212121"/>
                <w:sz w:val="16"/>
              </w:rPr>
              <w:t>Cyanotic CHD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hydration &amp; venesection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Natriuretic peptide</w:t>
            </w:r>
          </w:p>
        </w:tc>
        <w:tc>
          <w:tcPr>
            <w:tcW w:type="dxa" w:w="892"/>
            <w:vAlign w:val="top"/>
          </w:tcPr>
          <w:p>
            <w:pPr>
              <w:spacing w:after="40" w:before="0" w:line="259" w:lineRule="auto"/>
            </w:pPr>
            <w:r>
              <w:rPr>
                <w:rFonts w:ascii="Calibri" w:hAnsi="Calibri"/>
                <w:b w:val="0"/>
                <w:i w:val="0"/>
                <w:color w:val="212121"/>
                <w:sz w:val="16"/>
              </w:rPr>
              <w:t>NT-proBNP / BNP</w:t>
            </w:r>
          </w:p>
        </w:tc>
        <w:tc>
          <w:tcPr>
            <w:tcW w:type="dxa" w:w="950"/>
            <w:vAlign w:val="top"/>
          </w:tcPr>
          <w:p>
            <w:pPr>
              <w:spacing w:after="40" w:before="0" w:line="259" w:lineRule="auto"/>
            </w:pPr>
            <w:r>
              <w:rPr>
                <w:rFonts w:ascii="Calibri" w:hAnsi="Calibri"/>
                <w:b w:val="0"/>
                <w:i w:val="0"/>
                <w:color w:val="212121"/>
                <w:sz w:val="16"/>
              </w:rPr>
              <w:t>Age-appropriate normal</w:t>
            </w:r>
          </w:p>
        </w:tc>
        <w:tc>
          <w:tcPr>
            <w:tcW w:type="dxa" w:w="950"/>
            <w:vAlign w:val="top"/>
          </w:tcPr>
          <w:p>
            <w:pPr>
              <w:spacing w:after="40" w:before="0" w:line="259" w:lineRule="auto"/>
            </w:pPr>
            <w:r>
              <w:rPr>
                <w:rFonts w:ascii="Calibri" w:hAnsi="Calibri"/>
                <w:b w:val="0"/>
                <w:i w:val="0"/>
                <w:color w:val="212121"/>
                <w:sz w:val="16"/>
              </w:rPr>
              <w:t>Elevated for age</w:t>
            </w:r>
          </w:p>
        </w:tc>
        <w:tc>
          <w:tcPr>
            <w:tcW w:type="dxa" w:w="1036"/>
            <w:vAlign w:val="top"/>
          </w:tcPr>
          <w:p>
            <w:pPr>
              <w:spacing w:after="40" w:before="0" w:line="259" w:lineRule="auto"/>
            </w:pPr>
            <w:r>
              <w:rPr>
                <w:rFonts w:ascii="Calibri" w:hAnsi="Calibri"/>
                <w:b w:val="0"/>
                <w:i w:val="0"/>
                <w:color w:val="212121"/>
                <w:sz w:val="16"/>
              </w:rPr>
              <w:t>Marks ventricular strain / heart failure severity</w:t>
            </w:r>
          </w:p>
        </w:tc>
        <w:tc>
          <w:tcPr>
            <w:tcW w:type="dxa" w:w="1036"/>
            <w:vAlign w:val="top"/>
          </w:tcPr>
          <w:p>
            <w:pPr>
              <w:spacing w:after="40" w:before="0" w:line="259" w:lineRule="auto"/>
            </w:pPr>
            <w:r>
              <w:rPr>
                <w:rFonts w:ascii="Calibri" w:hAnsi="Calibri"/>
                <w:b w:val="0"/>
                <w:i w:val="0"/>
                <w:color w:val="212121"/>
                <w:sz w:val="16"/>
              </w:rPr>
              <w:t>CHD with heart failure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Trends useful for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invasive</w:t>
            </w:r>
          </w:p>
        </w:tc>
        <w:tc>
          <w:tcPr>
            <w:tcW w:type="dxa" w:w="1036"/>
            <w:vAlign w:val="top"/>
          </w:tcPr>
          <w:p>
            <w:pPr>
              <w:spacing w:after="40" w:before="0" w:line="259" w:lineRule="auto"/>
            </w:pPr>
            <w:r>
              <w:rPr>
                <w:rFonts w:ascii="Calibri" w:hAnsi="Calibri"/>
                <w:b w:val="0"/>
                <w:i w:val="0"/>
                <w:color w:val="212121"/>
                <w:sz w:val="16"/>
              </w:rPr>
              <w:t>Haemodynamics, PVR &amp; complex anatomy</w:t>
            </w:r>
          </w:p>
        </w:tc>
        <w:tc>
          <w:tcPr>
            <w:tcW w:type="dxa" w:w="892"/>
            <w:vAlign w:val="top"/>
          </w:tcPr>
          <w:p>
            <w:pPr>
              <w:spacing w:after="40" w:before="0" w:line="259" w:lineRule="auto"/>
            </w:pPr>
            <w:r>
              <w:rPr>
                <w:rFonts w:ascii="Calibri" w:hAnsi="Calibri"/>
                <w:b w:val="0"/>
                <w:i w:val="0"/>
                <w:color w:val="212121"/>
                <w:sz w:val="16"/>
              </w:rPr>
              <w:t>Cardiac catheterization / CT-MR angiography</w:t>
            </w:r>
          </w:p>
        </w:tc>
        <w:tc>
          <w:tcPr>
            <w:tcW w:type="dxa" w:w="950"/>
            <w:vAlign w:val="top"/>
          </w:tcPr>
          <w:p>
            <w:pPr>
              <w:spacing w:after="40" w:before="0" w:line="259" w:lineRule="auto"/>
            </w:pPr>
            <w:r>
              <w:rPr>
                <w:rFonts w:ascii="Calibri" w:hAnsi="Calibri"/>
                <w:b w:val="0"/>
                <w:i w:val="0"/>
                <w:color w:val="212121"/>
                <w:sz w:val="16"/>
              </w:rPr>
              <w:t>Normal pressures, PVR &amp; anatomy</w:t>
            </w:r>
          </w:p>
        </w:tc>
        <w:tc>
          <w:tcPr>
            <w:tcW w:type="dxa" w:w="950"/>
            <w:vAlign w:val="top"/>
          </w:tcPr>
          <w:p>
            <w:pPr>
              <w:spacing w:after="40" w:before="0" w:line="259" w:lineRule="auto"/>
            </w:pPr>
            <w:r>
              <w:rPr>
                <w:rFonts w:ascii="Calibri" w:hAnsi="Calibri"/>
                <w:b w:val="0"/>
                <w:i w:val="0"/>
                <w:color w:val="212121"/>
                <w:sz w:val="16"/>
              </w:rPr>
              <w:t>High PVR, abnormal pressures/connections</w:t>
            </w:r>
          </w:p>
        </w:tc>
        <w:tc>
          <w:tcPr>
            <w:tcW w:type="dxa" w:w="1036"/>
            <w:vAlign w:val="top"/>
          </w:tcPr>
          <w:p>
            <w:pPr>
              <w:spacing w:after="40" w:before="0" w:line="259" w:lineRule="auto"/>
            </w:pPr>
            <w:r>
              <w:rPr>
                <w:rFonts w:ascii="Calibri" w:hAnsi="Calibri"/>
                <w:b w:val="0"/>
                <w:i w:val="0"/>
                <w:color w:val="212121"/>
                <w:sz w:val="16"/>
              </w:rPr>
              <w:t>Assesses operability (PVR) and delineates complex lesions</w:t>
            </w:r>
          </w:p>
        </w:tc>
        <w:tc>
          <w:tcPr>
            <w:tcW w:type="dxa" w:w="1036"/>
            <w:vAlign w:val="top"/>
          </w:tcPr>
          <w:p>
            <w:pPr>
              <w:spacing w:after="40" w:before="0" w:line="259" w:lineRule="auto"/>
            </w:pPr>
            <w:r>
              <w:rPr>
                <w:rFonts w:ascii="Calibri" w:hAnsi="Calibri"/>
                <w:b w:val="0"/>
                <w:i w:val="0"/>
                <w:color w:val="212121"/>
                <w:sz w:val="16"/>
              </w:rPr>
              <w:t>Complex CHD; shunt lesions before repair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Catheter is invasive; CT/MR non-invasive alternative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Antenatal &amp; family history</w:t>
            </w:r>
          </w:p>
        </w:tc>
        <w:tc>
          <w:tcPr>
            <w:tcW w:type="dxa" w:w="979"/>
            <w:vAlign w:val="top"/>
          </w:tcPr>
          <w:p>
            <w:pPr>
              <w:spacing w:after="40" w:before="0" w:line="259" w:lineRule="auto"/>
            </w:pPr>
            <w:r>
              <w:rPr>
                <w:rFonts w:ascii="Calibri" w:hAnsi="Calibri"/>
                <w:b w:val="0"/>
                <w:i w:val="0"/>
                <w:color w:val="212121"/>
                <w:sz w:val="16"/>
              </w:rPr>
              <w:t>Maternal diabetes, rubella, drugs, consanguinity, family CHD</w:t>
            </w:r>
          </w:p>
        </w:tc>
        <w:tc>
          <w:tcPr>
            <w:tcW w:type="dxa" w:w="950"/>
            <w:vAlign w:val="top"/>
          </w:tcPr>
          <w:p>
            <w:pPr>
              <w:spacing w:after="40" w:before="0" w:line="259" w:lineRule="auto"/>
            </w:pPr>
            <w:r>
              <w:rPr>
                <w:rFonts w:ascii="Calibri" w:hAnsi="Calibri"/>
                <w:b w:val="0"/>
                <w:i w:val="0"/>
                <w:color w:val="212121"/>
                <w:sz w:val="16"/>
              </w:rPr>
              <w:t>None present</w:t>
            </w:r>
          </w:p>
        </w:tc>
        <w:tc>
          <w:tcPr>
            <w:tcW w:type="dxa" w:w="950"/>
            <w:vAlign w:val="top"/>
          </w:tcPr>
          <w:p>
            <w:pPr>
              <w:spacing w:after="40" w:before="0" w:line="259" w:lineRule="auto"/>
            </w:pPr>
            <w:r>
              <w:rPr>
                <w:rFonts w:ascii="Calibri" w:hAnsi="Calibri"/>
                <w:b w:val="0"/>
                <w:i w:val="0"/>
                <w:color w:val="212121"/>
                <w:sz w:val="16"/>
              </w:rPr>
              <w:t>≥ 1 risk exposure or affected relative</w:t>
            </w:r>
          </w:p>
        </w:tc>
        <w:tc>
          <w:tcPr>
            <w:tcW w:type="dxa" w:w="1036"/>
            <w:vAlign w:val="top"/>
          </w:tcPr>
          <w:p>
            <w:pPr>
              <w:spacing w:after="40" w:before="0" w:line="259" w:lineRule="auto"/>
            </w:pPr>
            <w:r>
              <w:rPr>
                <w:rFonts w:ascii="Calibri" w:hAnsi="Calibri"/>
                <w:b w:val="0"/>
                <w:i w:val="0"/>
                <w:color w:val="212121"/>
                <w:sz w:val="16"/>
              </w:rPr>
              <w:t>Identifies teratogenic and genetic risk; prompts fetal echo</w:t>
            </w:r>
          </w:p>
        </w:tc>
        <w:tc>
          <w:tcPr>
            <w:tcW w:type="dxa" w:w="1036"/>
            <w:vAlign w:val="top"/>
          </w:tcPr>
          <w:p>
            <w:pPr>
              <w:spacing w:after="40" w:before="0" w:line="259" w:lineRule="auto"/>
            </w:pPr>
            <w:r>
              <w:rPr>
                <w:rFonts w:ascii="Calibri" w:hAnsi="Calibri"/>
                <w:b w:val="0"/>
                <w:i w:val="0"/>
                <w:color w:val="212121"/>
                <w:sz w:val="16"/>
              </w:rPr>
              <w:t>At-risk pregnancies; consanguineous couples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antenatal counselling &amp; surveillance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history (infant)</w:t>
            </w:r>
          </w:p>
        </w:tc>
        <w:tc>
          <w:tcPr>
            <w:tcW w:type="dxa" w:w="979"/>
            <w:vAlign w:val="top"/>
          </w:tcPr>
          <w:p>
            <w:pPr>
              <w:spacing w:after="40" w:before="0" w:line="259" w:lineRule="auto"/>
            </w:pPr>
            <w:r>
              <w:rPr>
                <w:rFonts w:ascii="Calibri" w:hAnsi="Calibri"/>
                <w:b w:val="0"/>
                <w:i w:val="0"/>
                <w:color w:val="212121"/>
                <w:sz w:val="16"/>
              </w:rPr>
              <w:t>Poor feeding, sweating on feeds, breathlessness, cyanotic spells, poor weight gain, recurrent chest infections</w:t>
            </w:r>
          </w:p>
        </w:tc>
        <w:tc>
          <w:tcPr>
            <w:tcW w:type="dxa" w:w="950"/>
            <w:vAlign w:val="top"/>
          </w:tcPr>
          <w:p>
            <w:pPr>
              <w:spacing w:after="40" w:before="0" w:line="259" w:lineRule="auto"/>
            </w:pPr>
            <w:r>
              <w:rPr>
                <w:rFonts w:ascii="Calibri" w:hAnsi="Calibri"/>
                <w:b w:val="0"/>
                <w:i w:val="0"/>
                <w:color w:val="212121"/>
                <w:sz w:val="16"/>
              </w:rPr>
              <w:t>Feeds and grows normally</w:t>
            </w:r>
          </w:p>
        </w:tc>
        <w:tc>
          <w:tcPr>
            <w:tcW w:type="dxa" w:w="950"/>
            <w:vAlign w:val="top"/>
          </w:tcPr>
          <w:p>
            <w:pPr>
              <w:spacing w:after="40" w:before="0" w:line="259" w:lineRule="auto"/>
            </w:pPr>
            <w:r>
              <w:rPr>
                <w:rFonts w:ascii="Calibri" w:hAnsi="Calibri"/>
                <w:b w:val="0"/>
                <w:i w:val="0"/>
                <w:color w:val="212121"/>
                <w:sz w:val="16"/>
              </w:rPr>
              <w:t>Any cardinal symptom present</w:t>
            </w:r>
          </w:p>
        </w:tc>
        <w:tc>
          <w:tcPr>
            <w:tcW w:type="dxa" w:w="1036"/>
            <w:vAlign w:val="top"/>
          </w:tcPr>
          <w:p>
            <w:pPr>
              <w:spacing w:after="40" w:before="0" w:line="259" w:lineRule="auto"/>
            </w:pPr>
            <w:r>
              <w:rPr>
                <w:rFonts w:ascii="Calibri" w:hAnsi="Calibri"/>
                <w:b w:val="0"/>
                <w:i w:val="0"/>
                <w:color w:val="212121"/>
                <w:sz w:val="16"/>
              </w:rPr>
              <w:t>Suggests heart failure or cyanotic physiology</w:t>
            </w:r>
          </w:p>
        </w:tc>
        <w:tc>
          <w:tcPr>
            <w:tcW w:type="dxa" w:w="1036"/>
            <w:vAlign w:val="top"/>
          </w:tcPr>
          <w:p>
            <w:pPr>
              <w:spacing w:after="40" w:before="0" w:line="259" w:lineRule="auto"/>
            </w:pPr>
            <w:r>
              <w:rPr>
                <w:rFonts w:ascii="Calibri" w:hAnsi="Calibri"/>
                <w:b w:val="0"/>
                <w:i w:val="0"/>
                <w:color w:val="212121"/>
                <w:sz w:val="16"/>
              </w:rPr>
              <w:t>Infants with CHD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Feeding is the infant's 'exercise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Central cyanosis &amp; clubbing</w:t>
            </w:r>
          </w:p>
        </w:tc>
        <w:tc>
          <w:tcPr>
            <w:tcW w:type="dxa" w:w="979"/>
            <w:vAlign w:val="top"/>
          </w:tcPr>
          <w:p>
            <w:pPr>
              <w:spacing w:after="40" w:before="0" w:line="259" w:lineRule="auto"/>
            </w:pPr>
            <w:r>
              <w:rPr>
                <w:rFonts w:ascii="Calibri" w:hAnsi="Calibri"/>
                <w:b w:val="0"/>
                <w:i w:val="0"/>
                <w:color w:val="212121"/>
                <w:sz w:val="16"/>
              </w:rPr>
              <w:t>Tongue/lip colour, digital clubbing, SpO2</w:t>
            </w:r>
          </w:p>
        </w:tc>
        <w:tc>
          <w:tcPr>
            <w:tcW w:type="dxa" w:w="950"/>
            <w:vAlign w:val="top"/>
          </w:tcPr>
          <w:p>
            <w:pPr>
              <w:spacing w:after="40" w:before="0" w:line="259" w:lineRule="auto"/>
            </w:pPr>
            <w:r>
              <w:rPr>
                <w:rFonts w:ascii="Calibri" w:hAnsi="Calibri"/>
                <w:b w:val="0"/>
                <w:i w:val="0"/>
                <w:color w:val="212121"/>
                <w:sz w:val="16"/>
              </w:rPr>
              <w:t>Pink, SpO2 ≥ 95%, no clubbing</w:t>
            </w:r>
          </w:p>
        </w:tc>
        <w:tc>
          <w:tcPr>
            <w:tcW w:type="dxa" w:w="950"/>
            <w:vAlign w:val="top"/>
          </w:tcPr>
          <w:p>
            <w:pPr>
              <w:spacing w:after="40" w:before="0" w:line="259" w:lineRule="auto"/>
            </w:pPr>
            <w:r>
              <w:rPr>
                <w:rFonts w:ascii="Calibri" w:hAnsi="Calibri"/>
                <w:b w:val="0"/>
                <w:i w:val="0"/>
                <w:color w:val="212121"/>
                <w:sz w:val="16"/>
              </w:rPr>
              <w:t>Central cyanosis, SpO2 &lt; 90-95%, clubbing (chronic)</w:t>
            </w:r>
          </w:p>
        </w:tc>
        <w:tc>
          <w:tcPr>
            <w:tcW w:type="dxa" w:w="1036"/>
            <w:vAlign w:val="top"/>
          </w:tcPr>
          <w:p>
            <w:pPr>
              <w:spacing w:after="40" w:before="0" w:line="259" w:lineRule="auto"/>
            </w:pPr>
            <w:r>
              <w:rPr>
                <w:rFonts w:ascii="Calibri" w:hAnsi="Calibri"/>
                <w:b w:val="0"/>
                <w:i w:val="0"/>
                <w:color w:val="212121"/>
                <w:sz w:val="16"/>
              </w:rPr>
              <w:t>Indicates right-to-left shunt / cyanotic CHD</w:t>
            </w:r>
          </w:p>
        </w:tc>
        <w:tc>
          <w:tcPr>
            <w:tcW w:type="dxa" w:w="1036"/>
            <w:vAlign w:val="top"/>
          </w:tcPr>
          <w:p>
            <w:pPr>
              <w:spacing w:after="40" w:before="0" w:line="259" w:lineRule="auto"/>
            </w:pPr>
            <w:r>
              <w:rPr>
                <w:rFonts w:ascii="Calibri" w:hAnsi="Calibri"/>
                <w:b w:val="0"/>
                <w:i w:val="0"/>
                <w:color w:val="212121"/>
                <w:sz w:val="16"/>
              </w:rPr>
              <w:t>Cyanotic CHD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Clubbing develops with prolonged hypoxaemia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Auscultation</w:t>
            </w:r>
          </w:p>
        </w:tc>
        <w:tc>
          <w:tcPr>
            <w:tcW w:type="dxa" w:w="950"/>
            <w:vAlign w:val="top"/>
          </w:tcPr>
          <w:p>
            <w:pPr>
              <w:spacing w:after="40" w:before="0" w:line="259" w:lineRule="auto"/>
            </w:pPr>
            <w:r>
              <w:rPr>
                <w:rFonts w:ascii="Calibri" w:hAnsi="Calibri"/>
                <w:b w:val="0"/>
                <w:i w:val="0"/>
                <w:color w:val="212121"/>
                <w:sz w:val="16"/>
              </w:rPr>
              <w:t>Heart sounds &amp; murmur</w:t>
            </w:r>
          </w:p>
        </w:tc>
        <w:tc>
          <w:tcPr>
            <w:tcW w:type="dxa" w:w="979"/>
            <w:vAlign w:val="top"/>
          </w:tcPr>
          <w:p>
            <w:pPr>
              <w:spacing w:after="40" w:before="0" w:line="259" w:lineRule="auto"/>
            </w:pPr>
            <w:r>
              <w:rPr>
                <w:rFonts w:ascii="Calibri" w:hAnsi="Calibri"/>
                <w:b w:val="0"/>
                <w:i w:val="0"/>
                <w:color w:val="212121"/>
                <w:sz w:val="16"/>
              </w:rPr>
              <w:t>Murmur timing/site, S2 splitting, ejection clicks, thrills</w:t>
            </w:r>
          </w:p>
        </w:tc>
        <w:tc>
          <w:tcPr>
            <w:tcW w:type="dxa" w:w="950"/>
            <w:vAlign w:val="top"/>
          </w:tcPr>
          <w:p>
            <w:pPr>
              <w:spacing w:after="40" w:before="0" w:line="259" w:lineRule="auto"/>
            </w:pPr>
            <w:r>
              <w:rPr>
                <w:rFonts w:ascii="Calibri" w:hAnsi="Calibri"/>
                <w:b w:val="0"/>
                <w:i w:val="0"/>
                <w:color w:val="212121"/>
                <w:sz w:val="16"/>
              </w:rPr>
              <w:t>Normal S1-S2, no pathological murmur</w:t>
            </w:r>
          </w:p>
        </w:tc>
        <w:tc>
          <w:tcPr>
            <w:tcW w:type="dxa" w:w="950"/>
            <w:vAlign w:val="top"/>
          </w:tcPr>
          <w:p>
            <w:pPr>
              <w:spacing w:after="40" w:before="0" w:line="259" w:lineRule="auto"/>
            </w:pPr>
            <w:r>
              <w:rPr>
                <w:rFonts w:ascii="Calibri" w:hAnsi="Calibri"/>
                <w:b w:val="0"/>
                <w:i w:val="0"/>
                <w:color w:val="212121"/>
                <w:sz w:val="16"/>
              </w:rPr>
              <w:t>Pathological murmur, single/loud S2, fixed split S2 (ASD)</w:t>
            </w:r>
          </w:p>
        </w:tc>
        <w:tc>
          <w:tcPr>
            <w:tcW w:type="dxa" w:w="1036"/>
            <w:vAlign w:val="top"/>
          </w:tcPr>
          <w:p>
            <w:pPr>
              <w:spacing w:after="40" w:before="0" w:line="259" w:lineRule="auto"/>
            </w:pPr>
            <w:r>
              <w:rPr>
                <w:rFonts w:ascii="Calibri" w:hAnsi="Calibri"/>
                <w:b w:val="0"/>
                <w:i w:val="0"/>
                <w:color w:val="212121"/>
                <w:sz w:val="16"/>
              </w:rPr>
              <w:t>Localises lesion and shunt/obstruction</w:t>
            </w:r>
          </w:p>
        </w:tc>
        <w:tc>
          <w:tcPr>
            <w:tcW w:type="dxa" w:w="1036"/>
            <w:vAlign w:val="top"/>
          </w:tcPr>
          <w:p>
            <w:pPr>
              <w:spacing w:after="40" w:before="0" w:line="259" w:lineRule="auto"/>
            </w:pPr>
            <w:r>
              <w:rPr>
                <w:rFonts w:ascii="Calibri" w:hAnsi="Calibri"/>
                <w:b w:val="0"/>
                <w:i w:val="0"/>
                <w:color w:val="212121"/>
                <w:sz w:val="16"/>
              </w:rPr>
              <w:t>All CHD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Distinguish innocent from pathological murmurs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Precordium &amp; peripheral pulses</w:t>
            </w:r>
          </w:p>
        </w:tc>
        <w:tc>
          <w:tcPr>
            <w:tcW w:type="dxa" w:w="979"/>
            <w:vAlign w:val="top"/>
          </w:tcPr>
          <w:p>
            <w:pPr>
              <w:spacing w:after="40" w:before="0" w:line="259" w:lineRule="auto"/>
            </w:pPr>
            <w:r>
              <w:rPr>
                <w:rFonts w:ascii="Calibri" w:hAnsi="Calibri"/>
                <w:b w:val="0"/>
                <w:i w:val="0"/>
                <w:color w:val="212121"/>
                <w:sz w:val="16"/>
              </w:rPr>
              <w:t>Apex, heaves/thrills, brachial-femoral pulses</w:t>
            </w:r>
          </w:p>
        </w:tc>
        <w:tc>
          <w:tcPr>
            <w:tcW w:type="dxa" w:w="950"/>
            <w:vAlign w:val="top"/>
          </w:tcPr>
          <w:p>
            <w:pPr>
              <w:spacing w:after="40" w:before="0" w:line="259" w:lineRule="auto"/>
            </w:pPr>
            <w:r>
              <w:rPr>
                <w:rFonts w:ascii="Calibri" w:hAnsi="Calibri"/>
                <w:b w:val="0"/>
                <w:i w:val="0"/>
                <w:color w:val="212121"/>
                <w:sz w:val="16"/>
              </w:rPr>
              <w:t>Normal apex, equal synchronous pulses</w:t>
            </w:r>
          </w:p>
        </w:tc>
        <w:tc>
          <w:tcPr>
            <w:tcW w:type="dxa" w:w="950"/>
            <w:vAlign w:val="top"/>
          </w:tcPr>
          <w:p>
            <w:pPr>
              <w:spacing w:after="40" w:before="0" w:line="259" w:lineRule="auto"/>
            </w:pPr>
            <w:r>
              <w:rPr>
                <w:rFonts w:ascii="Calibri" w:hAnsi="Calibri"/>
                <w:b w:val="0"/>
                <w:i w:val="0"/>
                <w:color w:val="212121"/>
                <w:sz w:val="16"/>
              </w:rPr>
              <w:t>Heave/thrill; weak/delayed femoral (radio-femoral delay)</w:t>
            </w:r>
          </w:p>
        </w:tc>
        <w:tc>
          <w:tcPr>
            <w:tcW w:type="dxa" w:w="1036"/>
            <w:vAlign w:val="top"/>
          </w:tcPr>
          <w:p>
            <w:pPr>
              <w:spacing w:after="40" w:before="0" w:line="259" w:lineRule="auto"/>
            </w:pPr>
            <w:r>
              <w:rPr>
                <w:rFonts w:ascii="Calibri" w:hAnsi="Calibri"/>
                <w:b w:val="0"/>
                <w:i w:val="0"/>
                <w:color w:val="212121"/>
                <w:sz w:val="16"/>
              </w:rPr>
              <w:t>Radio-femoral delay/weak femorals suggest coarctation</w:t>
            </w:r>
          </w:p>
        </w:tc>
        <w:tc>
          <w:tcPr>
            <w:tcW w:type="dxa" w:w="1036"/>
            <w:vAlign w:val="top"/>
          </w:tcPr>
          <w:p>
            <w:pPr>
              <w:spacing w:after="40" w:before="0" w:line="259" w:lineRule="auto"/>
            </w:pPr>
            <w:r>
              <w:rPr>
                <w:rFonts w:ascii="Calibri" w:hAnsi="Calibri"/>
                <w:b w:val="0"/>
                <w:i w:val="0"/>
                <w:color w:val="212121"/>
                <w:sz w:val="16"/>
              </w:rPr>
              <w:t>Suspected coarctation/obstructive CHD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compare upper- and lower-limb pulses/BP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Growth assessment</w:t>
            </w:r>
          </w:p>
        </w:tc>
        <w:tc>
          <w:tcPr>
            <w:tcW w:type="dxa" w:w="979"/>
            <w:vAlign w:val="top"/>
          </w:tcPr>
          <w:p>
            <w:pPr>
              <w:spacing w:after="40" w:before="0" w:line="259" w:lineRule="auto"/>
            </w:pPr>
            <w:r>
              <w:rPr>
                <w:rFonts w:ascii="Calibri" w:hAnsi="Calibri"/>
                <w:b w:val="0"/>
                <w:i w:val="0"/>
                <w:color w:val="212121"/>
                <w:sz w:val="16"/>
              </w:rPr>
              <w:t>Weight-for-age, length, growth trajectory</w:t>
            </w:r>
          </w:p>
        </w:tc>
        <w:tc>
          <w:tcPr>
            <w:tcW w:type="dxa" w:w="950"/>
            <w:vAlign w:val="top"/>
          </w:tcPr>
          <w:p>
            <w:pPr>
              <w:spacing w:after="40" w:before="0" w:line="259" w:lineRule="auto"/>
            </w:pPr>
            <w:r>
              <w:rPr>
                <w:rFonts w:ascii="Calibri" w:hAnsi="Calibri"/>
                <w:b w:val="0"/>
                <w:i w:val="0"/>
                <w:color w:val="212121"/>
                <w:sz w:val="16"/>
              </w:rPr>
              <w:t>Tracking normal centiles</w:t>
            </w:r>
          </w:p>
        </w:tc>
        <w:tc>
          <w:tcPr>
            <w:tcW w:type="dxa" w:w="950"/>
            <w:vAlign w:val="top"/>
          </w:tcPr>
          <w:p>
            <w:pPr>
              <w:spacing w:after="40" w:before="0" w:line="259" w:lineRule="auto"/>
            </w:pPr>
            <w:r>
              <w:rPr>
                <w:rFonts w:ascii="Calibri" w:hAnsi="Calibri"/>
                <w:b w:val="0"/>
                <w:i w:val="0"/>
                <w:color w:val="212121"/>
                <w:sz w:val="16"/>
              </w:rPr>
              <w:t>Faltering growth / failure to thrive</w:t>
            </w:r>
          </w:p>
        </w:tc>
        <w:tc>
          <w:tcPr>
            <w:tcW w:type="dxa" w:w="1036"/>
            <w:vAlign w:val="top"/>
          </w:tcPr>
          <w:p>
            <w:pPr>
              <w:spacing w:after="40" w:before="0" w:line="259" w:lineRule="auto"/>
            </w:pPr>
            <w:r>
              <w:rPr>
                <w:rFonts w:ascii="Calibri" w:hAnsi="Calibri"/>
                <w:b w:val="0"/>
                <w:i w:val="0"/>
                <w:color w:val="212121"/>
                <w:sz w:val="16"/>
              </w:rPr>
              <w:t>Reflects heart failure &amp; high metabolic demand</w:t>
            </w:r>
          </w:p>
        </w:tc>
        <w:tc>
          <w:tcPr>
            <w:tcW w:type="dxa" w:w="1036"/>
            <w:vAlign w:val="top"/>
          </w:tcPr>
          <w:p>
            <w:pPr>
              <w:spacing w:after="40" w:before="0" w:line="259" w:lineRule="auto"/>
            </w:pPr>
            <w:r>
              <w:rPr>
                <w:rFonts w:ascii="Calibri" w:hAnsi="Calibri"/>
                <w:b w:val="0"/>
                <w:i w:val="0"/>
                <w:color w:val="212121"/>
                <w:sz w:val="16"/>
              </w:rPr>
              <w:t>Infants with significant shunts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Improvement expected after successful repair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w:t>
            </w:r>
          </w:p>
        </w:tc>
        <w:tc>
          <w:tcPr>
            <w:tcW w:type="dxa" w:w="950"/>
            <w:vAlign w:val="top"/>
          </w:tcPr>
          <w:p>
            <w:pPr>
              <w:spacing w:after="40" w:before="0" w:line="259" w:lineRule="auto"/>
            </w:pPr>
            <w:r>
              <w:rPr>
                <w:rFonts w:ascii="Calibri" w:hAnsi="Calibri"/>
                <w:b w:val="0"/>
                <w:i w:val="0"/>
                <w:color w:val="212121"/>
                <w:sz w:val="16"/>
              </w:rPr>
              <w:t>Signs of heart failure</w:t>
            </w:r>
          </w:p>
        </w:tc>
        <w:tc>
          <w:tcPr>
            <w:tcW w:type="dxa" w:w="979"/>
            <w:vAlign w:val="top"/>
          </w:tcPr>
          <w:p>
            <w:pPr>
              <w:spacing w:after="40" w:before="0" w:line="259" w:lineRule="auto"/>
            </w:pPr>
            <w:r>
              <w:rPr>
                <w:rFonts w:ascii="Calibri" w:hAnsi="Calibri"/>
                <w:b w:val="0"/>
                <w:i w:val="0"/>
                <w:color w:val="212121"/>
                <w:sz w:val="16"/>
              </w:rPr>
              <w:t>Tachypnoea, subcostal recession, hepatomegaly, raised JVP, oedema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Indicates decompensation/pulmonary over-circulation</w:t>
            </w:r>
          </w:p>
        </w:tc>
        <w:tc>
          <w:tcPr>
            <w:tcW w:type="dxa" w:w="1036"/>
            <w:vAlign w:val="top"/>
          </w:tcPr>
          <w:p>
            <w:pPr>
              <w:spacing w:after="40" w:before="0" w:line="259" w:lineRule="auto"/>
            </w:pPr>
            <w:r>
              <w:rPr>
                <w:rFonts w:ascii="Calibri" w:hAnsi="Calibri"/>
                <w:b w:val="0"/>
                <w:i w:val="0"/>
                <w:color w:val="212121"/>
                <w:sz w:val="16"/>
              </w:rPr>
              <w:t>CHD with large shunts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Hepatomegaly is an early infant sign of failure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Poor feeding / sweating during feeds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Infant tires and sweats while feeding as cardiac reserve is exceeded - the infant equivalent of exertional dyspnoea.</w:t>
            </w:r>
          </w:p>
        </w:tc>
      </w:tr>
      <w:tr>
        <w:trPr>
          <w:cantSplit/>
        </w:trPr>
        <w:tc>
          <w:tcPr>
            <w:tcW w:type="dxa" w:w="2304"/>
            <w:vAlign w:val="top"/>
          </w:tcPr>
          <w:p>
            <w:pPr>
              <w:spacing w:after="40" w:before="0" w:line="259" w:lineRule="auto"/>
            </w:pPr>
            <w:r>
              <w:rPr>
                <w:rFonts w:ascii="Calibri" w:hAnsi="Calibri"/>
                <w:b/>
                <w:i w:val="0"/>
                <w:color w:val="212121"/>
                <w:sz w:val="19"/>
              </w:rPr>
              <w:t>Fast/laboured breathing (tachypnoea)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Pulmonary over-circulation or heart failure raises respiratory rate and work of breathing.</w:t>
            </w:r>
          </w:p>
        </w:tc>
      </w:tr>
      <w:tr>
        <w:trPr>
          <w:cantSplit/>
        </w:trPr>
        <w:tc>
          <w:tcPr>
            <w:tcW w:type="dxa" w:w="2304"/>
            <w:vAlign w:val="top"/>
          </w:tcPr>
          <w:p>
            <w:pPr>
              <w:spacing w:after="40" w:before="0" w:line="259" w:lineRule="auto"/>
            </w:pPr>
            <w:r>
              <w:rPr>
                <w:rFonts w:ascii="Calibri" w:hAnsi="Calibri"/>
                <w:b/>
                <w:i w:val="0"/>
                <w:color w:val="212121"/>
                <w:sz w:val="19"/>
              </w:rPr>
              <w:t>Failure to thrive / poor weight gain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High metabolic demand and inadequate intake cause faltering growth in significant CHD.</w:t>
            </w:r>
          </w:p>
        </w:tc>
      </w:tr>
      <w:tr>
        <w:trPr>
          <w:cantSplit/>
        </w:trPr>
        <w:tc>
          <w:tcPr>
            <w:tcW w:type="dxa" w:w="2304"/>
            <w:vAlign w:val="top"/>
          </w:tcPr>
          <w:p>
            <w:pPr>
              <w:spacing w:after="40" w:before="0" w:line="259" w:lineRule="auto"/>
            </w:pPr>
            <w:r>
              <w:rPr>
                <w:rFonts w:ascii="Calibri" w:hAnsi="Calibri"/>
                <w:b/>
                <w:i w:val="0"/>
                <w:color w:val="212121"/>
                <w:sz w:val="19"/>
              </w:rPr>
              <w:t>Recurrent respiratory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pulmonary blood flow predisposes to repeated chest infections.</w:t>
            </w:r>
          </w:p>
        </w:tc>
      </w:tr>
      <w:tr>
        <w:trPr>
          <w:cantSplit/>
        </w:trPr>
        <w:tc>
          <w:tcPr>
            <w:tcW w:type="dxa" w:w="2304"/>
            <w:vAlign w:val="top"/>
          </w:tcPr>
          <w:p>
            <w:pPr>
              <w:spacing w:after="40" w:before="0" w:line="259" w:lineRule="auto"/>
            </w:pPr>
            <w:r>
              <w:rPr>
                <w:rFonts w:ascii="Calibri" w:hAnsi="Calibri"/>
                <w:b/>
                <w:i w:val="0"/>
                <w:color w:val="212121"/>
                <w:sz w:val="19"/>
              </w:rPr>
              <w:t>Easy fatigue &amp; exercise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Limited cardiac output causes breathlessness and tiredness on exertion in older children and adults.</w:t>
            </w:r>
          </w:p>
        </w:tc>
      </w:tr>
      <w:tr>
        <w:trPr>
          <w:cantSplit/>
        </w:trPr>
        <w:tc>
          <w:tcPr>
            <w:tcW w:type="dxa" w:w="2304"/>
            <w:vAlign w:val="top"/>
          </w:tcPr>
          <w:p>
            <w:pPr>
              <w:spacing w:after="40" w:before="0" w:line="259" w:lineRule="auto"/>
            </w:pPr>
            <w:r>
              <w:rPr>
                <w:rFonts w:ascii="Calibri" w:hAnsi="Calibri"/>
                <w:b/>
                <w:i w:val="0"/>
                <w:color w:val="212121"/>
                <w:sz w:val="19"/>
              </w:rPr>
              <w:t>Central cyanosis (bluish lips/tongue)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Right-to-left shunting desaturates systemic blood in cyanotic lesions.</w:t>
            </w:r>
          </w:p>
        </w:tc>
      </w:tr>
      <w:tr>
        <w:trPr>
          <w:cantSplit/>
        </w:trPr>
        <w:tc>
          <w:tcPr>
            <w:tcW w:type="dxa" w:w="2304"/>
            <w:vAlign w:val="top"/>
          </w:tcPr>
          <w:p>
            <w:pPr>
              <w:spacing w:after="40" w:before="0" w:line="259" w:lineRule="auto"/>
            </w:pPr>
            <w:r>
              <w:rPr>
                <w:rFonts w:ascii="Calibri" w:hAnsi="Calibri"/>
                <w:b/>
                <w:i w:val="0"/>
                <w:color w:val="212121"/>
                <w:sz w:val="19"/>
              </w:rPr>
              <w:t>Hypercyanotic ('tet') spells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deep cyanosis, irritability and hyperpnoea, classically in tetralogy of Fallot; may cause syncope.</w:t>
            </w:r>
          </w:p>
        </w:tc>
      </w:tr>
      <w:tr>
        <w:trPr>
          <w:cantSplit/>
        </w:trPr>
        <w:tc>
          <w:tcPr>
            <w:tcW w:type="dxa" w:w="2304"/>
            <w:vAlign w:val="top"/>
          </w:tcPr>
          <w:p>
            <w:pPr>
              <w:spacing w:after="40" w:before="0" w:line="259" w:lineRule="auto"/>
            </w:pPr>
            <w:r>
              <w:rPr>
                <w:rFonts w:ascii="Calibri" w:hAnsi="Calibri"/>
                <w:b/>
                <w:i w:val="0"/>
                <w:color w:val="212121"/>
                <w:sz w:val="19"/>
              </w:rPr>
              <w:t>Squatting after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Older children with tetralogy of Fallot squat to raise systemic resistance and improve pulmonary flow.</w:t>
            </w:r>
          </w:p>
        </w:tc>
      </w:tr>
      <w:tr>
        <w:trPr>
          <w:cantSplit/>
        </w:trPr>
        <w:tc>
          <w:tcPr>
            <w:tcW w:type="dxa" w:w="2304"/>
            <w:vAlign w:val="top"/>
          </w:tcPr>
          <w:p>
            <w:pPr>
              <w:spacing w:after="40" w:before="0" w:line="259" w:lineRule="auto"/>
            </w:pPr>
            <w:r>
              <w:rPr>
                <w:rFonts w:ascii="Calibri" w:hAnsi="Calibri"/>
                <w:b/>
                <w:i w:val="0"/>
                <w:color w:val="212121"/>
                <w:sz w:val="19"/>
              </w:rPr>
              <w:t>Palpitations / 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Arrhythmias and outflow obstruction can cause palpitations or fainting, especially in adolescents/adults.</w:t>
            </w:r>
          </w:p>
        </w:tc>
      </w:tr>
      <w:tr>
        <w:trPr>
          <w:cantSplit/>
        </w:trPr>
        <w:tc>
          <w:tcPr>
            <w:tcW w:type="dxa" w:w="2304"/>
            <w:vAlign w:val="top"/>
          </w:tcPr>
          <w:p>
            <w:pPr>
              <w:spacing w:after="40" w:before="0" w:line="259" w:lineRule="auto"/>
            </w:pPr>
            <w:r>
              <w:rPr>
                <w:rFonts w:ascii="Calibri" w:hAnsi="Calibri"/>
                <w:b/>
                <w:i w:val="0"/>
                <w:color w:val="212121"/>
                <w:sz w:val="19"/>
              </w:rPr>
              <w:t>Chest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in children; may occur with severe obstructive lesions or pulmonary hypertension.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Heart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Turbulent flow across a defect, valve or outflow tract; timing and site help localise the lesion.</w:t>
            </w:r>
          </w:p>
        </w:tc>
      </w:tr>
      <w:tr>
        <w:trPr>
          <w:cantSplit/>
        </w:trPr>
        <w:tc>
          <w:tcPr>
            <w:tcW w:type="dxa" w:w="3456"/>
            <w:vAlign w:val="top"/>
          </w:tcPr>
          <w:p>
            <w:pPr>
              <w:spacing w:after="40" w:before="0" w:line="259" w:lineRule="auto"/>
            </w:pPr>
            <w:r>
              <w:rPr>
                <w:rFonts w:ascii="Calibri" w:hAnsi="Calibri"/>
                <w:b/>
                <w:i w:val="0"/>
                <w:color w:val="212121"/>
                <w:sz w:val="19"/>
              </w:rPr>
              <w:t>Central cyanosis ± clubbing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 SpO2 with bluish mucous membranes; digital clubbing develops with chronic hypoxaemia.</w:t>
            </w:r>
          </w:p>
        </w:tc>
      </w:tr>
      <w:tr>
        <w:trPr>
          <w:cantSplit/>
        </w:trPr>
        <w:tc>
          <w:tcPr>
            <w:tcW w:type="dxa" w:w="3456"/>
            <w:vAlign w:val="top"/>
          </w:tcPr>
          <w:p>
            <w:pPr>
              <w:spacing w:after="40" w:before="0" w:line="259" w:lineRule="auto"/>
            </w:pPr>
            <w:r>
              <w:rPr>
                <w:rFonts w:ascii="Calibri" w:hAnsi="Calibri"/>
                <w:b/>
                <w:i w:val="0"/>
                <w:color w:val="212121"/>
                <w:sz w:val="19"/>
              </w:rPr>
              <w:t>Tachypnoea &amp; subcostal recession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pulmonary over-circulation / heart failure in infants.</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early and reliable sign of congestive heart failure in infants with CHD.</w:t>
            </w:r>
          </w:p>
        </w:tc>
      </w:tr>
      <w:tr>
        <w:trPr>
          <w:cantSplit/>
        </w:trPr>
        <w:tc>
          <w:tcPr>
            <w:tcW w:type="dxa" w:w="3456"/>
            <w:vAlign w:val="top"/>
          </w:tcPr>
          <w:p>
            <w:pPr>
              <w:spacing w:after="40" w:before="0" w:line="259" w:lineRule="auto"/>
            </w:pPr>
            <w:r>
              <w:rPr>
                <w:rFonts w:ascii="Calibri" w:hAnsi="Calibri"/>
                <w:b/>
                <w:i w:val="0"/>
                <w:color w:val="212121"/>
                <w:sz w:val="19"/>
              </w:rPr>
              <w:t>Failure to thrive (low weight-for-age)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faltering growth reflecting cardiac workload and poor intake.</w:t>
            </w:r>
          </w:p>
        </w:tc>
      </w:tr>
      <w:tr>
        <w:trPr>
          <w:cantSplit/>
        </w:trPr>
        <w:tc>
          <w:tcPr>
            <w:tcW w:type="dxa" w:w="3456"/>
            <w:vAlign w:val="top"/>
          </w:tcPr>
          <w:p>
            <w:pPr>
              <w:spacing w:after="40" w:before="0" w:line="259" w:lineRule="auto"/>
            </w:pPr>
            <w:r>
              <w:rPr>
                <w:rFonts w:ascii="Calibri" w:hAnsi="Calibri"/>
                <w:b/>
                <w:i w:val="0"/>
                <w:color w:val="212121"/>
                <w:sz w:val="19"/>
              </w:rPr>
              <w:t>Abnormal second heart 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Fixed wide splitting (ASD), single/loud S2 (pulmonary hypertension, TGA) point to specific lesions.</w:t>
            </w:r>
          </w:p>
        </w:tc>
      </w:tr>
      <w:tr>
        <w:trPr>
          <w:cantSplit/>
        </w:trPr>
        <w:tc>
          <w:tcPr>
            <w:tcW w:type="dxa" w:w="3456"/>
            <w:vAlign w:val="top"/>
          </w:tcPr>
          <w:p>
            <w:pPr>
              <w:spacing w:after="40" w:before="0" w:line="259" w:lineRule="auto"/>
            </w:pPr>
            <w:r>
              <w:rPr>
                <w:rFonts w:ascii="Calibri" w:hAnsi="Calibri"/>
                <w:b/>
                <w:i w:val="0"/>
                <w:color w:val="212121"/>
                <w:sz w:val="19"/>
              </w:rPr>
              <w:t>Precordial heave / thrill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ventricular pressure overload or high-velocity turbulent flow.</w:t>
            </w:r>
          </w:p>
        </w:tc>
      </w:tr>
      <w:tr>
        <w:trPr>
          <w:cantSplit/>
        </w:trPr>
        <w:tc>
          <w:tcPr>
            <w:tcW w:type="dxa" w:w="3456"/>
            <w:vAlign w:val="top"/>
          </w:tcPr>
          <w:p>
            <w:pPr>
              <w:spacing w:after="40" w:before="0" w:line="259" w:lineRule="auto"/>
            </w:pPr>
            <w:r>
              <w:rPr>
                <w:rFonts w:ascii="Calibri" w:hAnsi="Calibri"/>
                <w:b/>
                <w:i w:val="0"/>
                <w:color w:val="212121"/>
                <w:sz w:val="19"/>
              </w:rPr>
              <w:t>Radio-femoral delay / weak femoral pulses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Diminished, delayed lower-limb pulses with upper-limb hypertension suggest coarctation of the aorta.</w:t>
            </w:r>
          </w:p>
        </w:tc>
      </w:tr>
      <w:tr>
        <w:trPr>
          <w:cantSplit/>
        </w:trPr>
        <w:tc>
          <w:tcPr>
            <w:tcW w:type="dxa" w:w="3456"/>
            <w:vAlign w:val="top"/>
          </w:tcPr>
          <w:p>
            <w:pPr>
              <w:spacing w:after="40" w:before="0" w:line="259" w:lineRule="auto"/>
            </w:pPr>
            <w:r>
              <w:rPr>
                <w:rFonts w:ascii="Calibri" w:hAnsi="Calibri"/>
                <w:b/>
                <w:i w:val="0"/>
                <w:color w:val="212121"/>
                <w:sz w:val="19"/>
              </w:rPr>
              <w:t>Differential 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Pink upper and blue lower body (or vice versa) indicates ductal shunting, e.g., coarctation with PDA or PPHN.</w:t>
            </w:r>
          </w:p>
        </w:tc>
      </w:tr>
      <w:tr>
        <w:trPr>
          <w:cantSplit/>
        </w:trPr>
        <w:tc>
          <w:tcPr>
            <w:tcW w:type="dxa" w:w="3456"/>
            <w:vAlign w:val="top"/>
          </w:tcPr>
          <w:p>
            <w:pPr>
              <w:spacing w:after="40" w:before="0" w:line="259" w:lineRule="auto"/>
            </w:pPr>
            <w:r>
              <w:rPr>
                <w:rFonts w:ascii="Calibri" w:hAnsi="Calibri"/>
                <w:b/>
                <w:i w:val="0"/>
                <w:color w:val="212121"/>
                <w:sz w:val="19"/>
              </w:rPr>
              <w:t>Raised jugular venous pressure &amp; 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in older children/adults with advanced right heart failure or Eisenmenger physiology.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Congestive heart failure from volume/pressure overload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hypoxaemia and cyanosis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Hypercyanotic ('tet') spells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over-circulation and recurrent chest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Failure to thrive</w:t>
            </w:r>
          </w:p>
        </w:tc>
        <w:tc>
          <w:tcPr>
            <w:tcW w:type="dxa" w:w="2980"/>
            <w:vAlign w:val="top"/>
          </w:tcPr>
          <w:p>
            <w:pPr>
              <w:spacing w:after="40" w:before="0" w:line="259" w:lineRule="auto"/>
            </w:pPr>
            <w:r>
              <w:rPr>
                <w:rFonts w:ascii="Calibri" w:hAnsi="Calibri"/>
                <w:b w:val="0"/>
                <w:i w:val="0"/>
                <w:color w:val="212121"/>
                <w:sz w:val="19"/>
              </w:rPr>
              <w:t>Direct haemodynamic consequences of the structural defect, dominant in infancy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arterial hypertension (from long-standing left-to-right shunts)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Infective endocarditis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Arrhythmias and conduction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erythrocytosis and hyperviscosity (cyanotic CHD)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Paradoxical embolism, stroke and brain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Neurodevelopmental delay</w:t>
            </w:r>
          </w:p>
        </w:tc>
        <w:tc>
          <w:tcPr>
            <w:tcW w:type="dxa" w:w="2980"/>
            <w:vAlign w:val="top"/>
          </w:tcPr>
          <w:p>
            <w:pPr>
              <w:spacing w:after="40" w:before="0" w:line="259" w:lineRule="auto"/>
            </w:pPr>
            <w:r>
              <w:rPr>
                <w:rFonts w:ascii="Calibri" w:hAnsi="Calibri"/>
                <w:b w:val="0"/>
                <w:i w:val="0"/>
                <w:color w:val="212121"/>
                <w:sz w:val="19"/>
              </w:rPr>
              <w:t>Arise over time from chronic abnormal flow, hypoxaemia and repeated interventions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Eisenmenger syndrome (inoperable pulmonary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(end-stage)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heart or heart-lung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reduced survival</w:t>
            </w:r>
          </w:p>
        </w:tc>
        <w:tc>
          <w:tcPr>
            <w:tcW w:type="dxa" w:w="2980"/>
            <w:vAlign w:val="top"/>
          </w:tcPr>
          <w:p>
            <w:pPr>
              <w:spacing w:after="40" w:before="0" w:line="259" w:lineRule="auto"/>
            </w:pPr>
            <w:r>
              <w:rPr>
                <w:rFonts w:ascii="Calibri" w:hAnsi="Calibri"/>
                <w:b w:val="0"/>
                <w:i w:val="0"/>
                <w:color w:val="212121"/>
                <w:sz w:val="19"/>
              </w:rPr>
              <w:t>Irreversible end-stage outcomes of untreated or late-treated CHD, prominent where care is delayed</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22q11.2 deletion (DiGeorge)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Neural-crest defect producing conotruncal lesions (TOF, IAA, truncus, VSD).</w:t>
            </w:r>
          </w:p>
          <w:p>
            <w:pPr>
              <w:spacing w:after="40" w:before="0" w:line="259" w:lineRule="auto"/>
            </w:pPr>
            <w:r>
              <w:rPr>
                <w:rFonts w:ascii="Calibri" w:hAnsi="Calibri"/>
                <w:b/>
                <w:i w:val="0"/>
                <w:color w:val="212121"/>
                <w:sz w:val="19"/>
              </w:rPr>
              <w:t>CHD in ~64%</w:t>
            </w:r>
          </w:p>
        </w:tc>
      </w:tr>
      <w:tr>
        <w:trPr>
          <w:cantSplit/>
        </w:trPr>
        <w:tc>
          <w:tcPr>
            <w:tcW w:type="dxa" w:w="2232"/>
            <w:vAlign w:val="top"/>
          </w:tcPr>
          <w:p>
            <w:pPr>
              <w:spacing w:after="40" w:before="0" w:line="259" w:lineRule="auto"/>
            </w:pPr>
            <w:r>
              <w:rPr>
                <w:rFonts w:ascii="Calibri" w:hAnsi="Calibri"/>
                <w:b/>
                <w:i w:val="0"/>
                <w:color w:val="212121"/>
                <w:sz w:val="19"/>
              </w:rPr>
              <w:t>Down syndrome (Trisomy 21)</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Commonest chromosomal cause of CHD; atrioventricular septal defect predominates.</w:t>
            </w:r>
          </w:p>
          <w:p>
            <w:pPr>
              <w:spacing w:after="40" w:before="0" w:line="259" w:lineRule="auto"/>
            </w:pPr>
            <w:r>
              <w:rPr>
                <w:rFonts w:ascii="Calibri" w:hAnsi="Calibri"/>
                <w:b/>
                <w:i w:val="0"/>
                <w:color w:val="212121"/>
                <w:sz w:val="19"/>
              </w:rPr>
              <w:t>~40-50% have CHD</w:t>
            </w:r>
          </w:p>
        </w:tc>
      </w:tr>
      <w:tr>
        <w:trPr>
          <w:cantSplit/>
        </w:trPr>
        <w:tc>
          <w:tcPr>
            <w:tcW w:type="dxa" w:w="2232"/>
            <w:vAlign w:val="top"/>
          </w:tcPr>
          <w:p>
            <w:pPr>
              <w:spacing w:after="40" w:before="0" w:line="259" w:lineRule="auto"/>
            </w:pPr>
            <w:r>
              <w:rPr>
                <w:rFonts w:ascii="Calibri" w:hAnsi="Calibri"/>
                <w:b/>
                <w:i w:val="0"/>
                <w:color w:val="212121"/>
                <w:sz w:val="19"/>
              </w:rPr>
              <w:t>Congenital rubella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First-trimester rubella causing PDA, pulmonary stenosis and septal defects.</w:t>
            </w:r>
          </w:p>
          <w:p>
            <w:pPr>
              <w:spacing w:after="40" w:before="0" w:line="259" w:lineRule="auto"/>
            </w:pPr>
            <w:r>
              <w:rPr>
                <w:rFonts w:ascii="Calibri" w:hAnsi="Calibri"/>
                <w:b/>
                <w:i w:val="0"/>
                <w:color w:val="212121"/>
                <w:sz w:val="19"/>
              </w:rPr>
              <w:t>Cardiac lesions in the majority of CRS infants</w:t>
            </w:r>
          </w:p>
        </w:tc>
      </w:tr>
      <w:tr>
        <w:trPr>
          <w:cantSplit/>
        </w:trPr>
        <w:tc>
          <w:tcPr>
            <w:tcW w:type="dxa" w:w="2232"/>
            <w:vAlign w:val="top"/>
          </w:tcPr>
          <w:p>
            <w:pPr>
              <w:spacing w:after="40" w:before="0" w:line="259" w:lineRule="auto"/>
            </w:pPr>
            <w:r>
              <w:rPr>
                <w:rFonts w:ascii="Calibri" w:hAnsi="Calibri"/>
                <w:b/>
                <w:i w:val="0"/>
                <w:color w:val="212121"/>
                <w:sz w:val="19"/>
              </w:rPr>
              <w:t>Pulmonary arterial hypertension / Eisenmenger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Complicates unrepaired or late-repaired left-to-right shunts; a major cause of inoperability in India.</w:t>
            </w:r>
          </w:p>
        </w:tc>
      </w:tr>
      <w:tr>
        <w:trPr>
          <w:cantSplit/>
        </w:trPr>
        <w:tc>
          <w:tcPr>
            <w:tcW w:type="dxa" w:w="2232"/>
            <w:vAlign w:val="top"/>
          </w:tcPr>
          <w:p>
            <w:pPr>
              <w:spacing w:after="40" w:before="0" w:line="259" w:lineRule="auto"/>
            </w:pPr>
            <w:r>
              <w:rPr>
                <w:rFonts w:ascii="Calibri" w:hAnsi="Calibri"/>
                <w:b/>
                <w:i w:val="0"/>
                <w:color w:val="212121"/>
                <w:sz w:val="19"/>
              </w:rPr>
              <w:t>Infective endocarditis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Turbulent flow and prosthetic material predispose to endocardial infection; prophylaxis in high-risk lesions.</w:t>
            </w:r>
          </w:p>
        </w:tc>
      </w:tr>
      <w:tr>
        <w:trPr>
          <w:cantSplit/>
        </w:trPr>
        <w:tc>
          <w:tcPr>
            <w:tcW w:type="dxa" w:w="2232"/>
            <w:vAlign w:val="top"/>
          </w:tcPr>
          <w:p>
            <w:pPr>
              <w:spacing w:after="40" w:before="0" w:line="259" w:lineRule="auto"/>
            </w:pPr>
            <w:r>
              <w:rPr>
                <w:rFonts w:ascii="Calibri" w:hAnsi="Calibri"/>
                <w:b/>
                <w:i w:val="0"/>
                <w:color w:val="212121"/>
                <w:sz w:val="19"/>
              </w:rPr>
              <w:t>Failure to thrive / malnutrition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metabolic demand and heart failure impair growth, especially in large shunts.</w:t>
            </w:r>
          </w:p>
        </w:tc>
      </w:tr>
      <w:tr>
        <w:trPr>
          <w:cantSplit/>
        </w:trPr>
        <w:tc>
          <w:tcPr>
            <w:tcW w:type="dxa" w:w="2232"/>
            <w:vAlign w:val="top"/>
          </w:tcPr>
          <w:p>
            <w:pPr>
              <w:spacing w:after="40" w:before="0" w:line="259" w:lineRule="auto"/>
            </w:pPr>
            <w:r>
              <w:rPr>
                <w:rFonts w:ascii="Calibri" w:hAnsi="Calibri"/>
                <w:b/>
                <w:i w:val="0"/>
                <w:color w:val="212121"/>
                <w:sz w:val="19"/>
              </w:rPr>
              <w:t>Recurrent respiratory tract infections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Increased pulmonary blood flow predisposes to repeated lower-respiratory infections.</w:t>
            </w:r>
          </w:p>
        </w:tc>
      </w:tr>
      <w:tr>
        <w:trPr>
          <w:cantSplit/>
        </w:trPr>
        <w:tc>
          <w:tcPr>
            <w:tcW w:type="dxa" w:w="2232"/>
            <w:vAlign w:val="top"/>
          </w:tcPr>
          <w:p>
            <w:pPr>
              <w:spacing w:after="40" w:before="0" w:line="259" w:lineRule="auto"/>
            </w:pPr>
            <w:r>
              <w:rPr>
                <w:rFonts w:ascii="Calibri" w:hAnsi="Calibri"/>
                <w:b/>
                <w:i w:val="0"/>
                <w:color w:val="212121"/>
                <w:sz w:val="19"/>
              </w:rPr>
              <w:t>Arrhythmias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Atrial and ventricular arrhythmias and heart block arise from the lesion, surgery or maternal-SLE (congenital complete heart block).</w:t>
            </w:r>
          </w:p>
        </w:tc>
      </w:tr>
      <w:tr>
        <w:trPr>
          <w:cantSplit/>
        </w:trPr>
        <w:tc>
          <w:tcPr>
            <w:tcW w:type="dxa" w:w="2232"/>
            <w:vAlign w:val="top"/>
          </w:tcPr>
          <w:p>
            <w:pPr>
              <w:spacing w:after="40" w:before="0" w:line="259" w:lineRule="auto"/>
            </w:pPr>
            <w:r>
              <w:rPr>
                <w:rFonts w:ascii="Calibri" w:hAnsi="Calibri"/>
                <w:b/>
                <w:i w:val="0"/>
                <w:color w:val="212121"/>
                <w:sz w:val="19"/>
              </w:rPr>
              <w:t>Neurodevelopmental delay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hypoxaemia, low output and peri-operative events affect cognitive and motor development.</w:t>
            </w:r>
          </w:p>
        </w:tc>
      </w:tr>
      <w:tr>
        <w:trPr>
          <w:cantSplit/>
        </w:trPr>
        <w:tc>
          <w:tcPr>
            <w:tcW w:type="dxa" w:w="2232"/>
            <w:vAlign w:val="top"/>
          </w:tcPr>
          <w:p>
            <w:pPr>
              <w:spacing w:after="40" w:before="0" w:line="259" w:lineRule="auto"/>
            </w:pPr>
            <w:r>
              <w:rPr>
                <w:rFonts w:ascii="Calibri" w:hAnsi="Calibri"/>
                <w:b/>
                <w:i w:val="0"/>
                <w:color w:val="212121"/>
                <w:sz w:val="19"/>
              </w:rPr>
              <w:t>Turner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45,X karyotype associated with bicuspid aortic valve and coarctation of the aorta.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all couples planning pregnancy to start folic acid (≥ 400 µg/day) before conception and continue through the first trimester.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rubella immunity before pregnancy (MR/MMR vaccination of non-immune women of child-bearing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tight pre-pregnancy glycaemic control (HbA1c &lt; 6.5%) in women with diabetes and optimise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avoidance of alcohol, tobacco (active and passive) and known teratogenic drugs (valproate, lithium, retinoids, ACE inhibitors) around conception.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genetic counselling and fetal echocardiography for consanguineous couples and those with a family history or a previously affected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universal newborn pulse-oximetry screening to detect critical CHD before collapse.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Consanguineous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prior CHD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Newborns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Individualise activity advice to the specific lesion and repair status in consultation with a cardiologist.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light-to-moderate aerobic activity for most repaired and mild lesions to support fitness and mental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intense isometric and competitive sport in significant unrepaired lesions, severe obstruction, pulmonary hypertension or aortopathy.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suitable post-operative patients in structured cardiac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maternal weight and physical activity before conception to lower offspring CHD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adults with CHD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GUCH/ACHD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high-calorie, nutrient-dense feeds (fortified breast milk or formula) for infants with CHD and failure to thrive.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a paediatric dietitian to meet the increased energy needs of heart failure and to monitor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iron to maintain effective erythropoiesis, particularly in cyanotic CHD (avoid relative iron-deficiency).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periconceptional folate-rich diets plus supplementation and iodine sufficiency in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fluid and salt sensibly in heart failure as advised by the cardiology team.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CHD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Cyanotic CHD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Failure-to-thrive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planning pregnancy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adequate, good-quality maternal sleep and screen/treat obstructive sleep apnoea before and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infants and children with significant CHD for sleep-disordered breathing and hypoxaemia.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age-appropriate sleep routines to aid recovery and growth after cardiac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CHD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smoking cessation before and throughout pregnancy, with structured cessation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exposure at home and work - passive smoke carries a higher pooled CHD risk than active smoking.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entirely smoke-free for children living with CHD to reduce respiratory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CHD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Recommend total alcohol abstinence from the periconceptional period and throughout pregnancy - there is no known safe amount.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support women with alcohol use disorder who are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education that prenatal alcohol causes septal and conotruncal defects within the fetal alcohol spectrum.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alcohol use disorder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and clear communication to parents coping with a CHD diagnosis and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adolescents and adults with CHD for anxiety and depression and refer for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Facilitate structured paediatric-to-adult (GUCH/ACHD) transition of care to maintain follow-up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families to patient support groups and social/financial assistance schemes.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adults with CHD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GUCH/ACHD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7625516/" TargetMode="External"/><Relationship Id="rId10" Type="http://schemas.openxmlformats.org/officeDocument/2006/relationships/hyperlink" Target="https://link.springer.com/article/10.1007/s10995-022-03538-8" TargetMode="External"/><Relationship Id="rId11" Type="http://schemas.openxmlformats.org/officeDocument/2006/relationships/hyperlink" Target="https://link.springer.com/article/10.1007/s12055-024-01771-0" TargetMode="External"/><Relationship Id="rId12" Type="http://schemas.openxmlformats.org/officeDocument/2006/relationships/hyperlink" Target="https://link.springer.com/article/10.1007/s13312-018-1445-7" TargetMode="External"/><Relationship Id="rId13" Type="http://schemas.openxmlformats.org/officeDocument/2006/relationships/hyperlink" Target="https://journals.plos.org/plosone/article?id=10.1371/journal.pone.0010286" TargetMode="External"/><Relationship Id="rId14" Type="http://schemas.openxmlformats.org/officeDocument/2006/relationships/hyperlink" Target="https://link.springer.com/article/10.1007/s11684-025-1170-2" TargetMode="External"/><Relationship Id="rId15" Type="http://schemas.openxmlformats.org/officeDocument/2006/relationships/hyperlink" Target="https://www.ahajournals.org/doi/10.1161/JAHA.121.022175" TargetMode="External"/><Relationship Id="rId16" Type="http://schemas.openxmlformats.org/officeDocument/2006/relationships/hyperlink" Target="https://www.nature.com/articles/srep08506" TargetMode="External"/><Relationship Id="rId17" Type="http://schemas.openxmlformats.org/officeDocument/2006/relationships/hyperlink" Target="https://academic.oup.com/aje/article/186/1/118/3823275" TargetMode="External"/><Relationship Id="rId18" Type="http://schemas.openxmlformats.org/officeDocument/2006/relationships/hyperlink" Target="https://austinpublishinggroup.com/genetics-genomic-research/fulltext/ajggr-v3-id1016.php" TargetMode="External"/><Relationship Id="rId19" Type="http://schemas.openxmlformats.org/officeDocument/2006/relationships/hyperlink" Target="https://www.ncbi.nlm.nih.gov/books/NBK1523/" TargetMode="External"/><Relationship Id="rId20" Type="http://schemas.openxmlformats.org/officeDocument/2006/relationships/hyperlink" Target="https://pubmed.ncbi.nlm.nih.gov/36306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