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Noise-Induced Hearing Loss</w:t>
      </w:r>
    </w:p>
    <w:p>
      <w:pPr>
        <w:spacing w:before="0" w:after="160"/>
      </w:pPr>
      <w:r>
        <w:rPr>
          <w:rFonts w:ascii="Calibri" w:hAnsi="Calibri"/>
          <w:b/>
          <w:i w:val="0"/>
          <w:color w:val="212121"/>
          <w:sz w:val="22"/>
        </w:rPr>
        <w:t xml:space="preserve">AKA </w:t>
      </w:r>
      <w:r>
        <w:rPr>
          <w:rFonts w:ascii="Calibri" w:hAnsi="Calibri"/>
          <w:b w:val="0"/>
          <w:i w:val="0"/>
          <w:color w:val="212121"/>
          <w:sz w:val="22"/>
        </w:rPr>
        <w:t>i.e., NIHL, Occupational deafness / Industrial deafness, Acoustic trauma (acute form), Sociocusis (environmental/urban-noise loss)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Noise-induced hearing loss (NIHL) is a preventable, usually bilateral and symmetrical sensorineural hearing loss caused by exposure to hazardous sound — either a single very intense impulse (acoustic trauma) or, far more commonly, repeated/prolonged exposure to loud noise. It results from mechanical and metabolic (oxidative-stress) injury to the outer hair cells of the cochlea, beginning in the high frequencies and characteristically producing a “notch” at 3,000–6,000 Hz (usually maximal at 4,000 Hz) with partial recovery at 8,000 Hz. Early loss may be reversible (temporary threshold shift), but continued exposure causes permanent, irreversible loss (permanent threshold shift). It is one of the most common and most preventable occupational and environmental diseases worldwide.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Noise is a leading preventable cause of hearing loss in India. The WHO estimated that about 63 million Indians (≈6.3% of the population) have significant hearing impairment, and hearing disability is among the commonest disabilities recorded in national data. The occupational burden is especially heavy: a systematic review and meta-analysis of Indian noise-exposed workers found a pooled NIHL prevalence of about 49% (22 studies), and India carries one of the highest occupational-NIHL disability burdens globally (age-standardised DALY rate ≈96 per 100,000 in 2021). Urban noise compounds the problem — in Surat, 78% of traffic policemen had measurable hearing loss at junctions where noise reached 84–87 dB(A) — while, globally, WHO estimates that over 1 billion young people aged 12–35 are at risk from unsafe recreational listening.</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NIHL is a clinical and audiological diagnosis based on a compatible history of hazardous noise exposure together with a characteristic audiogram, after other causes are excluded. It is confirmed on the basis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pure-tone audiometry (the gold standard) showing sensorineural hearing loss with a characteristic bilateral high-frequency “notch” at 3,000–6,000 Hz, usually maximal at 4,000 Hz, with relative recovery (“recovery notch”) at 8,000 Hz;</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absent air–bone gap with a type A tympanogram, confirming a sensorineural rather than conductive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documented history of hazardous noise exposure — occupational (≥ 85 dB(A) as an 8-hour time-weighted average), recreational, or acoustic trauma — that is temporally consistent with the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bilateral and broadly symmetrical pattern; marked asymmetry or unilateral loss suggests firearm use or a non-noise cause and warrants MRI to exclude retrocochlear pathology;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significant threshold shift on serial audiograms relative to baseline — e.g. an OSHA Standard Threshold Shift (STS) of ≥ 10 dB average worsening at 2, 3 and 4 kHz, or a NIOSH significant shift of ≥ 15 dB at any test frequency confirmed on retest;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grading by pure-tone average (0.5, 1, 2, 4 kHz, better ear) using WHO cut-offs: normal &lt; 20 dB HL, mild 20–34, moderate 35–49, moderately severe 50–64, severe 65–79, profound 80–94 and complete/total ≥ 95 dB HL (disabling loss = ≥ 35 dB in the better 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other causes (presbycusis, ototoxic drugs, genetic, infective or Meniere disease) by history, otoscopy and, where indicated, imaging.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NIHL is described both by the mechanism/onset of injury and by the severity and setting of exposure:</w:t>
      </w:r>
    </w:p>
    <w:p>
      <w:pPr>
        <w:spacing w:before="0" w:after="80"/>
      </w:pPr>
      <w:r>
        <w:rPr>
          <w:rFonts w:ascii="Calibri" w:hAnsi="Calibri"/>
          <w:b w:val="0"/>
          <w:i w:val="0"/>
          <w:color w:val="212121"/>
          <w:sz w:val="21"/>
        </w:rPr>
        <w:t>(1) Acoustic trauma — sudden, often permanent hearing loss (frequently with tinnitus, and sometimes vertigo or tympanic-membrane rupture) caused by a single high-intensity impulse such as a blast, gunshot or firecracker, typically above ~130–140 dB peak;</w:t>
      </w:r>
    </w:p>
    <w:p>
      <w:pPr>
        <w:spacing w:before="0" w:after="80"/>
      </w:pPr>
      <w:r>
        <w:rPr>
          <w:rFonts w:ascii="Calibri" w:hAnsi="Calibri"/>
          <w:b w:val="0"/>
          <w:i w:val="0"/>
          <w:color w:val="212121"/>
          <w:sz w:val="21"/>
        </w:rPr>
        <w:t>(2) Temporary threshold shift (TTS) — a reversible elevation of hearing thresholds with muffled hearing and/or tinnitus after noise exposure, recovering over hours to days once away from noise; it reflects reversible outer-hair-cell dysfunction and is a warning of vulnerability;</w:t>
      </w:r>
    </w:p>
    <w:p>
      <w:pPr>
        <w:spacing w:before="0" w:after="80"/>
      </w:pPr>
      <w:r>
        <w:rPr>
          <w:rFonts w:ascii="Calibri" w:hAnsi="Calibri"/>
          <w:b w:val="0"/>
          <w:i w:val="0"/>
          <w:color w:val="212121"/>
          <w:sz w:val="21"/>
        </w:rPr>
        <w:t>(3) Permanent threshold shift (PTS) / chronic NIHL — cumulative, irreversible sensorineural loss from repeated or prolonged exposure, beginning as a 3–6 kHz notch and later spreading to the speech frequencies as hair cells are progressively and permanently lost;</w:t>
      </w:r>
    </w:p>
    <w:p>
      <w:pPr>
        <w:spacing w:before="0" w:after="80"/>
      </w:pPr>
      <w:r>
        <w:rPr>
          <w:rFonts w:ascii="Calibri" w:hAnsi="Calibri"/>
          <w:b w:val="0"/>
          <w:i w:val="0"/>
          <w:color w:val="212121"/>
          <w:sz w:val="21"/>
        </w:rPr>
        <w:t>(4) By exposure setting — occupational (industry, mining, construction, military, aviation), recreational/leisure (personal listening devices, concerts, clubs, gyms) and environmental or urban “sociocusis” (traffic, honking, loudspeakers, generators and festival noise).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occupational noise: Prolonged exposure at or above 85 dB(A) over an 8-hour shift (factories, foundries, textiles/power looms, mining, construction, aviation) is the commonest cause; risk rises steeply with intensity and duration, with a 3-dB exchange rate halving the safe exposure time for every additional 3 dB.</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Acoustic trauma (impulse noise): A single very loud event — explosion, gunfire or firecracker — above roughly 130–140 dB can instantly and permanently damage the cochlea and rupture the eardrum.</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Recreational / leisure noise: High-volume personal listening devices, concerts, clubs and gyms deliver damaging sound doses and are the basis of rising hearing loss among young people.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Environmental / urban noise (sociocusis): Sustained traffic noise, honking, loudspeakers, generators and festival noise in Indian cities frequently exceed statutory limits and cause cumulative injury in residents and outdoor workers.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Ototoxic co-exposure: Concurrent aminoglycosides, platinum chemotherapy (cisplatin), industrial solvents (toluene, styrene) and tobacco smoke potentiate cochlear damage from noise.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Individual susceptibility: Genetic and oxidative-stress-related variation, older age, diabetes, hypertension and pre-existing hearing loss increase vulnerability for a given noise dose (“tough” versus “tender” ears).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 30–59 yrs)</w:t>
            </w:r>
          </w:p>
        </w:tc>
        <w:tc>
          <w:tcPr>
            <w:tcW w:type="dxa" w:w="4276"/>
            <w:vAlign w:val="top"/>
          </w:tcPr>
          <w:p>
            <w:pPr>
              <w:spacing w:after="60" w:line="259" w:lineRule="auto"/>
            </w:pPr>
            <w:r>
              <w:rPr>
                <w:rFonts w:ascii="Calibri" w:hAnsi="Calibri"/>
                <w:b w:val="0"/>
                <w:i w:val="0"/>
                <w:color w:val="212121"/>
                <w:sz w:val="19"/>
              </w:rPr>
              <w:t>Working-age adults carry the bulk of noise-attributable loss because NIHL accumulates over years of occupational and environmental exposure; outer hair cells are progressively and permanently lost with cumulative dose.</w:t>
            </w:r>
          </w:p>
          <w:p>
            <w:pPr>
              <w:spacing w:after="40" w:before="60" w:line="259" w:lineRule="auto"/>
            </w:pPr>
            <w:r>
              <w:rPr>
                <w:rFonts w:ascii="Calibri" w:hAnsi="Calibri"/>
                <w:b w:val="0"/>
                <w:i w:val="0"/>
                <w:color w:val="212121"/>
                <w:sz w:val="19"/>
              </w:rPr>
              <w:t>Global occupational-NIHL disability burden is concentrated in adults aged 45–74 years and peaks at 60–64 years, reflecting decades of cumulative workplace exposure.</w:t>
            </w:r>
          </w:p>
          <w:p>
            <w:pPr>
              <w:spacing w:after="40" w:line="252" w:lineRule="auto"/>
            </w:pPr>
            <w:hyperlink r:id="rId9">
              <w:r>
                <w:rPr>
                  <w:rFonts w:ascii="Calibri" w:hAnsi="Calibri" w:cs="Calibri"/>
                  <w:sz w:val="18"/>
                  <w:color w:val="1155CC"/>
                  <w:u w:val="single"/>
                </w:rPr>
                <w:t xml:space="preserve">frontiersin.org — global burden of occupational NIHL 1990–2021</w:t>
              </w:r>
            </w:hyperlink>
          </w:p>
          <w:p>
            <w:pPr>
              <w:spacing w:before="60" w:after="40"/>
            </w:pPr>
            <w:r>
              <w:rPr>
                <w:rFonts w:ascii="Calibri" w:hAnsi="Calibri"/>
                <w:b w:val="0"/>
                <w:i w:val="0"/>
                <w:color w:val="5A5A5A"/>
                <w:sz w:val="18"/>
              </w:rPr>
              <w:t>#occupational  #cumulativedose  #4kHznotch  #workingage  #preventable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yrs)</w:t>
            </w:r>
          </w:p>
        </w:tc>
        <w:tc>
          <w:tcPr>
            <w:tcW w:type="dxa" w:w="4276"/>
            <w:vAlign w:val="top"/>
          </w:tcPr>
          <w:p>
            <w:pPr>
              <w:spacing w:after="60" w:line="259" w:lineRule="auto"/>
            </w:pPr>
            <w:r>
              <w:rPr>
                <w:rFonts w:ascii="Calibri" w:hAnsi="Calibri"/>
                <w:b w:val="0"/>
                <w:i w:val="0"/>
                <w:color w:val="212121"/>
                <w:sz w:val="19"/>
              </w:rPr>
              <w:t>In older adults, a lifetime of noise damage compounds age-related presbycusis, accelerating high-frequency loss and worsening speech understanding.</w:t>
            </w:r>
          </w:p>
          <w:p>
            <w:pPr>
              <w:spacing w:after="40" w:before="60" w:line="259" w:lineRule="auto"/>
            </w:pPr>
            <w:r>
              <w:rPr>
                <w:rFonts w:ascii="Calibri" w:hAnsi="Calibri"/>
                <w:b w:val="0"/>
                <w:i w:val="0"/>
                <w:color w:val="212121"/>
                <w:sz w:val="19"/>
              </w:rPr>
              <w:t>In Indian community studies, hearing loss affects roughly 54–72% of adults over 60 years, to which lifelong noise exposure is a major contributor.</w:t>
            </w:r>
          </w:p>
          <w:p>
            <w:pPr>
              <w:spacing w:after="40" w:line="252" w:lineRule="auto"/>
            </w:pPr>
            <w:hyperlink r:id="rId10">
              <w:r>
                <w:rPr>
                  <w:rFonts w:ascii="Calibri" w:hAnsi="Calibri" w:cs="Calibri"/>
                  <w:sz w:val="18"/>
                  <w:color w:val="1155CC"/>
                  <w:u w:val="single"/>
                </w:rPr>
                <w:t xml:space="preserve">nmji.in — prevalence of hearing loss in India</w:t>
              </w:r>
            </w:hyperlink>
          </w:p>
          <w:p>
            <w:pPr>
              <w:spacing w:before="60" w:after="40"/>
            </w:pPr>
            <w:r>
              <w:rPr>
                <w:rFonts w:ascii="Calibri" w:hAnsi="Calibri"/>
                <w:b w:val="0"/>
                <w:i w:val="0"/>
                <w:color w:val="5A5A5A"/>
                <w:sz w:val="18"/>
              </w:rPr>
              <w:t>#elderly  #presbycusisoverlap  #cumulative  #highfrequency  #ageing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predominate in high-noise occupations (mining, heavy industry, defence, driving) and have higher recreational and firearm exposure and smoking rates, giving earlier and steeper NIHL.</w:t>
            </w:r>
          </w:p>
          <w:p>
            <w:pPr>
              <w:spacing w:after="40" w:before="60" w:line="259" w:lineRule="auto"/>
            </w:pPr>
            <w:r>
              <w:rPr>
                <w:rFonts w:ascii="Calibri" w:hAnsi="Calibri"/>
                <w:b w:val="0"/>
                <w:i w:val="0"/>
                <w:color w:val="212121"/>
                <w:sz w:val="19"/>
              </w:rPr>
              <w:t>The age-standardised occupational-NIHL disability rate is about 113 per 100,000 in men versus 70 in women — roughly a 1.6:1 male predominance.</w:t>
            </w:r>
          </w:p>
          <w:p>
            <w:pPr>
              <w:spacing w:after="40" w:line="252" w:lineRule="auto"/>
            </w:pPr>
            <w:hyperlink r:id="rId9">
              <w:r>
                <w:rPr>
                  <w:rFonts w:ascii="Calibri" w:hAnsi="Calibri" w:cs="Calibri"/>
                  <w:sz w:val="18"/>
                  <w:color w:val="1155CC"/>
                  <w:u w:val="single"/>
                </w:rPr>
                <w:t xml:space="preserve">frontiersin.org — global burden of occupational NIHL (sex differences)</w:t>
              </w:r>
            </w:hyperlink>
          </w:p>
          <w:p>
            <w:pPr>
              <w:spacing w:before="60" w:after="40"/>
            </w:pPr>
            <w:r>
              <w:rPr>
                <w:rFonts w:ascii="Calibri" w:hAnsi="Calibri"/>
                <w:b w:val="0"/>
                <w:i w:val="0"/>
                <w:color w:val="5A5A5A"/>
                <w:sz w:val="18"/>
              </w:rPr>
              <w:t>#male  #occupational  #firearms  #smoking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Informal / unorganised-sector workers</w:t>
            </w:r>
          </w:p>
        </w:tc>
        <w:tc>
          <w:tcPr>
            <w:tcW w:type="dxa" w:w="4276"/>
            <w:vAlign w:val="top"/>
          </w:tcPr>
          <w:p>
            <w:pPr>
              <w:spacing w:after="60" w:line="259" w:lineRule="auto"/>
            </w:pPr>
            <w:r>
              <w:rPr>
                <w:rFonts w:ascii="Calibri" w:hAnsi="Calibri"/>
                <w:b w:val="0"/>
                <w:i w:val="0"/>
                <w:color w:val="212121"/>
                <w:sz w:val="19"/>
              </w:rPr>
              <w:t>Workers in India's large unorganised sector — small foundries, power looms, roadside workshops, stone crushing — rarely receive hearing protection, audiometric monitoring or a hearing-conservation programme.</w:t>
            </w:r>
          </w:p>
          <w:p>
            <w:pPr>
              <w:spacing w:after="40" w:before="60" w:line="259" w:lineRule="auto"/>
            </w:pPr>
            <w:r>
              <w:rPr>
                <w:rFonts w:ascii="Calibri" w:hAnsi="Calibri"/>
                <w:b w:val="0"/>
                <w:i w:val="0"/>
                <w:color w:val="212121"/>
                <w:sz w:val="19"/>
              </w:rPr>
              <w:t>In the Indian occupational-NIHL meta-analysis, most studies reported that few workers, especially in informal sectors, used any auditory protection.</w:t>
            </w:r>
          </w:p>
          <w:p>
            <w:pPr>
              <w:spacing w:after="40" w:line="252" w:lineRule="auto"/>
            </w:pPr>
            <w:hyperlink r:id="rId11">
              <w:r>
                <w:rPr>
                  <w:rFonts w:ascii="Calibri" w:hAnsi="Calibri" w:cs="Calibri"/>
                  <w:sz w:val="18"/>
                  <w:color w:val="1155CC"/>
                  <w:u w:val="single"/>
                </w:rPr>
                <w:t xml:space="preserve">doaj.org — occupational NIHL in India (systematic review &amp; meta-analysis)</w:t>
              </w:r>
            </w:hyperlink>
          </w:p>
          <w:p>
            <w:pPr>
              <w:spacing w:before="60" w:after="40"/>
            </w:pPr>
            <w:r>
              <w:rPr>
                <w:rFonts w:ascii="Calibri" w:hAnsi="Calibri"/>
                <w:b w:val="0"/>
                <w:i w:val="0"/>
                <w:color w:val="5A5A5A"/>
                <w:sz w:val="18"/>
              </w:rPr>
              <w:t>#informalsector  #nohearingprotection  #unorganised  #accessgap  #preventable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Urban metro residents (Delhi, Mumbai, etc.)</w:t>
            </w:r>
          </w:p>
        </w:tc>
        <w:tc>
          <w:tcPr>
            <w:tcW w:type="dxa" w:w="4276"/>
            <w:vAlign w:val="top"/>
          </w:tcPr>
          <w:p>
            <w:pPr>
              <w:spacing w:after="60" w:line="259" w:lineRule="auto"/>
            </w:pPr>
            <w:r>
              <w:rPr>
                <w:rFonts w:ascii="Calibri" w:hAnsi="Calibri"/>
                <w:b w:val="0"/>
                <w:i w:val="0"/>
                <w:color w:val="212121"/>
                <w:sz w:val="19"/>
              </w:rPr>
              <w:t>Residents and outdoor workers in Indian metros face chronic traffic noise and incessant honking (sociocusis) that frequently breach ambient-noise limits, especially at busy junctions.</w:t>
            </w:r>
          </w:p>
          <w:p>
            <w:pPr>
              <w:spacing w:after="40" w:before="60" w:line="259" w:lineRule="auto"/>
            </w:pPr>
            <w:r>
              <w:rPr>
                <w:rFonts w:ascii="Calibri" w:hAnsi="Calibri"/>
                <w:b w:val="0"/>
                <w:i w:val="0"/>
                <w:color w:val="212121"/>
                <w:sz w:val="19"/>
              </w:rPr>
              <w:t>At Surat traffic junctions, measured peak road-traffic noise reached 84.6–87.3 dB(A), well above the 65 dB(A) daytime commercial-zone limit.</w:t>
            </w:r>
          </w:p>
          <w:p>
            <w:pPr>
              <w:spacing w:after="40" w:line="252" w:lineRule="auto"/>
            </w:pPr>
            <w:hyperlink r:id="rId12">
              <w:r>
                <w:rPr>
                  <w:rFonts w:ascii="Calibri" w:hAnsi="Calibri" w:cs="Calibri"/>
                  <w:sz w:val="18"/>
                  <w:color w:val="1155CC"/>
                  <w:u w:val="single"/>
                </w:rPr>
                <w:t xml:space="preserve">link.springer.com — road-traffic noise &amp; traffic police, Surat</w:t>
              </w:r>
            </w:hyperlink>
          </w:p>
          <w:p>
            <w:pPr>
              <w:spacing w:before="60" w:after="40"/>
            </w:pPr>
            <w:r>
              <w:rPr>
                <w:rFonts w:ascii="Calibri" w:hAnsi="Calibri"/>
                <w:b w:val="0"/>
                <w:i w:val="0"/>
                <w:color w:val="5A5A5A"/>
                <w:sz w:val="18"/>
              </w:rPr>
              <w:t>#urbannoise  #trafficnoise  #honking  #sociocusis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region</w:t>
            </w:r>
          </w:p>
        </w:tc>
        <w:tc>
          <w:tcPr>
            <w:tcW w:type="dxa" w:w="2160"/>
            <w:vAlign w:val="top"/>
          </w:tcPr>
          <w:p>
            <w:pPr>
              <w:spacing w:after="40" w:before="0" w:line="259" w:lineRule="auto"/>
            </w:pPr>
            <w:r>
              <w:rPr>
                <w:rFonts w:ascii="Calibri" w:hAnsi="Calibri"/>
                <w:b w:val="0"/>
                <w:i w:val="0"/>
                <w:color w:val="212121"/>
                <w:sz w:val="19"/>
              </w:rPr>
              <w:t>Industrial belts, mining &amp; textile hubs</w:t>
            </w:r>
          </w:p>
        </w:tc>
        <w:tc>
          <w:tcPr>
            <w:tcW w:type="dxa" w:w="4276"/>
            <w:vAlign w:val="top"/>
          </w:tcPr>
          <w:p>
            <w:pPr>
              <w:spacing w:after="60" w:line="259" w:lineRule="auto"/>
            </w:pPr>
            <w:r>
              <w:rPr>
                <w:rFonts w:ascii="Calibri" w:hAnsi="Calibri"/>
                <w:b w:val="0"/>
                <w:i w:val="0"/>
                <w:color w:val="212121"/>
                <w:sz w:val="19"/>
              </w:rPr>
              <w:t>Steel towns, mining regions (e.g. Gujarat), and textile/power-loom hubs (e.g. Tamil Nadu) expose very large workforces to hazardous machinery noise, often continuously and without controls.</w:t>
            </w:r>
          </w:p>
          <w:p>
            <w:pPr>
              <w:spacing w:after="40" w:before="60" w:line="259" w:lineRule="auto"/>
            </w:pPr>
            <w:r>
              <w:rPr>
                <w:rFonts w:ascii="Calibri" w:hAnsi="Calibri"/>
                <w:b w:val="0"/>
                <w:i w:val="0"/>
                <w:color w:val="212121"/>
                <w:sz w:val="19"/>
              </w:rPr>
              <w:t>The pooled prevalence of occupational NIHL among noise-exposed Indian workers is about 49% (95% CI 22–76%) across 22 studies.</w:t>
            </w:r>
          </w:p>
          <w:p>
            <w:pPr>
              <w:spacing w:after="40" w:line="252" w:lineRule="auto"/>
            </w:pPr>
            <w:hyperlink r:id="rId11">
              <w:r>
                <w:rPr>
                  <w:rFonts w:ascii="Calibri" w:hAnsi="Calibri" w:cs="Calibri"/>
                  <w:sz w:val="18"/>
                  <w:color w:val="1155CC"/>
                  <w:u w:val="single"/>
                </w:rPr>
                <w:t xml:space="preserve">doaj.org — occupational NIHL in India (pooled prevalence)</w:t>
              </w:r>
            </w:hyperlink>
          </w:p>
          <w:p>
            <w:pPr>
              <w:spacing w:before="60" w:after="40"/>
            </w:pPr>
            <w:r>
              <w:rPr>
                <w:rFonts w:ascii="Calibri" w:hAnsi="Calibri"/>
                <w:b w:val="0"/>
                <w:i w:val="0"/>
                <w:color w:val="5A5A5A"/>
                <w:sz w:val="18"/>
              </w:rPr>
              <w:t>#industrial  #mining  #textile  #powerloom  #machinerynoise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noise exposure</w:t>
            </w:r>
          </w:p>
        </w:tc>
        <w:tc>
          <w:tcPr>
            <w:tcW w:type="dxa" w:w="2160"/>
            <w:vAlign w:val="top"/>
          </w:tcPr>
          <w:p>
            <w:pPr>
              <w:spacing w:after="40" w:before="0" w:line="259" w:lineRule="auto"/>
            </w:pPr>
            <w:r>
              <w:rPr>
                <w:rFonts w:ascii="Calibri" w:hAnsi="Calibri"/>
                <w:b w:val="0"/>
                <w:i w:val="0"/>
                <w:color w:val="212121"/>
                <w:sz w:val="19"/>
              </w:rPr>
              <w:t>Traffic police, drivers &amp; factory/loom workers</w:t>
            </w:r>
          </w:p>
        </w:tc>
        <w:tc>
          <w:tcPr>
            <w:tcW w:type="dxa" w:w="4276"/>
            <w:vAlign w:val="top"/>
          </w:tcPr>
          <w:p>
            <w:pPr>
              <w:spacing w:after="60" w:line="259" w:lineRule="auto"/>
            </w:pPr>
            <w:r>
              <w:rPr>
                <w:rFonts w:ascii="Calibri" w:hAnsi="Calibri"/>
                <w:b w:val="0"/>
                <w:i w:val="0"/>
                <w:color w:val="212121"/>
                <w:sz w:val="19"/>
              </w:rPr>
              <w:t>These groups spend full shifts in high ambient noise without protection, producing early bilateral high-frequency loss that worsens with years of service.</w:t>
            </w:r>
          </w:p>
          <w:p>
            <w:pPr>
              <w:spacing w:after="40" w:before="60" w:line="259" w:lineRule="auto"/>
            </w:pPr>
            <w:r>
              <w:rPr>
                <w:rFonts w:ascii="Calibri" w:hAnsi="Calibri"/>
                <w:b w:val="0"/>
                <w:i w:val="0"/>
                <w:color w:val="212121"/>
                <w:sz w:val="19"/>
              </w:rPr>
              <w:t>78% of Surat traffic policemen (36 of 46) had measurable hearing impairment, and 75% of those affected had bilateral involvement.</w:t>
            </w:r>
          </w:p>
          <w:p>
            <w:pPr>
              <w:spacing w:after="40" w:line="252" w:lineRule="auto"/>
            </w:pPr>
            <w:hyperlink r:id="rId12">
              <w:r>
                <w:rPr>
                  <w:rFonts w:ascii="Calibri" w:hAnsi="Calibri" w:cs="Calibri"/>
                  <w:sz w:val="18"/>
                  <w:color w:val="1155CC"/>
                  <w:u w:val="single"/>
                </w:rPr>
                <w:t xml:space="preserve">link.springer.com — hearing impairment among traffic police, Surat</w:t>
              </w:r>
            </w:hyperlink>
          </w:p>
          <w:p>
            <w:pPr>
              <w:spacing w:before="60" w:after="40"/>
            </w:pPr>
            <w:r>
              <w:rPr>
                <w:rFonts w:ascii="Calibri" w:hAnsi="Calibri"/>
                <w:b w:val="0"/>
                <w:i w:val="0"/>
                <w:color w:val="5A5A5A"/>
                <w:sz w:val="18"/>
              </w:rPr>
              <w:t>#trafficpolice  #drivers  #loomworkers  #bilateral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Recreational noise</w:t>
            </w:r>
          </w:p>
        </w:tc>
        <w:tc>
          <w:tcPr>
            <w:tcW w:type="dxa" w:w="2160"/>
            <w:vAlign w:val="top"/>
          </w:tcPr>
          <w:p>
            <w:pPr>
              <w:spacing w:after="40" w:before="0" w:line="259" w:lineRule="auto"/>
            </w:pPr>
            <w:r>
              <w:rPr>
                <w:rFonts w:ascii="Calibri" w:hAnsi="Calibri"/>
                <w:b w:val="0"/>
                <w:i w:val="0"/>
                <w:color w:val="212121"/>
                <w:sz w:val="19"/>
              </w:rPr>
              <w:t>Youth &amp; personal-audio-device users</w:t>
            </w:r>
          </w:p>
        </w:tc>
        <w:tc>
          <w:tcPr>
            <w:tcW w:type="dxa" w:w="4276"/>
            <w:vAlign w:val="top"/>
          </w:tcPr>
          <w:p>
            <w:pPr>
              <w:spacing w:after="60" w:line="259" w:lineRule="auto"/>
            </w:pPr>
            <w:r>
              <w:rPr>
                <w:rFonts w:ascii="Calibri" w:hAnsi="Calibri"/>
                <w:b w:val="0"/>
                <w:i w:val="0"/>
                <w:color w:val="212121"/>
                <w:sz w:val="19"/>
              </w:rPr>
              <w:t>High-volume earphones, concerts, clubs and gaming deliver damaging sound doses; the WHO “60-60” safe-listening rule is widely exceeded, and users raise volume further to overcome background noise.</w:t>
            </w:r>
          </w:p>
          <w:p>
            <w:pPr>
              <w:spacing w:after="40" w:before="60" w:line="259" w:lineRule="auto"/>
            </w:pPr>
            <w:r>
              <w:rPr>
                <w:rFonts w:ascii="Calibri" w:hAnsi="Calibri"/>
                <w:b w:val="0"/>
                <w:i w:val="0"/>
                <w:color w:val="212121"/>
                <w:sz w:val="19"/>
              </w:rPr>
              <w:t>WHO estimates that over 1 billion young people aged 12–35 worldwide are at risk of permanent, avoidable hearing loss from unsafe recreational listening.</w:t>
            </w:r>
          </w:p>
          <w:p>
            <w:pPr>
              <w:spacing w:after="40" w:line="252" w:lineRule="auto"/>
            </w:pPr>
            <w:hyperlink r:id="rId13">
              <w:r>
                <w:rPr>
                  <w:rFonts w:ascii="Calibri" w:hAnsi="Calibri" w:cs="Calibri"/>
                  <w:sz w:val="18"/>
                  <w:color w:val="1155CC"/>
                  <w:u w:val="single"/>
                </w:rPr>
                <w:t xml:space="preserve">who.int — deafness and hearing loss</w:t>
              </w:r>
            </w:hyperlink>
          </w:p>
          <w:p>
            <w:pPr>
              <w:spacing w:before="60" w:after="40"/>
            </w:pPr>
            <w:r>
              <w:rPr>
                <w:rFonts w:ascii="Calibri" w:hAnsi="Calibri"/>
                <w:b w:val="0"/>
                <w:i w:val="0"/>
                <w:color w:val="5A5A5A"/>
                <w:sz w:val="18"/>
              </w:rPr>
              <w:t>#earphones  #unsafelistening  #youth  #6060rule  #recreationalnoise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long-term smokers</w:t>
            </w:r>
          </w:p>
        </w:tc>
        <w:tc>
          <w:tcPr>
            <w:tcW w:type="dxa" w:w="4276"/>
            <w:vAlign w:val="top"/>
          </w:tcPr>
          <w:p>
            <w:pPr>
              <w:spacing w:after="60" w:line="259" w:lineRule="auto"/>
            </w:pPr>
            <w:r>
              <w:rPr>
                <w:rFonts w:ascii="Calibri" w:hAnsi="Calibri"/>
                <w:b w:val="0"/>
                <w:i w:val="0"/>
                <w:color w:val="212121"/>
                <w:sz w:val="19"/>
              </w:rPr>
              <w:t>Tobacco smoke impairs cochlear microcirculation and adds oxidative stress, acting synergistically with noise to accelerate high-frequency loss.</w:t>
            </w:r>
          </w:p>
          <w:p>
            <w:pPr>
              <w:spacing w:after="40" w:before="60" w:line="259" w:lineRule="auto"/>
            </w:pPr>
            <w:r>
              <w:rPr>
                <w:rFonts w:ascii="Calibri" w:hAnsi="Calibri"/>
                <w:b w:val="0"/>
                <w:i w:val="0"/>
                <w:color w:val="212121"/>
                <w:sz w:val="19"/>
              </w:rPr>
              <w:t>Current smokers have about twice the odds of NIHL (pooled OR 2.05, 95% CI 1.71–2.46), with a dose-dependent rise up to ~5-fold around 15 pack-years.</w:t>
            </w:r>
          </w:p>
          <w:p>
            <w:pPr>
              <w:spacing w:after="40" w:line="252" w:lineRule="auto"/>
            </w:pPr>
            <w:hyperlink r:id="rId14">
              <w:r>
                <w:rPr>
                  <w:rFonts w:ascii="Calibri" w:hAnsi="Calibri" w:cs="Calibri"/>
                  <w:sz w:val="18"/>
                  <w:color w:val="1155CC"/>
                  <w:u w:val="single"/>
                </w:rPr>
                <w:t xml:space="preserve">mdpi.com — smoking &amp; NIHL meta-analysis</w:t>
              </w:r>
            </w:hyperlink>
          </w:p>
          <w:p>
            <w:pPr>
              <w:spacing w:before="60" w:after="40"/>
            </w:pPr>
            <w:r>
              <w:rPr>
                <w:rFonts w:ascii="Calibri" w:hAnsi="Calibri"/>
                <w:b w:val="0"/>
                <w:i w:val="0"/>
                <w:color w:val="5A5A5A"/>
                <w:sz w:val="18"/>
              </w:rPr>
              <w:t>#smoking  #tobacco  #oxidativestress  #synergistic  #dosedependent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drinkers</w:t>
            </w:r>
          </w:p>
        </w:tc>
        <w:tc>
          <w:tcPr>
            <w:tcW w:type="dxa" w:w="4276"/>
            <w:vAlign w:val="top"/>
          </w:tcPr>
          <w:p>
            <w:pPr>
              <w:spacing w:after="60" w:line="259" w:lineRule="auto"/>
            </w:pPr>
            <w:r>
              <w:rPr>
                <w:rFonts w:ascii="Calibri" w:hAnsi="Calibri"/>
                <w:b w:val="0"/>
                <w:i w:val="0"/>
                <w:color w:val="212121"/>
                <w:sz w:val="19"/>
              </w:rPr>
              <w:t>Heavy alcohol use is weakly and inconsistently associated with poorer hearing, possibly via vascular and neurotoxic effects, and often clusters with loud recreational settings and smoking rather than being a primary driver.</w:t>
            </w:r>
          </w:p>
          <w:p>
            <w:pPr>
              <w:spacing w:after="40" w:before="60" w:line="259" w:lineRule="auto"/>
            </w:pPr>
            <w:r>
              <w:rPr>
                <w:rFonts w:ascii="Calibri" w:hAnsi="Calibri"/>
                <w:b w:val="0"/>
                <w:i w:val="0"/>
                <w:color w:val="212121"/>
                <w:sz w:val="19"/>
              </w:rPr>
              <w:t>Heavy alcohol intake shows a modest, inconsistent association with hearing loss and frequently coexists with noisy nightlife exposure and tobacco use.</w:t>
            </w:r>
          </w:p>
          <w:p>
            <w:pPr>
              <w:spacing w:before="60" w:after="40"/>
            </w:pPr>
            <w:r>
              <w:rPr>
                <w:rFonts w:ascii="Calibri" w:hAnsi="Calibri"/>
                <w:b w:val="0"/>
                <w:i w:val="0"/>
                <w:color w:val="5A5A5A"/>
                <w:sz w:val="18"/>
              </w:rPr>
              <w:t>#alcohol  #neurotoxic  #nightlife  #lifestyle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Low-antioxidant, high-saturated-fat diets</w:t>
            </w:r>
          </w:p>
        </w:tc>
        <w:tc>
          <w:tcPr>
            <w:tcW w:type="dxa" w:w="4276"/>
            <w:vAlign w:val="top"/>
          </w:tcPr>
          <w:p>
            <w:pPr>
              <w:spacing w:after="60" w:line="259" w:lineRule="auto"/>
            </w:pPr>
            <w:r>
              <w:rPr>
                <w:rFonts w:ascii="Calibri" w:hAnsi="Calibri"/>
                <w:b w:val="0"/>
                <w:i w:val="0"/>
                <w:color w:val="212121"/>
                <w:sz w:val="19"/>
              </w:rPr>
              <w:t>Diets poor in antioxidant vitamins (A, C, E), magnesium, folate and omega-3 fatty acids may worsen noise-induced oxidative cochlear damage, whereas adequate intake is associated with lower hearing-loss risk and better resilience to noise.</w:t>
            </w:r>
          </w:p>
          <w:p>
            <w:pPr>
              <w:spacing w:after="40" w:before="60" w:line="259" w:lineRule="auto"/>
            </w:pPr>
            <w:r>
              <w:rPr>
                <w:rFonts w:ascii="Calibri" w:hAnsi="Calibri"/>
                <w:b w:val="0"/>
                <w:i w:val="0"/>
                <w:color w:val="212121"/>
                <w:sz w:val="19"/>
              </w:rPr>
              <w:t>Antioxidant-, magnesium- and omega-3-rich diets are associated with better hearing, while high saturated-fat, low-antioxidant patterns are linked to worse thresholds.</w:t>
            </w:r>
          </w:p>
          <w:p>
            <w:pPr>
              <w:spacing w:before="60" w:after="40"/>
            </w:pPr>
            <w:r>
              <w:rPr>
                <w:rFonts w:ascii="Calibri" w:hAnsi="Calibri"/>
                <w:b w:val="0"/>
                <w:i w:val="0"/>
                <w:color w:val="5A5A5A"/>
                <w:sz w:val="18"/>
              </w:rPr>
              <w:t>#antioxidants  #magnesium  #omega3  #oxidativestress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&amp; obese adults</w:t>
            </w:r>
          </w:p>
        </w:tc>
        <w:tc>
          <w:tcPr>
            <w:tcW w:type="dxa" w:w="4276"/>
            <w:vAlign w:val="top"/>
          </w:tcPr>
          <w:p>
            <w:pPr>
              <w:spacing w:after="60" w:line="259" w:lineRule="auto"/>
            </w:pPr>
            <w:r>
              <w:rPr>
                <w:rFonts w:ascii="Calibri" w:hAnsi="Calibri"/>
                <w:b w:val="0"/>
                <w:i w:val="0"/>
                <w:color w:val="212121"/>
                <w:sz w:val="19"/>
              </w:rPr>
              <w:t>Obesity-related microvascular disease, dyslipidaemia and chronic inflammation compromise the cochlea's end-arterial blood supply, and are associated with higher hearing-loss prevalence and reduced resilience to noise.</w:t>
            </w:r>
          </w:p>
          <w:p>
            <w:pPr>
              <w:spacing w:after="40" w:before="60" w:line="259" w:lineRule="auto"/>
            </w:pPr>
            <w:r>
              <w:rPr>
                <w:rFonts w:ascii="Calibri" w:hAnsi="Calibri"/>
                <w:b w:val="0"/>
                <w:i w:val="0"/>
                <w:color w:val="212121"/>
                <w:sz w:val="19"/>
              </w:rPr>
              <w:t>Central obesity and the metabolic syndrome impair cochlear microcirculation and are associated with poorer hearing thresholds.</w:t>
            </w:r>
          </w:p>
          <w:p>
            <w:pPr>
              <w:spacing w:before="60" w:after="40"/>
            </w:pPr>
            <w:r>
              <w:rPr>
                <w:rFonts w:ascii="Calibri" w:hAnsi="Calibri"/>
                <w:b w:val="0"/>
                <w:i w:val="0"/>
                <w:color w:val="5A5A5A"/>
                <w:sz w:val="18"/>
              </w:rPr>
              <w:t>#obesity  #metabolicsyndrome  #microcirculation  #dyslipidaemia  #comorbidity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susceptibility</w:t>
            </w:r>
          </w:p>
        </w:tc>
        <w:tc>
          <w:tcPr>
            <w:tcW w:type="dxa" w:w="2160"/>
            <w:vAlign w:val="top"/>
          </w:tcPr>
          <w:p>
            <w:pPr>
              <w:spacing w:after="40" w:before="0" w:line="259" w:lineRule="auto"/>
            </w:pPr>
            <w:r>
              <w:rPr>
                <w:rFonts w:ascii="Calibri" w:hAnsi="Calibri"/>
                <w:b w:val="0"/>
                <w:i w:val="0"/>
                <w:color w:val="212121"/>
                <w:sz w:val="19"/>
              </w:rPr>
              <w:t>Individuals with familial noise sensitivity</w:t>
            </w:r>
          </w:p>
        </w:tc>
        <w:tc>
          <w:tcPr>
            <w:tcW w:type="dxa" w:w="4276"/>
            <w:vAlign w:val="top"/>
          </w:tcPr>
          <w:p>
            <w:pPr>
              <w:spacing w:after="60" w:line="259" w:lineRule="auto"/>
            </w:pPr>
            <w:r>
              <w:rPr>
                <w:rFonts w:ascii="Calibri" w:hAnsi="Calibri"/>
                <w:b w:val="0"/>
                <w:i w:val="0"/>
                <w:color w:val="212121"/>
                <w:sz w:val="19"/>
              </w:rPr>
              <w:t>Inter-individual variation in oxidative-stress and cochlear-repair genes means some people sustain far more damage than others at the same noise dose; a family history of noise sensitivity or early hearing loss raises individual risk.</w:t>
            </w:r>
          </w:p>
          <w:p>
            <w:pPr>
              <w:spacing w:after="40" w:before="60" w:line="259" w:lineRule="auto"/>
            </w:pPr>
            <w:r>
              <w:rPr>
                <w:rFonts w:ascii="Calibri" w:hAnsi="Calibri"/>
                <w:b w:val="0"/>
                <w:i w:val="0"/>
                <w:color w:val="212121"/>
                <w:sz w:val="19"/>
              </w:rPr>
              <w:t>Susceptibility to NIHL is polygenic — variation in oxidative-stress-handling genes helps explain why individuals differ markedly in vulnerability to identical noise exposure.</w:t>
            </w:r>
          </w:p>
          <w:p>
            <w:pPr>
              <w:spacing w:before="60" w:after="40"/>
            </w:pPr>
            <w:r>
              <w:rPr>
                <w:rFonts w:ascii="Calibri" w:hAnsi="Calibri"/>
                <w:b w:val="0"/>
                <w:i w:val="0"/>
                <w:color w:val="5A5A5A"/>
                <w:sz w:val="18"/>
              </w:rPr>
              <w:t>#genetic  #oxidativestress  #susceptibility  #tenderears  #familyhistory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diabetes / prediabetes</w:t>
            </w:r>
          </w:p>
        </w:tc>
        <w:tc>
          <w:tcPr>
            <w:tcW w:type="dxa" w:w="4276"/>
            <w:vAlign w:val="top"/>
          </w:tcPr>
          <w:p>
            <w:pPr>
              <w:spacing w:after="60" w:line="259" w:lineRule="auto"/>
            </w:pPr>
            <w:r>
              <w:rPr>
                <w:rFonts w:ascii="Calibri" w:hAnsi="Calibri"/>
                <w:b w:val="0"/>
                <w:i w:val="0"/>
                <w:color w:val="212121"/>
                <w:sz w:val="19"/>
              </w:rPr>
              <w:t>Diabetic microangiopathy and neuropathy damage the cochlea and auditory nerve, adding to and compounding noise injury; even prediabetes carries excess risk.</w:t>
            </w:r>
          </w:p>
          <w:p>
            <w:pPr>
              <w:spacing w:after="40" w:before="60" w:line="259" w:lineRule="auto"/>
            </w:pPr>
            <w:r>
              <w:rPr>
                <w:rFonts w:ascii="Calibri" w:hAnsi="Calibri"/>
                <w:b w:val="0"/>
                <w:i w:val="0"/>
                <w:color w:val="212121"/>
                <w:sz w:val="19"/>
              </w:rPr>
              <w:t>Hearing loss is about twice as common in people with diabetes as in same-aged people without it, and even prediabetes carries a 30% higher rate of hearing loss.</w:t>
            </w:r>
          </w:p>
          <w:p>
            <w:pPr>
              <w:spacing w:after="40" w:line="252" w:lineRule="auto"/>
            </w:pPr>
            <w:hyperlink r:id="rId15">
              <w:r>
                <w:rPr>
                  <w:rFonts w:ascii="Calibri" w:hAnsi="Calibri" w:cs="Calibri"/>
                  <w:sz w:val="18"/>
                  <w:color w:val="1155CC"/>
                  <w:u w:val="single"/>
                </w:rPr>
                <w:t xml:space="preserve">cdc.gov — diabetes and hearing loss</w:t>
              </w:r>
            </w:hyperlink>
          </w:p>
          <w:p>
            <w:pPr>
              <w:spacing w:before="60" w:after="40"/>
            </w:pPr>
            <w:r>
              <w:rPr>
                <w:rFonts w:ascii="Calibri" w:hAnsi="Calibri"/>
                <w:b w:val="0"/>
                <w:i w:val="0"/>
                <w:color w:val="5A5A5A"/>
                <w:sz w:val="18"/>
              </w:rPr>
              <w:t>#diabetes  #microangiopathy  #prediabetes  #comorbidity  #cochlea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Adults with hypertension</w:t>
            </w:r>
          </w:p>
        </w:tc>
        <w:tc>
          <w:tcPr>
            <w:tcW w:type="dxa" w:w="4276"/>
            <w:vAlign w:val="top"/>
          </w:tcPr>
          <w:p>
            <w:pPr>
              <w:spacing w:after="60" w:line="259" w:lineRule="auto"/>
            </w:pPr>
            <w:r>
              <w:rPr>
                <w:rFonts w:ascii="Calibri" w:hAnsi="Calibri"/>
                <w:b w:val="0"/>
                <w:i w:val="0"/>
                <w:color w:val="212121"/>
                <w:sz w:val="19"/>
              </w:rPr>
              <w:t>Noise activates the sympathetic nervous and renin–angiotensin systems and oxidative stress, raising blood pressure, while hypertension in turn worsens cochlear perfusion — a bidirectional loop that accelerates sensorineural loss.</w:t>
            </w:r>
          </w:p>
          <w:p>
            <w:pPr>
              <w:spacing w:after="40" w:before="60" w:line="259" w:lineRule="auto"/>
            </w:pPr>
            <w:r>
              <w:rPr>
                <w:rFonts w:ascii="Calibri" w:hAnsi="Calibri"/>
                <w:b w:val="0"/>
                <w:i w:val="0"/>
                <w:color w:val="212121"/>
                <w:sz w:val="19"/>
              </w:rPr>
              <w:t>In the HYENA study, every 10 dB increase in night-time noise was associated with a 14% higher risk of hypertension.</w:t>
            </w:r>
          </w:p>
          <w:p>
            <w:pPr>
              <w:spacing w:after="40" w:line="252" w:lineRule="auto"/>
            </w:pPr>
            <w:hyperlink r:id="rId16">
              <w:r>
                <w:rPr>
                  <w:rFonts w:ascii="Calibri" w:hAnsi="Calibri" w:cs="Calibri"/>
                  <w:sz w:val="18"/>
                  <w:color w:val="1155CC"/>
                  <w:u w:val="single"/>
                </w:rPr>
                <w:t xml:space="preserve">frontiersin.org — NIHL and hypertension (pathophysiology)</w:t>
              </w:r>
            </w:hyperlink>
          </w:p>
          <w:p>
            <w:pPr>
              <w:spacing w:before="60" w:after="40"/>
            </w:pPr>
            <w:r>
              <w:rPr>
                <w:rFonts w:ascii="Calibri" w:hAnsi="Calibri"/>
                <w:b w:val="0"/>
                <w:i w:val="0"/>
                <w:color w:val="5A5A5A"/>
                <w:sz w:val="18"/>
              </w:rPr>
              <w:t>#hypertension  #sympathetic  #RAAS  #vascular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Pre-existing hearing loss / tinnitus</w:t>
            </w:r>
          </w:p>
        </w:tc>
        <w:tc>
          <w:tcPr>
            <w:tcW w:type="dxa" w:w="2160"/>
            <w:vAlign w:val="top"/>
          </w:tcPr>
          <w:p>
            <w:pPr>
              <w:spacing w:after="40" w:before="0" w:line="259" w:lineRule="auto"/>
            </w:pPr>
            <w:r>
              <w:rPr>
                <w:rFonts w:ascii="Calibri" w:hAnsi="Calibri"/>
                <w:b w:val="0"/>
                <w:i w:val="0"/>
                <w:color w:val="212121"/>
                <w:sz w:val="19"/>
              </w:rPr>
              <w:t>People with prior loss, tinnitus or presbycusis</w:t>
            </w:r>
          </w:p>
        </w:tc>
        <w:tc>
          <w:tcPr>
            <w:tcW w:type="dxa" w:w="4276"/>
            <w:vAlign w:val="top"/>
          </w:tcPr>
          <w:p>
            <w:pPr>
              <w:spacing w:after="60" w:line="259" w:lineRule="auto"/>
            </w:pPr>
            <w:r>
              <w:rPr>
                <w:rFonts w:ascii="Calibri" w:hAnsi="Calibri"/>
                <w:b w:val="0"/>
                <w:i w:val="0"/>
                <w:color w:val="212121"/>
                <w:sz w:val="19"/>
              </w:rPr>
              <w:t>An already-compromised cochlea has less reserve, so additional noise accelerates progression and typically worsens tinnitus; NIHL and presbycusis are additive.</w:t>
            </w:r>
          </w:p>
          <w:p>
            <w:pPr>
              <w:spacing w:after="40" w:before="60" w:line="259" w:lineRule="auto"/>
            </w:pPr>
            <w:r>
              <w:rPr>
                <w:rFonts w:ascii="Calibri" w:hAnsi="Calibri"/>
                <w:b w:val="0"/>
                <w:i w:val="0"/>
                <w:color w:val="212121"/>
                <w:sz w:val="19"/>
              </w:rPr>
              <w:t>Pre-existing sensorineural loss reduces cochlear reserve, so further noise exposure produces disproportionate, and often more symptomatic, deterioration.</w:t>
            </w:r>
          </w:p>
          <w:p>
            <w:pPr>
              <w:spacing w:before="60" w:after="40"/>
            </w:pPr>
            <w:r>
              <w:rPr>
                <w:rFonts w:ascii="Calibri" w:hAnsi="Calibri"/>
                <w:b w:val="0"/>
                <w:i w:val="0"/>
                <w:color w:val="5A5A5A"/>
                <w:sz w:val="18"/>
              </w:rPr>
              <w:t>#tinnitus  #priorloss  #additive  #reducedreserve  #progression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Cardiovascular fitness and a healthy weight support cochlear microcirculation and may modestly protect hearing, whereas inactivity clusters with the metabolic risk factors (diabetes, hypertension, obesity) that worsen noise damage; the direct effect is weak.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Antioxidant vitamins (A, C, E), magnesium, folate and omega-3 fatty acids are associated with reduced noise-induced and age-related hearing loss, while low-antioxidant, high-saturated-fat diets worsen the oxidative cochlear injury central to NIHL.</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Night-time noise fragments sleep and raises stress and blood pressure, an indirect harm; there is no strong direct link between sleep duration itself and the development of NIHL.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smoking roughly double the risk of NIHL (OR ~2.05) in a dose-dependent way and act synergistically with noise through cochlear hypoxia and oxidative stress.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shows a weak, inconsistent association with poorer hearing and often coexists with loud recreational settings; it is not an established primary cause of NIHL.</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bidirectional: NIHL and its tinnitus commonly cause anxiety, depression and social isolation, while noise itself is a chronic psychological stressor; low mood also reduces engagement with hearing protection and rehabilitation.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cochlear fluid and vascular health, but there is no direct evidence that water intake influences the development of NIHL.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Animal data suggest caffeine may impair recovery from temporary threshold shift, but human evidence is sparse and inconsistent, so any effect on NIHL is minor.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Ear hygiene matters mainly by avoiding cotton-bud trauma and by keeping the canal clear so hearing protectors fit and seal well; poorly maintained or dirty earplugs can cause canal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Noise exposure itself is the direct and essential cause of NIHL: chronic exposure ≥ 85 dB(A) over 8 hours and high-intensity impulse noise damage cochlear hair cells, with risk rising as intensity and duration increase (3-dB exchange rate). Ototoxic drugs and solvents potentiate the damage.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Occupational noise (8-h TWA)</w:t>
            </w:r>
          </w:p>
        </w:tc>
        <w:tc>
          <w:tcPr>
            <w:tcW w:type="dxa" w:w="1655"/>
            <w:vAlign w:val="top"/>
          </w:tcPr>
          <w:p>
            <w:pPr>
              <w:spacing w:after="40" w:before="0" w:line="259" w:lineRule="auto"/>
            </w:pPr>
            <w:r>
              <w:rPr>
                <w:rFonts w:ascii="Calibri" w:hAnsi="Calibri"/>
                <w:b w:val="0"/>
                <w:i w:val="0"/>
                <w:color w:val="212121"/>
                <w:sz w:val="19"/>
              </w:rPr>
              <w:t>Industrial, mining &amp; construction workers</w:t>
            </w:r>
          </w:p>
        </w:tc>
        <w:tc>
          <w:tcPr>
            <w:tcW w:type="dxa" w:w="1512"/>
            <w:vAlign w:val="top"/>
          </w:tcPr>
          <w:p>
            <w:pPr>
              <w:spacing w:after="40" w:before="0" w:line="259" w:lineRule="auto"/>
            </w:pPr>
            <w:r>
              <w:rPr>
                <w:rFonts w:ascii="Calibri" w:hAnsi="Calibri"/>
                <w:b w:val="0"/>
                <w:i w:val="0"/>
                <w:color w:val="212121"/>
                <w:sz w:val="19"/>
              </w:rPr>
              <w:t>&lt; 85 dB(A) over 8 hours</w:t>
            </w:r>
          </w:p>
        </w:tc>
        <w:tc>
          <w:tcPr>
            <w:tcW w:type="dxa" w:w="1512"/>
            <w:vAlign w:val="top"/>
          </w:tcPr>
          <w:p>
            <w:pPr>
              <w:spacing w:after="40" w:before="0" w:line="259" w:lineRule="auto"/>
            </w:pPr>
            <w:r>
              <w:rPr>
                <w:rFonts w:ascii="Calibri" w:hAnsi="Calibri"/>
                <w:b w:val="0"/>
                <w:i w:val="0"/>
                <w:color w:val="212121"/>
                <w:sz w:val="19"/>
              </w:rPr>
              <w:t>≥ 85 dB(A) (NIOSH REL); ≥ 90 dB(A) (OSHA PEL)</w:t>
            </w:r>
          </w:p>
        </w:tc>
        <w:tc>
          <w:tcPr>
            <w:tcW w:type="dxa" w:w="1468"/>
            <w:vAlign w:val="top"/>
          </w:tcPr>
          <w:p>
            <w:pPr>
              <w:spacing w:after="60" w:line="259" w:lineRule="auto"/>
            </w:pPr>
            <w:r>
              <w:rPr>
                <w:rFonts w:ascii="Calibri" w:hAnsi="Calibri"/>
                <w:b w:val="0"/>
                <w:i w:val="0"/>
                <w:color w:val="212121"/>
                <w:sz w:val="19"/>
              </w:rPr>
              <w:t>Each +3 dB(A) halves the safe exposure time (3-dB exchange rate); triggers a hearing-conservation programme</w:t>
            </w:r>
          </w:p>
          <w:p>
            <w:pPr>
              <w:spacing w:after="40" w:line="252" w:lineRule="auto"/>
            </w:pPr>
            <w:hyperlink r:id="rId17">
              <w:r>
                <w:rPr>
                  <w:rFonts w:ascii="Calibri" w:hAnsi="Calibri" w:cs="Calibri"/>
                  <w:sz w:val="18"/>
                  <w:color w:val="1155CC"/>
                  <w:u w:val="single"/>
                </w:rPr>
                <w:t xml:space="preserve">https://www.cdc.gov/niosh/noise/prevent/understand.html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Peak / impulse noise</w:t>
            </w:r>
          </w:p>
        </w:tc>
        <w:tc>
          <w:tcPr>
            <w:tcW w:type="dxa" w:w="1655"/>
            <w:vAlign w:val="top"/>
          </w:tcPr>
          <w:p>
            <w:pPr>
              <w:spacing w:after="40" w:before="0" w:line="259" w:lineRule="auto"/>
            </w:pPr>
            <w:r>
              <w:rPr>
                <w:rFonts w:ascii="Calibri" w:hAnsi="Calibri"/>
                <w:b w:val="0"/>
                <w:i w:val="0"/>
                <w:color w:val="212121"/>
                <w:sz w:val="19"/>
              </w:rPr>
              <w:t>Firearms, blasts, firecrackers</w:t>
            </w:r>
          </w:p>
        </w:tc>
        <w:tc>
          <w:tcPr>
            <w:tcW w:type="dxa" w:w="1512"/>
            <w:vAlign w:val="top"/>
          </w:tcPr>
          <w:p>
            <w:pPr>
              <w:spacing w:after="40" w:before="0" w:line="259" w:lineRule="auto"/>
            </w:pPr>
            <w:r>
              <w:rPr>
                <w:rFonts w:ascii="Calibri" w:hAnsi="Calibri"/>
                <w:b w:val="0"/>
                <w:i w:val="0"/>
                <w:color w:val="212121"/>
                <w:sz w:val="19"/>
              </w:rPr>
              <w:t>&lt; 120 dB peak</w:t>
            </w:r>
          </w:p>
        </w:tc>
        <w:tc>
          <w:tcPr>
            <w:tcW w:type="dxa" w:w="1512"/>
            <w:vAlign w:val="top"/>
          </w:tcPr>
          <w:p>
            <w:pPr>
              <w:spacing w:after="40" w:before="0" w:line="259" w:lineRule="auto"/>
            </w:pPr>
            <w:r>
              <w:rPr>
                <w:rFonts w:ascii="Calibri" w:hAnsi="Calibri"/>
                <w:b w:val="0"/>
                <w:i w:val="0"/>
                <w:color w:val="212121"/>
                <w:sz w:val="19"/>
              </w:rPr>
              <w:t>≥ 130–140 dB peak (acoustic trauma)</w:t>
            </w:r>
          </w:p>
        </w:tc>
        <w:tc>
          <w:tcPr>
            <w:tcW w:type="dxa" w:w="1468"/>
            <w:vAlign w:val="top"/>
          </w:tcPr>
          <w:p>
            <w:pPr>
              <w:spacing w:after="60" w:line="259" w:lineRule="auto"/>
            </w:pPr>
            <w:r>
              <w:rPr>
                <w:rFonts w:ascii="Calibri" w:hAnsi="Calibri"/>
                <w:b w:val="0"/>
                <w:i w:val="0"/>
                <w:color w:val="212121"/>
                <w:sz w:val="19"/>
              </w:rPr>
              <w:t>A single high-intensity impulse can cause instant, permanent loss and eardrum rupture</w:t>
            </w:r>
          </w:p>
          <w:p>
            <w:pPr>
              <w:spacing w:after="40" w:line="252" w:lineRule="auto"/>
            </w:pPr>
            <w:hyperlink r:id="rId18">
              <w:r>
                <w:rPr>
                  <w:rFonts w:ascii="Calibri" w:hAnsi="Calibri" w:cs="Calibri"/>
                  <w:sz w:val="18"/>
                  <w:color w:val="1155CC"/>
                  <w:u w:val="single"/>
                </w:rPr>
                <w:t xml:space="preserve">https://www.aafp.org/pubs/afp/issues/2000/0501/p2749.html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Recreational listening</w:t>
            </w:r>
          </w:p>
        </w:tc>
        <w:tc>
          <w:tcPr>
            <w:tcW w:type="dxa" w:w="1655"/>
            <w:vAlign w:val="top"/>
          </w:tcPr>
          <w:p>
            <w:pPr>
              <w:spacing w:after="40" w:before="0" w:line="259" w:lineRule="auto"/>
            </w:pPr>
            <w:r>
              <w:rPr>
                <w:rFonts w:ascii="Calibri" w:hAnsi="Calibri"/>
                <w:b w:val="0"/>
                <w:i w:val="0"/>
                <w:color w:val="212121"/>
                <w:sz w:val="19"/>
              </w:rPr>
              <w:t>PLD users, youth, concert-goers</w:t>
            </w:r>
          </w:p>
        </w:tc>
        <w:tc>
          <w:tcPr>
            <w:tcW w:type="dxa" w:w="1512"/>
            <w:vAlign w:val="top"/>
          </w:tcPr>
          <w:p>
            <w:pPr>
              <w:spacing w:after="40" w:before="0" w:line="259" w:lineRule="auto"/>
            </w:pPr>
            <w:r>
              <w:rPr>
                <w:rFonts w:ascii="Calibri" w:hAnsi="Calibri"/>
                <w:b w:val="0"/>
                <w:i w:val="0"/>
                <w:color w:val="212121"/>
                <w:sz w:val="19"/>
              </w:rPr>
              <w:t>≤ 80 dB / ≤ 40 h per week; “60-60” (≤ 60% volume, ≤ 60 min at a time)</w:t>
            </w:r>
          </w:p>
        </w:tc>
        <w:tc>
          <w:tcPr>
            <w:tcW w:type="dxa" w:w="1512"/>
            <w:vAlign w:val="top"/>
          </w:tcPr>
          <w:p>
            <w:pPr>
              <w:spacing w:after="40" w:before="0" w:line="259" w:lineRule="auto"/>
            </w:pPr>
            <w:r>
              <w:rPr>
                <w:rFonts w:ascii="Calibri" w:hAnsi="Calibri"/>
                <w:b w:val="0"/>
                <w:i w:val="0"/>
                <w:color w:val="212121"/>
                <w:sz w:val="19"/>
              </w:rPr>
              <w:t>&gt; 80 dB sustained or &gt; 40 h/week</w:t>
            </w:r>
          </w:p>
        </w:tc>
        <w:tc>
          <w:tcPr>
            <w:tcW w:type="dxa" w:w="1468"/>
            <w:vAlign w:val="top"/>
          </w:tcPr>
          <w:p>
            <w:pPr>
              <w:spacing w:after="60" w:line="259" w:lineRule="auto"/>
            </w:pPr>
            <w:r>
              <w:rPr>
                <w:rFonts w:ascii="Calibri" w:hAnsi="Calibri"/>
                <w:b w:val="0"/>
                <w:i w:val="0"/>
                <w:color w:val="212121"/>
                <w:sz w:val="19"/>
              </w:rPr>
              <w:t>Basis of rising youth NIHL; &gt; 1 billion young people at risk from unsafe listening</w:t>
            </w:r>
          </w:p>
          <w:p>
            <w:pPr>
              <w:spacing w:after="40" w:line="252" w:lineRule="auto"/>
            </w:pPr>
            <w:hyperlink r:id="rId13">
              <w:r>
                <w:rPr>
                  <w:rFonts w:ascii="Calibri" w:hAnsi="Calibri" w:cs="Calibri"/>
                  <w:sz w:val="18"/>
                  <w:color w:val="1155CC"/>
                  <w:u w:val="single"/>
                </w:rPr>
                <w:t xml:space="preserve">https://www.who.int/news-room/fact-sheets/detail/deafness-and-hearing-loss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Ambient / environmental noise</w:t>
            </w:r>
          </w:p>
        </w:tc>
        <w:tc>
          <w:tcPr>
            <w:tcW w:type="dxa" w:w="1655"/>
            <w:vAlign w:val="top"/>
          </w:tcPr>
          <w:p>
            <w:pPr>
              <w:spacing w:after="40" w:before="0" w:line="259" w:lineRule="auto"/>
            </w:pPr>
            <w:r>
              <w:rPr>
                <w:rFonts w:ascii="Calibri" w:hAnsi="Calibri"/>
                <w:b w:val="0"/>
                <w:i w:val="0"/>
                <w:color w:val="212121"/>
                <w:sz w:val="19"/>
              </w:rPr>
              <w:t>Urban residents, traffic-exposed</w:t>
            </w:r>
          </w:p>
        </w:tc>
        <w:tc>
          <w:tcPr>
            <w:tcW w:type="dxa" w:w="1512"/>
            <w:vAlign w:val="top"/>
          </w:tcPr>
          <w:p>
            <w:pPr>
              <w:spacing w:after="40" w:before="0" w:line="259" w:lineRule="auto"/>
            </w:pPr>
            <w:r>
              <w:rPr>
                <w:rFonts w:ascii="Calibri" w:hAnsi="Calibri"/>
                <w:b w:val="0"/>
                <w:i w:val="0"/>
                <w:color w:val="212121"/>
                <w:sz w:val="19"/>
              </w:rPr>
              <w:t>Residential ≤ 55 (day) / 45 (night); Silence zone ≤ 50/40 dB(A)</w:t>
            </w:r>
          </w:p>
        </w:tc>
        <w:tc>
          <w:tcPr>
            <w:tcW w:type="dxa" w:w="1512"/>
            <w:vAlign w:val="top"/>
          </w:tcPr>
          <w:p>
            <w:pPr>
              <w:spacing w:after="40" w:before="0" w:line="259" w:lineRule="auto"/>
            </w:pPr>
            <w:r>
              <w:rPr>
                <w:rFonts w:ascii="Calibri" w:hAnsi="Calibri"/>
                <w:b w:val="0"/>
                <w:i w:val="0"/>
                <w:color w:val="212121"/>
                <w:sz w:val="19"/>
              </w:rPr>
              <w:t>Industrial &gt; 75/70 dB(A); limits exceeded</w:t>
            </w:r>
          </w:p>
        </w:tc>
        <w:tc>
          <w:tcPr>
            <w:tcW w:type="dxa" w:w="1468"/>
            <w:vAlign w:val="top"/>
          </w:tcPr>
          <w:p>
            <w:pPr>
              <w:spacing w:after="60" w:line="259" w:lineRule="auto"/>
            </w:pPr>
            <w:r>
              <w:rPr>
                <w:rFonts w:ascii="Calibri" w:hAnsi="Calibri"/>
                <w:b w:val="0"/>
                <w:i w:val="0"/>
                <w:color w:val="212121"/>
                <w:sz w:val="19"/>
              </w:rPr>
              <w:t>India Noise Pollution (Regulation &amp; Control) Rules, 2000 zone limits</w:t>
            </w:r>
          </w:p>
          <w:p>
            <w:pPr>
              <w:spacing w:after="40" w:line="252" w:lineRule="auto"/>
            </w:pPr>
            <w:hyperlink r:id="rId19">
              <w:r>
                <w:rPr>
                  <w:rFonts w:ascii="Calibri" w:hAnsi="Calibri" w:cs="Calibri"/>
                  <w:sz w:val="18"/>
                  <w:color w:val="1155CC"/>
                  <w:u w:val="single"/>
                </w:rPr>
                <w:t xml:space="preserve">https://www.ppsthane.com/blog/noise-pollution-rules-in-india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Cumulative noise-exposure duration</w:t>
            </w:r>
          </w:p>
        </w:tc>
        <w:tc>
          <w:tcPr>
            <w:tcW w:type="dxa" w:w="1655"/>
            <w:vAlign w:val="top"/>
          </w:tcPr>
          <w:p>
            <w:pPr>
              <w:spacing w:after="40" w:before="0" w:line="259" w:lineRule="auto"/>
            </w:pPr>
            <w:r>
              <w:rPr>
                <w:rFonts w:ascii="Calibri" w:hAnsi="Calibri"/>
                <w:b w:val="0"/>
                <w:i w:val="0"/>
                <w:color w:val="212121"/>
                <w:sz w:val="19"/>
              </w:rPr>
              <w:t>Long-service noise workers, drivers</w:t>
            </w:r>
          </w:p>
        </w:tc>
        <w:tc>
          <w:tcPr>
            <w:tcW w:type="dxa" w:w="1512"/>
            <w:vAlign w:val="top"/>
          </w:tcPr>
          <w:p>
            <w:pPr>
              <w:spacing w:after="40" w:before="0" w:line="259" w:lineRule="auto"/>
            </w:pPr>
            <w:r>
              <w:rPr>
                <w:rFonts w:ascii="Calibri" w:hAnsi="Calibri"/>
                <w:b w:val="0"/>
                <w:i w:val="0"/>
                <w:color w:val="212121"/>
                <w:sz w:val="19"/>
              </w:rPr>
              <w:t>Shorter cumulative dose; protected</w:t>
            </w:r>
          </w:p>
        </w:tc>
        <w:tc>
          <w:tcPr>
            <w:tcW w:type="dxa" w:w="1512"/>
            <w:vAlign w:val="top"/>
          </w:tcPr>
          <w:p>
            <w:pPr>
              <w:spacing w:after="40" w:before="0" w:line="259" w:lineRule="auto"/>
            </w:pPr>
            <w:r>
              <w:rPr>
                <w:rFonts w:ascii="Calibri" w:hAnsi="Calibri"/>
                <w:b w:val="0"/>
                <w:i w:val="0"/>
                <w:color w:val="212121"/>
                <w:sz w:val="19"/>
              </w:rPr>
              <w:t>&gt; 10–15 years continuous unprotected exposure</w:t>
            </w:r>
          </w:p>
        </w:tc>
        <w:tc>
          <w:tcPr>
            <w:tcW w:type="dxa" w:w="1468"/>
            <w:vAlign w:val="top"/>
          </w:tcPr>
          <w:p>
            <w:pPr>
              <w:spacing w:after="60" w:line="259" w:lineRule="auto"/>
            </w:pPr>
            <w:r>
              <w:rPr>
                <w:rFonts w:ascii="Calibri" w:hAnsi="Calibri"/>
                <w:b w:val="0"/>
                <w:i w:val="0"/>
                <w:color w:val="212121"/>
                <w:sz w:val="19"/>
              </w:rPr>
              <w:t>Notch depth and prevalence rise with cumulative dose; 100% impaired near very high lifetime doses</w:t>
            </w:r>
          </w:p>
          <w:p>
            <w:pPr>
              <w:spacing w:after="40" w:line="252" w:lineRule="auto"/>
            </w:pPr>
            <w:hyperlink r:id="rId20">
              <w:r>
                <w:rPr>
                  <w:rFonts w:ascii="Calibri" w:hAnsi="Calibri" w:cs="Calibri"/>
                  <w:sz w:val="18"/>
                  <w:color w:val="1155CC"/>
                  <w:u w:val="single"/>
                </w:rPr>
                <w:t xml:space="preserve">https://www.nature.com/articles/s41598-024-55906-9</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Smoking (cigarettes / pack-years)</w:t>
            </w:r>
          </w:p>
        </w:tc>
        <w:tc>
          <w:tcPr>
            <w:tcW w:type="dxa" w:w="1655"/>
            <w:vAlign w:val="top"/>
          </w:tcPr>
          <w:p>
            <w:pPr>
              <w:spacing w:after="40" w:before="0" w:line="259" w:lineRule="auto"/>
            </w:pPr>
            <w:r>
              <w:rPr>
                <w:rFonts w:ascii="Calibri" w:hAnsi="Calibri"/>
                <w:b w:val="0"/>
                <w:i w:val="0"/>
                <w:color w:val="212121"/>
                <w:sz w:val="19"/>
              </w:rPr>
              <w:t>Noise-exposed smokers</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Any current smoking; OR 2.05, ~5× near 15 pack-years</w:t>
            </w:r>
          </w:p>
        </w:tc>
        <w:tc>
          <w:tcPr>
            <w:tcW w:type="dxa" w:w="1468"/>
            <w:vAlign w:val="top"/>
          </w:tcPr>
          <w:p>
            <w:pPr>
              <w:spacing w:after="60" w:line="259" w:lineRule="auto"/>
            </w:pPr>
            <w:r>
              <w:rPr>
                <w:rFonts w:ascii="Calibri" w:hAnsi="Calibri"/>
                <w:b w:val="0"/>
                <w:i w:val="0"/>
                <w:color w:val="212121"/>
                <w:sz w:val="19"/>
              </w:rPr>
              <w:t>Dose-dependent and synergistic with noise</w:t>
            </w:r>
          </w:p>
          <w:p>
            <w:pPr>
              <w:spacing w:after="40" w:line="252" w:lineRule="auto"/>
            </w:pPr>
            <w:hyperlink r:id="rId14">
              <w:r>
                <w:rPr>
                  <w:rFonts w:ascii="Calibri" w:hAnsi="Calibri" w:cs="Calibri"/>
                  <w:sz w:val="18"/>
                  <w:color w:val="1155CC"/>
                  <w:u w:val="single"/>
                </w:rPr>
                <w:t xml:space="preserve">https://www.mdpi.com/1660-4601/17/4/1201/htm</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40" w:before="0" w:line="259" w:lineRule="auto"/>
            </w:pPr>
            <w:r>
              <w:rPr>
                <w:rFonts w:ascii="Calibri" w:hAnsi="Calibri"/>
                <w:b w:val="0"/>
                <w:i w:val="0"/>
                <w:color w:val="212121"/>
                <w:sz w:val="19"/>
              </w:rPr>
              <w:t>Higher BMI and metabolic disease worsen cochlear microcirculation and noise resilience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glucose / HbA1c</w:t>
            </w:r>
          </w:p>
        </w:tc>
        <w:tc>
          <w:tcPr>
            <w:tcW w:type="dxa" w:w="1655"/>
            <w:vAlign w:val="top"/>
          </w:tcPr>
          <w:p>
            <w:pPr>
              <w:spacing w:after="40" w:before="0" w:line="259" w:lineRule="auto"/>
            </w:pPr>
            <w:r>
              <w:rPr>
                <w:rFonts w:ascii="Calibri" w:hAnsi="Calibri"/>
                <w:b w:val="0"/>
                <w:i w:val="0"/>
                <w:color w:val="212121"/>
                <w:sz w:val="19"/>
              </w:rPr>
              <w:t>Diabetic &amp; prediabetic adults</w:t>
            </w:r>
          </w:p>
        </w:tc>
        <w:tc>
          <w:tcPr>
            <w:tcW w:type="dxa" w:w="1512"/>
            <w:vAlign w:val="top"/>
          </w:tcPr>
          <w:p>
            <w:pPr>
              <w:spacing w:after="40" w:before="0" w:line="259" w:lineRule="auto"/>
            </w:pPr>
            <w:r>
              <w:rPr>
                <w:rFonts w:ascii="Calibri" w:hAnsi="Calibri"/>
                <w:b w:val="0"/>
                <w:i w:val="0"/>
                <w:color w:val="212121"/>
                <w:sz w:val="19"/>
              </w:rPr>
              <w:t>HbA1c &lt; 5.7%</w:t>
            </w:r>
          </w:p>
        </w:tc>
        <w:tc>
          <w:tcPr>
            <w:tcW w:type="dxa" w:w="1512"/>
            <w:vAlign w:val="top"/>
          </w:tcPr>
          <w:p>
            <w:pPr>
              <w:spacing w:after="40" w:before="0" w:line="259" w:lineRule="auto"/>
            </w:pPr>
            <w:r>
              <w:rPr>
                <w:rFonts w:ascii="Calibri" w:hAnsi="Calibri"/>
                <w:b w:val="0"/>
                <w:i w:val="0"/>
                <w:color w:val="212121"/>
                <w:sz w:val="19"/>
              </w:rPr>
              <w:t>≥ 6.5% (diabetes); 5.7–6.4% (prediabetes)</w:t>
            </w:r>
          </w:p>
        </w:tc>
        <w:tc>
          <w:tcPr>
            <w:tcW w:type="dxa" w:w="1468"/>
            <w:vAlign w:val="top"/>
          </w:tcPr>
          <w:p>
            <w:pPr>
              <w:spacing w:after="60" w:line="259" w:lineRule="auto"/>
            </w:pPr>
            <w:r>
              <w:rPr>
                <w:rFonts w:ascii="Calibri" w:hAnsi="Calibri"/>
                <w:b w:val="0"/>
                <w:i w:val="0"/>
                <w:color w:val="212121"/>
                <w:sz w:val="19"/>
              </w:rPr>
              <w:t>Diabetes roughly doubles hearing-loss risk; good control protects the cochlea</w:t>
            </w:r>
          </w:p>
          <w:p>
            <w:pPr>
              <w:spacing w:after="40" w:line="252" w:lineRule="auto"/>
            </w:pPr>
            <w:hyperlink r:id="rId15">
              <w:r>
                <w:rPr>
                  <w:rFonts w:ascii="Calibri" w:hAnsi="Calibri" w:cs="Calibri"/>
                  <w:sz w:val="18"/>
                  <w:color w:val="1155CC"/>
                  <w:u w:val="single"/>
                </w:rPr>
                <w:t xml:space="preserve">https://www.cdc.gov/diabetes/diabetes-complications/diabetes-and-hearing-loss.html</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Audiometric threshold at 4 kHz</w:t>
            </w:r>
          </w:p>
        </w:tc>
        <w:tc>
          <w:tcPr>
            <w:tcW w:type="dxa" w:w="1655"/>
            <w:vAlign w:val="top"/>
          </w:tcPr>
          <w:p>
            <w:pPr>
              <w:spacing w:after="40" w:before="0" w:line="259" w:lineRule="auto"/>
            </w:pPr>
            <w:r>
              <w:rPr>
                <w:rFonts w:ascii="Calibri" w:hAnsi="Calibri"/>
                <w:b w:val="0"/>
                <w:i w:val="0"/>
                <w:color w:val="212121"/>
                <w:sz w:val="19"/>
              </w:rPr>
              <w:t>Noise-exposed individuals</w:t>
            </w:r>
          </w:p>
        </w:tc>
        <w:tc>
          <w:tcPr>
            <w:tcW w:type="dxa" w:w="1512"/>
            <w:vAlign w:val="top"/>
          </w:tcPr>
          <w:p>
            <w:pPr>
              <w:spacing w:after="40" w:before="0" w:line="259" w:lineRule="auto"/>
            </w:pPr>
            <w:r>
              <w:rPr>
                <w:rFonts w:ascii="Calibri" w:hAnsi="Calibri"/>
                <w:b w:val="0"/>
                <w:i w:val="0"/>
                <w:color w:val="212121"/>
                <w:sz w:val="19"/>
              </w:rPr>
              <w:t>≤ 25 dB HL</w:t>
            </w:r>
          </w:p>
        </w:tc>
        <w:tc>
          <w:tcPr>
            <w:tcW w:type="dxa" w:w="1512"/>
            <w:vAlign w:val="top"/>
          </w:tcPr>
          <w:p>
            <w:pPr>
              <w:spacing w:after="40" w:before="0" w:line="259" w:lineRule="auto"/>
            </w:pPr>
            <w:r>
              <w:rPr>
                <w:rFonts w:ascii="Calibri" w:hAnsi="Calibri"/>
                <w:b w:val="0"/>
                <w:i w:val="0"/>
                <w:color w:val="212121"/>
                <w:sz w:val="19"/>
              </w:rPr>
              <w:t>&gt; 25 dB HL / early 3–6 kHz notch</w:t>
            </w:r>
          </w:p>
        </w:tc>
        <w:tc>
          <w:tcPr>
            <w:tcW w:type="dxa" w:w="1468"/>
            <w:vAlign w:val="top"/>
          </w:tcPr>
          <w:p>
            <w:pPr>
              <w:spacing w:after="60" w:line="259" w:lineRule="auto"/>
            </w:pPr>
            <w:r>
              <w:rPr>
                <w:rFonts w:ascii="Calibri" w:hAnsi="Calibri"/>
                <w:b w:val="0"/>
                <w:i w:val="0"/>
                <w:color w:val="212121"/>
                <w:sz w:val="19"/>
              </w:rPr>
              <w:t>The earliest audiometric sign of NIHL, before speech frequencies are affected</w:t>
            </w:r>
          </w:p>
          <w:p>
            <w:pPr>
              <w:spacing w:after="40" w:line="252" w:lineRule="auto"/>
            </w:pPr>
            <w:hyperlink r:id="rId18">
              <w:r>
                <w:rPr>
                  <w:rFonts w:ascii="Calibri" w:hAnsi="Calibri" w:cs="Calibri"/>
                  <w:sz w:val="18"/>
                  <w:color w:val="1155CC"/>
                  <w:u w:val="single"/>
                </w:rPr>
                <w:t xml:space="preserve">https://www.aafp.org/pubs/afp/issues/2000/0501/p2749.html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Better-ear pure-tone average (0.5–4 kHz)</w:t>
            </w:r>
          </w:p>
        </w:tc>
        <w:tc>
          <w:tcPr>
            <w:tcW w:type="dxa" w:w="1655"/>
            <w:vAlign w:val="top"/>
          </w:tcPr>
          <w:p>
            <w:pPr>
              <w:spacing w:after="40" w:before="0" w:line="259" w:lineRule="auto"/>
            </w:pPr>
            <w:r>
              <w:rPr>
                <w:rFonts w:ascii="Calibri" w:hAnsi="Calibri"/>
                <w:b w:val="0"/>
                <w:i w:val="0"/>
                <w:color w:val="212121"/>
                <w:sz w:val="19"/>
              </w:rPr>
              <w:t>All at-risk individuals</w:t>
            </w:r>
          </w:p>
        </w:tc>
        <w:tc>
          <w:tcPr>
            <w:tcW w:type="dxa" w:w="1512"/>
            <w:vAlign w:val="top"/>
          </w:tcPr>
          <w:p>
            <w:pPr>
              <w:spacing w:after="40" w:before="0" w:line="259" w:lineRule="auto"/>
            </w:pPr>
            <w:r>
              <w:rPr>
                <w:rFonts w:ascii="Calibri" w:hAnsi="Calibri"/>
                <w:b w:val="0"/>
                <w:i w:val="0"/>
                <w:color w:val="212121"/>
                <w:sz w:val="19"/>
              </w:rPr>
              <w:t>&lt; 20 dB HL (WHO normal)</w:t>
            </w:r>
          </w:p>
        </w:tc>
        <w:tc>
          <w:tcPr>
            <w:tcW w:type="dxa" w:w="1512"/>
            <w:vAlign w:val="top"/>
          </w:tcPr>
          <w:p>
            <w:pPr>
              <w:spacing w:after="40" w:before="0" w:line="259" w:lineRule="auto"/>
            </w:pPr>
            <w:r>
              <w:rPr>
                <w:rFonts w:ascii="Calibri" w:hAnsi="Calibri"/>
                <w:b w:val="0"/>
                <w:i w:val="0"/>
                <w:color w:val="212121"/>
                <w:sz w:val="19"/>
              </w:rPr>
              <w:t>≥ 20 dB HL (≥ mild); ≥ 35 dB HL = disabling</w:t>
            </w:r>
          </w:p>
        </w:tc>
        <w:tc>
          <w:tcPr>
            <w:tcW w:type="dxa" w:w="1468"/>
            <w:vAlign w:val="top"/>
          </w:tcPr>
          <w:p>
            <w:pPr>
              <w:spacing w:after="60" w:line="259" w:lineRule="auto"/>
            </w:pPr>
            <w:r>
              <w:rPr>
                <w:rFonts w:ascii="Calibri" w:hAnsi="Calibri"/>
                <w:b w:val="0"/>
                <w:i w:val="0"/>
                <w:color w:val="212121"/>
                <w:sz w:val="19"/>
              </w:rPr>
              <w:t>Used to grade severity and detect significant threshold shift on serial audiograms</w:t>
            </w:r>
          </w:p>
          <w:p>
            <w:pPr>
              <w:spacing w:after="40" w:line="252" w:lineRule="auto"/>
            </w:pPr>
            <w:hyperlink r:id="rId13">
              <w:r>
                <w:rPr>
                  <w:rFonts w:ascii="Calibri" w:hAnsi="Calibri" w:cs="Calibri"/>
                  <w:sz w:val="18"/>
                  <w:color w:val="1155CC"/>
                  <w:u w:val="single"/>
                </w:rPr>
                <w:t xml:space="preserve">https://www.who.int/news-room/fact-sheets/detail/deafness-and-hearing-loss</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Pure-Tone Air &amp; Bone Thresholds (0.25–8 kHz)</w:t>
            </w:r>
          </w:p>
        </w:tc>
        <w:tc>
          <w:tcPr>
            <w:tcW w:type="dxa" w:w="892"/>
            <w:vAlign w:val="top"/>
          </w:tcPr>
          <w:p>
            <w:pPr>
              <w:spacing w:after="40" w:before="0" w:line="259" w:lineRule="auto"/>
            </w:pPr>
            <w:r>
              <w:rPr>
                <w:rFonts w:ascii="Calibri" w:hAnsi="Calibri"/>
                <w:b w:val="0"/>
                <w:i w:val="0"/>
                <w:color w:val="212121"/>
                <w:sz w:val="16"/>
              </w:rPr>
              <w:t>Pure-Tone Audiometry (PTA)</w:t>
            </w:r>
          </w:p>
        </w:tc>
        <w:tc>
          <w:tcPr>
            <w:tcW w:type="dxa" w:w="950"/>
            <w:vAlign w:val="top"/>
          </w:tcPr>
          <w:p>
            <w:pPr>
              <w:spacing w:after="40" w:before="0" w:line="259" w:lineRule="auto"/>
            </w:pPr>
            <w:r>
              <w:rPr>
                <w:rFonts w:ascii="Calibri" w:hAnsi="Calibri"/>
                <w:b w:val="0"/>
                <w:i w:val="0"/>
                <w:color w:val="212121"/>
                <w:sz w:val="16"/>
              </w:rPr>
              <w:t>≤ 25 dB HL, no notch</w:t>
            </w:r>
          </w:p>
        </w:tc>
        <w:tc>
          <w:tcPr>
            <w:tcW w:type="dxa" w:w="950"/>
            <w:vAlign w:val="top"/>
          </w:tcPr>
          <w:p>
            <w:pPr>
              <w:spacing w:after="40" w:before="0" w:line="259" w:lineRule="auto"/>
            </w:pPr>
            <w:r>
              <w:rPr>
                <w:rFonts w:ascii="Calibri" w:hAnsi="Calibri"/>
                <w:b w:val="0"/>
                <w:i w:val="0"/>
                <w:color w:val="212121"/>
                <w:sz w:val="16"/>
              </w:rPr>
              <w:t>Bilateral notch 3–6 kHz (max 4 kHz), recovery at 8 kHz; no air–bone gap</w:t>
            </w:r>
          </w:p>
        </w:tc>
        <w:tc>
          <w:tcPr>
            <w:tcW w:type="dxa" w:w="1036"/>
            <w:vAlign w:val="top"/>
          </w:tcPr>
          <w:p>
            <w:pPr>
              <w:spacing w:after="40" w:before="0" w:line="259" w:lineRule="auto"/>
            </w:pPr>
            <w:r>
              <w:rPr>
                <w:rFonts w:ascii="Calibri" w:hAnsi="Calibri"/>
                <w:b w:val="0"/>
                <w:i w:val="0"/>
                <w:color w:val="212121"/>
                <w:sz w:val="16"/>
              </w:rPr>
              <w:t>Diagnostic hallmark of NIHL; confirms sensorineural high-frequency loss and grades severity</w:t>
            </w:r>
          </w:p>
        </w:tc>
        <w:tc>
          <w:tcPr>
            <w:tcW w:type="dxa" w:w="1036"/>
            <w:vAlign w:val="top"/>
          </w:tcPr>
          <w:p>
            <w:pPr>
              <w:spacing w:after="40" w:before="0" w:line="259" w:lineRule="auto"/>
            </w:pPr>
            <w:r>
              <w:rPr>
                <w:rFonts w:ascii="Calibri" w:hAnsi="Calibri"/>
                <w:b w:val="0"/>
                <w:i w:val="0"/>
                <w:color w:val="212121"/>
                <w:sz w:val="16"/>
              </w:rPr>
              <w:t>Noise-exposed workers, drivers, youth PLD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Test after ≥ 14 h noise-free period to avoid temporary threshold shift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Thresholds 9–16 kHz</w:t>
            </w:r>
          </w:p>
        </w:tc>
        <w:tc>
          <w:tcPr>
            <w:tcW w:type="dxa" w:w="892"/>
            <w:vAlign w:val="top"/>
          </w:tcPr>
          <w:p>
            <w:pPr>
              <w:spacing w:after="40" w:before="0" w:line="259" w:lineRule="auto"/>
            </w:pPr>
            <w:r>
              <w:rPr>
                <w:rFonts w:ascii="Calibri" w:hAnsi="Calibri"/>
                <w:b w:val="0"/>
                <w:i w:val="0"/>
                <w:color w:val="212121"/>
                <w:sz w:val="16"/>
              </w:rPr>
              <w:t>High-Frequency / Extended Audiometry</w:t>
            </w:r>
          </w:p>
        </w:tc>
        <w:tc>
          <w:tcPr>
            <w:tcW w:type="dxa" w:w="950"/>
            <w:vAlign w:val="top"/>
          </w:tcPr>
          <w:p>
            <w:pPr>
              <w:spacing w:after="40" w:before="0" w:line="259" w:lineRule="auto"/>
            </w:pPr>
            <w:r>
              <w:rPr>
                <w:rFonts w:ascii="Calibri" w:hAnsi="Calibri"/>
                <w:b w:val="0"/>
                <w:i w:val="0"/>
                <w:color w:val="212121"/>
                <w:sz w:val="16"/>
              </w:rPr>
              <w:t>Age-appropriate thresholds</w:t>
            </w:r>
          </w:p>
        </w:tc>
        <w:tc>
          <w:tcPr>
            <w:tcW w:type="dxa" w:w="950"/>
            <w:vAlign w:val="top"/>
          </w:tcPr>
          <w:p>
            <w:pPr>
              <w:spacing w:after="40" w:before="0" w:line="259" w:lineRule="auto"/>
            </w:pPr>
            <w:r>
              <w:rPr>
                <w:rFonts w:ascii="Calibri" w:hAnsi="Calibri"/>
                <w:b w:val="0"/>
                <w:i w:val="0"/>
                <w:color w:val="212121"/>
                <w:sz w:val="16"/>
              </w:rPr>
              <w:t>Elevated above 8 kHz before a conventional notch appears</w:t>
            </w:r>
          </w:p>
        </w:tc>
        <w:tc>
          <w:tcPr>
            <w:tcW w:type="dxa" w:w="1036"/>
            <w:vAlign w:val="top"/>
          </w:tcPr>
          <w:p>
            <w:pPr>
              <w:spacing w:after="40" w:before="0" w:line="259" w:lineRule="auto"/>
            </w:pPr>
            <w:r>
              <w:rPr>
                <w:rFonts w:ascii="Calibri" w:hAnsi="Calibri"/>
                <w:b w:val="0"/>
                <w:i w:val="0"/>
                <w:color w:val="212121"/>
                <w:sz w:val="16"/>
              </w:rPr>
              <w:t>Detects the earliest cochlear damage, before standard PTA changes</w:t>
            </w:r>
          </w:p>
        </w:tc>
        <w:tc>
          <w:tcPr>
            <w:tcW w:type="dxa" w:w="1036"/>
            <w:vAlign w:val="top"/>
          </w:tcPr>
          <w:p>
            <w:pPr>
              <w:spacing w:after="40" w:before="0" w:line="259" w:lineRule="auto"/>
            </w:pPr>
            <w:r>
              <w:rPr>
                <w:rFonts w:ascii="Calibri" w:hAnsi="Calibri"/>
                <w:b w:val="0"/>
                <w:i w:val="0"/>
                <w:color w:val="212121"/>
                <w:sz w:val="16"/>
              </w:rPr>
              <w:t>Early / at-risk workers, young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Early detection</w:t>
            </w:r>
          </w:p>
        </w:tc>
        <w:tc>
          <w:tcPr>
            <w:tcW w:type="dxa" w:w="720"/>
            <w:vAlign w:val="top"/>
          </w:tcPr>
          <w:p>
            <w:pPr>
              <w:spacing w:after="40" w:before="0" w:line="259" w:lineRule="auto"/>
            </w:pPr>
            <w:r>
              <w:rPr>
                <w:rFonts w:ascii="Calibri" w:hAnsi="Calibri"/>
                <w:b w:val="0"/>
                <w:i w:val="0"/>
                <w:color w:val="212121"/>
                <w:sz w:val="16"/>
              </w:rPr>
              <w:t>More sensitive than standard PTA for pre-clinical NIHL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Physiological</w:t>
            </w:r>
          </w:p>
        </w:tc>
        <w:tc>
          <w:tcPr>
            <w:tcW w:type="dxa" w:w="1036"/>
            <w:vAlign w:val="top"/>
          </w:tcPr>
          <w:p>
            <w:pPr>
              <w:spacing w:after="40" w:before="0" w:line="259" w:lineRule="auto"/>
            </w:pPr>
            <w:r>
              <w:rPr>
                <w:rFonts w:ascii="Calibri" w:hAnsi="Calibri"/>
                <w:b w:val="0"/>
                <w:i w:val="0"/>
                <w:color w:val="212121"/>
                <w:sz w:val="16"/>
              </w:rPr>
              <w:t>DPOAE amplitude</w:t>
            </w:r>
          </w:p>
        </w:tc>
        <w:tc>
          <w:tcPr>
            <w:tcW w:type="dxa" w:w="892"/>
            <w:vAlign w:val="top"/>
          </w:tcPr>
          <w:p>
            <w:pPr>
              <w:spacing w:after="40" w:before="0" w:line="259" w:lineRule="auto"/>
            </w:pPr>
            <w:r>
              <w:rPr>
                <w:rFonts w:ascii="Calibri" w:hAnsi="Calibri"/>
                <w:b w:val="0"/>
                <w:i w:val="0"/>
                <w:color w:val="212121"/>
                <w:sz w:val="16"/>
              </w:rPr>
              <w:t>Otoacoustic Emissions (OAE)</w:t>
            </w:r>
          </w:p>
        </w:tc>
        <w:tc>
          <w:tcPr>
            <w:tcW w:type="dxa" w:w="950"/>
            <w:vAlign w:val="top"/>
          </w:tcPr>
          <w:p>
            <w:pPr>
              <w:spacing w:after="40" w:before="0" w:line="259" w:lineRule="auto"/>
            </w:pPr>
            <w:r>
              <w:rPr>
                <w:rFonts w:ascii="Calibri" w:hAnsi="Calibri"/>
                <w:b w:val="0"/>
                <w:i w:val="0"/>
                <w:color w:val="212121"/>
                <w:sz w:val="16"/>
              </w:rPr>
              <w:t>Present, robust emissions</w:t>
            </w:r>
          </w:p>
        </w:tc>
        <w:tc>
          <w:tcPr>
            <w:tcW w:type="dxa" w:w="950"/>
            <w:vAlign w:val="top"/>
          </w:tcPr>
          <w:p>
            <w:pPr>
              <w:spacing w:after="40" w:before="0" w:line="259" w:lineRule="auto"/>
            </w:pPr>
            <w:r>
              <w:rPr>
                <w:rFonts w:ascii="Calibri" w:hAnsi="Calibri"/>
                <w:b w:val="0"/>
                <w:i w:val="0"/>
                <w:color w:val="212121"/>
                <w:sz w:val="16"/>
              </w:rPr>
              <w:t>Reduced or absent, especially 3–6 kHz</w:t>
            </w:r>
          </w:p>
        </w:tc>
        <w:tc>
          <w:tcPr>
            <w:tcW w:type="dxa" w:w="1036"/>
            <w:vAlign w:val="top"/>
          </w:tcPr>
          <w:p>
            <w:pPr>
              <w:spacing w:after="40" w:before="0" w:line="259" w:lineRule="auto"/>
            </w:pPr>
            <w:r>
              <w:rPr>
                <w:rFonts w:ascii="Calibri" w:hAnsi="Calibri"/>
                <w:b w:val="0"/>
                <w:i w:val="0"/>
                <w:color w:val="212121"/>
                <w:sz w:val="16"/>
              </w:rPr>
              <w:t>Objective marker of outer-hair-cell dysfunction; detects pre-clinical / sub-threshold NIHL</w:t>
            </w:r>
          </w:p>
        </w:tc>
        <w:tc>
          <w:tcPr>
            <w:tcW w:type="dxa" w:w="1036"/>
            <w:vAlign w:val="top"/>
          </w:tcPr>
          <w:p>
            <w:pPr>
              <w:spacing w:after="40" w:before="0" w:line="259" w:lineRule="auto"/>
            </w:pPr>
            <w:r>
              <w:rPr>
                <w:rFonts w:ascii="Calibri" w:hAnsi="Calibri"/>
                <w:b w:val="0"/>
                <w:i w:val="0"/>
                <w:color w:val="212121"/>
                <w:sz w:val="16"/>
              </w:rPr>
              <w:t>Screening, children, serial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Sensitive early marker</w:t>
            </w:r>
          </w:p>
        </w:tc>
        <w:tc>
          <w:tcPr>
            <w:tcW w:type="dxa" w:w="720"/>
            <w:vAlign w:val="top"/>
          </w:tcPr>
          <w:p>
            <w:pPr>
              <w:spacing w:after="40" w:before="0" w:line="259" w:lineRule="auto"/>
            </w:pPr>
            <w:r>
              <w:rPr>
                <w:rFonts w:ascii="Calibri" w:hAnsi="Calibri"/>
                <w:b w:val="0"/>
                <w:i w:val="0"/>
                <w:color w:val="212121"/>
                <w:sz w:val="16"/>
              </w:rPr>
              <w:t>Objective and quick; no behavioural response needed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Middle-ear compliance</w:t>
            </w:r>
          </w:p>
        </w:tc>
        <w:tc>
          <w:tcPr>
            <w:tcW w:type="dxa" w:w="892"/>
            <w:vAlign w:val="top"/>
          </w:tcPr>
          <w:p>
            <w:pPr>
              <w:spacing w:after="40" w:before="0" w:line="259" w:lineRule="auto"/>
            </w:pPr>
            <w:r>
              <w:rPr>
                <w:rFonts w:ascii="Calibri" w:hAnsi="Calibri"/>
                <w:b w:val="0"/>
                <w:i w:val="0"/>
                <w:color w:val="212121"/>
                <w:sz w:val="16"/>
              </w:rPr>
              <w:t>Tympanometry / Impedance</w:t>
            </w:r>
          </w:p>
        </w:tc>
        <w:tc>
          <w:tcPr>
            <w:tcW w:type="dxa" w:w="950"/>
            <w:vAlign w:val="top"/>
          </w:tcPr>
          <w:p>
            <w:pPr>
              <w:spacing w:after="40" w:before="0" w:line="259" w:lineRule="auto"/>
            </w:pPr>
            <w:r>
              <w:rPr>
                <w:rFonts w:ascii="Calibri" w:hAnsi="Calibri"/>
                <w:b w:val="0"/>
                <w:i w:val="0"/>
                <w:color w:val="212121"/>
                <w:sz w:val="16"/>
              </w:rPr>
              <w:t>Type A (normal)</w:t>
            </w:r>
          </w:p>
        </w:tc>
        <w:tc>
          <w:tcPr>
            <w:tcW w:type="dxa" w:w="950"/>
            <w:vAlign w:val="top"/>
          </w:tcPr>
          <w:p>
            <w:pPr>
              <w:spacing w:after="40" w:before="0" w:line="259" w:lineRule="auto"/>
            </w:pPr>
            <w:r>
              <w:rPr>
                <w:rFonts w:ascii="Calibri" w:hAnsi="Calibri"/>
                <w:b w:val="0"/>
                <w:i w:val="0"/>
                <w:color w:val="212121"/>
                <w:sz w:val="16"/>
              </w:rPr>
              <w:t>Type A in NIHL (excludes conductive); type B/C suggest coexisting middle-ear disease</w:t>
            </w:r>
          </w:p>
        </w:tc>
        <w:tc>
          <w:tcPr>
            <w:tcW w:type="dxa" w:w="1036"/>
            <w:vAlign w:val="top"/>
          </w:tcPr>
          <w:p>
            <w:pPr>
              <w:spacing w:after="40" w:before="0" w:line="259" w:lineRule="auto"/>
            </w:pPr>
            <w:r>
              <w:rPr>
                <w:rFonts w:ascii="Calibri" w:hAnsi="Calibri"/>
                <w:b w:val="0"/>
                <w:i w:val="0"/>
                <w:color w:val="212121"/>
                <w:sz w:val="16"/>
              </w:rPr>
              <w:t>Confirms the loss is sensorineural rather than conductive</w:t>
            </w:r>
          </w:p>
        </w:tc>
        <w:tc>
          <w:tcPr>
            <w:tcW w:type="dxa" w:w="1036"/>
            <w:vAlign w:val="top"/>
          </w:tcPr>
          <w:p>
            <w:pPr>
              <w:spacing w:after="40" w:before="0" w:line="259" w:lineRule="auto"/>
            </w:pPr>
            <w:r>
              <w:rPr>
                <w:rFonts w:ascii="Calibri" w:hAnsi="Calibri"/>
                <w:b w:val="0"/>
                <w:i w:val="0"/>
                <w:color w:val="212121"/>
                <w:sz w:val="16"/>
              </w:rPr>
              <w:t>All patients with hearing loss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Distinguishes SNHL from wax/effusion/perforation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Word-recognition / discrimination score</w:t>
            </w:r>
          </w:p>
        </w:tc>
        <w:tc>
          <w:tcPr>
            <w:tcW w:type="dxa" w:w="892"/>
            <w:vAlign w:val="top"/>
          </w:tcPr>
          <w:p>
            <w:pPr>
              <w:spacing w:after="40" w:before="0" w:line="259" w:lineRule="auto"/>
            </w:pPr>
            <w:r>
              <w:rPr>
                <w:rFonts w:ascii="Calibri" w:hAnsi="Calibri"/>
                <w:b w:val="0"/>
                <w:i w:val="0"/>
                <w:color w:val="212121"/>
                <w:sz w:val="16"/>
              </w:rPr>
              <w:t>Speech Audiometry</w:t>
            </w:r>
          </w:p>
        </w:tc>
        <w:tc>
          <w:tcPr>
            <w:tcW w:type="dxa" w:w="950"/>
            <w:vAlign w:val="top"/>
          </w:tcPr>
          <w:p>
            <w:pPr>
              <w:spacing w:after="40" w:before="0" w:line="259" w:lineRule="auto"/>
            </w:pPr>
            <w:r>
              <w:rPr>
                <w:rFonts w:ascii="Calibri" w:hAnsi="Calibri"/>
                <w:b w:val="0"/>
                <w:i w:val="0"/>
                <w:color w:val="212121"/>
                <w:sz w:val="16"/>
              </w:rPr>
              <w:t>&gt; 90% word recognition</w:t>
            </w:r>
          </w:p>
        </w:tc>
        <w:tc>
          <w:tcPr>
            <w:tcW w:type="dxa" w:w="950"/>
            <w:vAlign w:val="top"/>
          </w:tcPr>
          <w:p>
            <w:pPr>
              <w:spacing w:after="40" w:before="0" w:line="259" w:lineRule="auto"/>
            </w:pPr>
            <w:r>
              <w:rPr>
                <w:rFonts w:ascii="Calibri" w:hAnsi="Calibri"/>
                <w:b w:val="0"/>
                <w:i w:val="0"/>
                <w:color w:val="212121"/>
                <w:sz w:val="16"/>
              </w:rPr>
              <w:t>Reduced, disproportionately in background noise</w:t>
            </w:r>
          </w:p>
        </w:tc>
        <w:tc>
          <w:tcPr>
            <w:tcW w:type="dxa" w:w="1036"/>
            <w:vAlign w:val="top"/>
          </w:tcPr>
          <w:p>
            <w:pPr>
              <w:spacing w:after="40" w:before="0" w:line="259" w:lineRule="auto"/>
            </w:pPr>
            <w:r>
              <w:rPr>
                <w:rFonts w:ascii="Calibri" w:hAnsi="Calibri"/>
                <w:b w:val="0"/>
                <w:i w:val="0"/>
                <w:color w:val="212121"/>
                <w:sz w:val="16"/>
              </w:rPr>
              <w:t>Quantifies real-world speech understanding and guides hearing-aid candidacy</w:t>
            </w:r>
          </w:p>
        </w:tc>
        <w:tc>
          <w:tcPr>
            <w:tcW w:type="dxa" w:w="1036"/>
            <w:vAlign w:val="top"/>
          </w:tcPr>
          <w:p>
            <w:pPr>
              <w:spacing w:after="40" w:before="0" w:line="259" w:lineRule="auto"/>
            </w:pPr>
            <w:r>
              <w:rPr>
                <w:rFonts w:ascii="Calibri" w:hAnsi="Calibri"/>
                <w:b w:val="0"/>
                <w:i w:val="0"/>
                <w:color w:val="212121"/>
                <w:sz w:val="16"/>
              </w:rPr>
              <w:t>Patients with communication difficulty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Functional</w:t>
            </w:r>
          </w:p>
        </w:tc>
        <w:tc>
          <w:tcPr>
            <w:tcW w:type="dxa" w:w="720"/>
            <w:vAlign w:val="top"/>
          </w:tcPr>
          <w:p>
            <w:pPr>
              <w:spacing w:after="40" w:before="0" w:line="259" w:lineRule="auto"/>
            </w:pPr>
            <w:r>
              <w:rPr>
                <w:rFonts w:ascii="Calibri" w:hAnsi="Calibri"/>
                <w:b w:val="0"/>
                <w:i w:val="0"/>
                <w:color w:val="212121"/>
                <w:sz w:val="16"/>
              </w:rPr>
              <w:t>Speech-in-noise testing reflects daily disability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 / Imaging</w:t>
            </w:r>
          </w:p>
        </w:tc>
        <w:tc>
          <w:tcPr>
            <w:tcW w:type="dxa" w:w="1036"/>
            <w:vAlign w:val="top"/>
          </w:tcPr>
          <w:p>
            <w:pPr>
              <w:spacing w:after="40" w:before="0" w:line="259" w:lineRule="auto"/>
            </w:pPr>
            <w:r>
              <w:rPr>
                <w:rFonts w:ascii="Calibri" w:hAnsi="Calibri"/>
                <w:b w:val="0"/>
                <w:i w:val="0"/>
                <w:color w:val="212121"/>
                <w:sz w:val="16"/>
              </w:rPr>
              <w:t>ABR wave latencies / MRI IAM</w:t>
            </w:r>
          </w:p>
        </w:tc>
        <w:tc>
          <w:tcPr>
            <w:tcW w:type="dxa" w:w="892"/>
            <w:vAlign w:val="top"/>
          </w:tcPr>
          <w:p>
            <w:pPr>
              <w:spacing w:after="40" w:before="0" w:line="259" w:lineRule="auto"/>
            </w:pPr>
            <w:r>
              <w:rPr>
                <w:rFonts w:ascii="Calibri" w:hAnsi="Calibri"/>
                <w:b w:val="0"/>
                <w:i w:val="0"/>
                <w:color w:val="212121"/>
                <w:sz w:val="16"/>
              </w:rPr>
              <w:t>Auditory Brainstem Response (ABR) / MRI</w:t>
            </w:r>
          </w:p>
        </w:tc>
        <w:tc>
          <w:tcPr>
            <w:tcW w:type="dxa" w:w="950"/>
            <w:vAlign w:val="top"/>
          </w:tcPr>
          <w:p>
            <w:pPr>
              <w:spacing w:after="40" w:before="0" w:line="259" w:lineRule="auto"/>
            </w:pPr>
            <w:r>
              <w:rPr>
                <w:rFonts w:ascii="Calibri" w:hAnsi="Calibri"/>
                <w:b w:val="0"/>
                <w:i w:val="0"/>
                <w:color w:val="212121"/>
                <w:sz w:val="16"/>
              </w:rPr>
              <w:t>Symmetric responses; no retrocochlear lesion</w:t>
            </w:r>
          </w:p>
        </w:tc>
        <w:tc>
          <w:tcPr>
            <w:tcW w:type="dxa" w:w="950"/>
            <w:vAlign w:val="top"/>
          </w:tcPr>
          <w:p>
            <w:pPr>
              <w:spacing w:after="40" w:before="0" w:line="259" w:lineRule="auto"/>
            </w:pPr>
            <w:r>
              <w:rPr>
                <w:rFonts w:ascii="Calibri" w:hAnsi="Calibri"/>
                <w:b w:val="0"/>
                <w:i w:val="0"/>
                <w:color w:val="212121"/>
                <w:sz w:val="16"/>
              </w:rPr>
              <w:t>Cochlear pattern; asymmetry or mass (e.g. vestibular schwannoma)</w:t>
            </w:r>
          </w:p>
        </w:tc>
        <w:tc>
          <w:tcPr>
            <w:tcW w:type="dxa" w:w="1036"/>
            <w:vAlign w:val="top"/>
          </w:tcPr>
          <w:p>
            <w:pPr>
              <w:spacing w:after="40" w:before="0" w:line="259" w:lineRule="auto"/>
            </w:pPr>
            <w:r>
              <w:rPr>
                <w:rFonts w:ascii="Calibri" w:hAnsi="Calibri"/>
                <w:b w:val="0"/>
                <w:i w:val="0"/>
                <w:color w:val="212121"/>
                <w:sz w:val="16"/>
              </w:rPr>
              <w:t>Confirms site of lesion and excludes retrocochlear pathology or non-organic loss</w:t>
            </w:r>
          </w:p>
        </w:tc>
        <w:tc>
          <w:tcPr>
            <w:tcW w:type="dxa" w:w="1036"/>
            <w:vAlign w:val="top"/>
          </w:tcPr>
          <w:p>
            <w:pPr>
              <w:spacing w:after="40" w:before="0" w:line="259" w:lineRule="auto"/>
            </w:pPr>
            <w:r>
              <w:rPr>
                <w:rFonts w:ascii="Calibri" w:hAnsi="Calibri"/>
                <w:b w:val="0"/>
                <w:i w:val="0"/>
                <w:color w:val="212121"/>
                <w:sz w:val="16"/>
              </w:rPr>
              <w:t>Asymmetric/unilateral loss, medico-legal or non-organic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 for typical symmetric NIHL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Occupational hygiene</w:t>
            </w:r>
          </w:p>
        </w:tc>
        <w:tc>
          <w:tcPr>
            <w:tcW w:type="dxa" w:w="1036"/>
            <w:vAlign w:val="top"/>
          </w:tcPr>
          <w:p>
            <w:pPr>
              <w:spacing w:after="40" w:before="0" w:line="259" w:lineRule="auto"/>
            </w:pPr>
            <w:r>
              <w:rPr>
                <w:rFonts w:ascii="Calibri" w:hAnsi="Calibri"/>
                <w:b w:val="0"/>
                <w:i w:val="0"/>
                <w:color w:val="212121"/>
                <w:sz w:val="16"/>
              </w:rPr>
              <w:t>Workplace sound level / noise dose</w:t>
            </w:r>
          </w:p>
        </w:tc>
        <w:tc>
          <w:tcPr>
            <w:tcW w:type="dxa" w:w="892"/>
            <w:vAlign w:val="top"/>
          </w:tcPr>
          <w:p>
            <w:pPr>
              <w:spacing w:after="40" w:before="0" w:line="259" w:lineRule="auto"/>
            </w:pPr>
            <w:r>
              <w:rPr>
                <w:rFonts w:ascii="Calibri" w:hAnsi="Calibri"/>
                <w:b w:val="0"/>
                <w:i w:val="0"/>
                <w:color w:val="212121"/>
                <w:sz w:val="16"/>
              </w:rPr>
              <w:t>Sound-Level Metering / Dosimetry</w:t>
            </w:r>
          </w:p>
        </w:tc>
        <w:tc>
          <w:tcPr>
            <w:tcW w:type="dxa" w:w="950"/>
            <w:vAlign w:val="top"/>
          </w:tcPr>
          <w:p>
            <w:pPr>
              <w:spacing w:after="40" w:before="0" w:line="259" w:lineRule="auto"/>
            </w:pPr>
            <w:r>
              <w:rPr>
                <w:rFonts w:ascii="Calibri" w:hAnsi="Calibri"/>
                <w:b w:val="0"/>
                <w:i w:val="0"/>
                <w:color w:val="212121"/>
                <w:sz w:val="16"/>
              </w:rPr>
              <w:t>&lt; 85 dB(A) TWA-8h</w:t>
            </w:r>
          </w:p>
        </w:tc>
        <w:tc>
          <w:tcPr>
            <w:tcW w:type="dxa" w:w="950"/>
            <w:vAlign w:val="top"/>
          </w:tcPr>
          <w:p>
            <w:pPr>
              <w:spacing w:after="40" w:before="0" w:line="259" w:lineRule="auto"/>
            </w:pPr>
            <w:r>
              <w:rPr>
                <w:rFonts w:ascii="Calibri" w:hAnsi="Calibri"/>
                <w:b w:val="0"/>
                <w:i w:val="0"/>
                <w:color w:val="212121"/>
                <w:sz w:val="16"/>
              </w:rPr>
              <w:t>≥ 85 dB(A) TWA-8h</w:t>
            </w:r>
          </w:p>
        </w:tc>
        <w:tc>
          <w:tcPr>
            <w:tcW w:type="dxa" w:w="1036"/>
            <w:vAlign w:val="top"/>
          </w:tcPr>
          <w:p>
            <w:pPr>
              <w:spacing w:after="40" w:before="0" w:line="259" w:lineRule="auto"/>
            </w:pPr>
            <w:r>
              <w:rPr>
                <w:rFonts w:ascii="Calibri" w:hAnsi="Calibri"/>
                <w:b w:val="0"/>
                <w:i w:val="0"/>
                <w:color w:val="212121"/>
                <w:sz w:val="16"/>
              </w:rPr>
              <w:t>Quantifies the hazard and triggers engineering controls, hearing protection and audiometric surveillance</w:t>
            </w:r>
          </w:p>
        </w:tc>
        <w:tc>
          <w:tcPr>
            <w:tcW w:type="dxa" w:w="1036"/>
            <w:vAlign w:val="top"/>
          </w:tcPr>
          <w:p>
            <w:pPr>
              <w:spacing w:after="40" w:before="0" w:line="259" w:lineRule="auto"/>
            </w:pPr>
            <w:r>
              <w:rPr>
                <w:rFonts w:ascii="Calibri" w:hAnsi="Calibri"/>
                <w:b w:val="0"/>
                <w:i w:val="0"/>
                <w:color w:val="212121"/>
                <w:sz w:val="16"/>
              </w:rPr>
              <w:t>Noise-exposed workplaces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Preventive</w:t>
            </w:r>
          </w:p>
        </w:tc>
        <w:tc>
          <w:tcPr>
            <w:tcW w:type="dxa" w:w="720"/>
            <w:vAlign w:val="top"/>
          </w:tcPr>
          <w:p>
            <w:pPr>
              <w:spacing w:after="40" w:before="0" w:line="259" w:lineRule="auto"/>
            </w:pPr>
            <w:r>
              <w:rPr>
                <w:rFonts w:ascii="Calibri" w:hAnsi="Calibri"/>
                <w:b w:val="0"/>
                <w:i w:val="0"/>
                <w:color w:val="212121"/>
                <w:sz w:val="16"/>
              </w:rPr>
              <w:t>Foundation of a workplace hearing-conservation programme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Noise-exposure history</w:t>
            </w:r>
          </w:p>
        </w:tc>
        <w:tc>
          <w:tcPr>
            <w:tcW w:type="dxa" w:w="979"/>
            <w:vAlign w:val="top"/>
          </w:tcPr>
          <w:p>
            <w:pPr>
              <w:spacing w:after="40" w:before="0" w:line="259" w:lineRule="auto"/>
            </w:pPr>
            <w:r>
              <w:rPr>
                <w:rFonts w:ascii="Calibri" w:hAnsi="Calibri"/>
                <w:b w:val="0"/>
                <w:i w:val="0"/>
                <w:color w:val="212121"/>
                <w:sz w:val="16"/>
              </w:rPr>
              <w:t>Occupational, recreational, firearm &amp; impulse-noise exposure</w:t>
            </w:r>
          </w:p>
        </w:tc>
        <w:tc>
          <w:tcPr>
            <w:tcW w:type="dxa" w:w="950"/>
            <w:vAlign w:val="top"/>
          </w:tcPr>
          <w:p>
            <w:pPr>
              <w:spacing w:after="40" w:before="0" w:line="259" w:lineRule="auto"/>
            </w:pPr>
            <w:r>
              <w:rPr>
                <w:rFonts w:ascii="Calibri" w:hAnsi="Calibri"/>
                <w:b w:val="0"/>
                <w:i w:val="0"/>
                <w:color w:val="212121"/>
                <w:sz w:val="16"/>
              </w:rPr>
              <w:t>No hazardous exposure</w:t>
            </w:r>
          </w:p>
        </w:tc>
        <w:tc>
          <w:tcPr>
            <w:tcW w:type="dxa" w:w="950"/>
            <w:vAlign w:val="top"/>
          </w:tcPr>
          <w:p>
            <w:pPr>
              <w:spacing w:after="40" w:before="0" w:line="259" w:lineRule="auto"/>
            </w:pPr>
            <w:r>
              <w:rPr>
                <w:rFonts w:ascii="Calibri" w:hAnsi="Calibri"/>
                <w:b w:val="0"/>
                <w:i w:val="0"/>
                <w:color w:val="212121"/>
                <w:sz w:val="16"/>
              </w:rPr>
              <w:t>Chronic ≥ 85 dB(A) or impulse exposure</w:t>
            </w:r>
          </w:p>
        </w:tc>
        <w:tc>
          <w:tcPr>
            <w:tcW w:type="dxa" w:w="1036"/>
            <w:vAlign w:val="top"/>
          </w:tcPr>
          <w:p>
            <w:pPr>
              <w:spacing w:after="40" w:before="0" w:line="259" w:lineRule="auto"/>
            </w:pPr>
            <w:r>
              <w:rPr>
                <w:rFonts w:ascii="Calibri" w:hAnsi="Calibri"/>
                <w:b w:val="0"/>
                <w:i w:val="0"/>
                <w:color w:val="212121"/>
                <w:sz w:val="16"/>
              </w:rPr>
              <w:t>Establishes causation and dose (years, hours/day, protection used)</w:t>
            </w:r>
          </w:p>
        </w:tc>
        <w:tc>
          <w:tcPr>
            <w:tcW w:type="dxa" w:w="1036"/>
            <w:vAlign w:val="top"/>
          </w:tcPr>
          <w:p>
            <w:pPr>
              <w:spacing w:after="40" w:before="0" w:line="259" w:lineRule="auto"/>
            </w:pPr>
            <w:r>
              <w:rPr>
                <w:rFonts w:ascii="Calibri" w:hAnsi="Calibri"/>
                <w:b w:val="0"/>
                <w:i w:val="0"/>
                <w:color w:val="212121"/>
                <w:sz w:val="16"/>
              </w:rPr>
              <w:t>Workers, drivers, military, youth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Cornerstone of diagnosis; quantify exposure and hearing-protector 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Difficulty hearing in noise, tinnitus, muffled hearing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present</w:t>
            </w:r>
          </w:p>
        </w:tc>
        <w:tc>
          <w:tcPr>
            <w:tcW w:type="dxa" w:w="1036"/>
            <w:vAlign w:val="top"/>
          </w:tcPr>
          <w:p>
            <w:pPr>
              <w:spacing w:after="40" w:before="0" w:line="259" w:lineRule="auto"/>
            </w:pPr>
            <w:r>
              <w:rPr>
                <w:rFonts w:ascii="Calibri" w:hAnsi="Calibri"/>
                <w:b w:val="0"/>
                <w:i w:val="0"/>
                <w:color w:val="212121"/>
                <w:sz w:val="16"/>
              </w:rPr>
              <w:t>Early functional symptoms of NIHL</w:t>
            </w:r>
          </w:p>
        </w:tc>
        <w:tc>
          <w:tcPr>
            <w:tcW w:type="dxa" w:w="1036"/>
            <w:vAlign w:val="top"/>
          </w:tcPr>
          <w:p>
            <w:pPr>
              <w:spacing w:after="40" w:before="0" w:line="259" w:lineRule="auto"/>
            </w:pPr>
            <w:r>
              <w:rPr>
                <w:rFonts w:ascii="Calibri" w:hAnsi="Calibri"/>
                <w:b w:val="0"/>
                <w:i w:val="0"/>
                <w:color w:val="212121"/>
                <w:sz w:val="16"/>
              </w:rPr>
              <w:t>All at-risk individuals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Tinnitus is frequently the first complaint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Ototoxic &amp; comorbidity history</w:t>
            </w:r>
          </w:p>
        </w:tc>
        <w:tc>
          <w:tcPr>
            <w:tcW w:type="dxa" w:w="979"/>
            <w:vAlign w:val="top"/>
          </w:tcPr>
          <w:p>
            <w:pPr>
              <w:spacing w:after="40" w:before="0" w:line="259" w:lineRule="auto"/>
            </w:pPr>
            <w:r>
              <w:rPr>
                <w:rFonts w:ascii="Calibri" w:hAnsi="Calibri"/>
                <w:b w:val="0"/>
                <w:i w:val="0"/>
                <w:color w:val="212121"/>
                <w:sz w:val="16"/>
              </w:rPr>
              <w:t>Aminoglycosides, cisplatin, solvents; diabetes, hypertension, smoking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Identifies synergistic and confounding contributors that worsen prognosis</w:t>
            </w:r>
          </w:p>
        </w:tc>
        <w:tc>
          <w:tcPr>
            <w:tcW w:type="dxa" w:w="1036"/>
            <w:vAlign w:val="top"/>
          </w:tcPr>
          <w:p>
            <w:pPr>
              <w:spacing w:after="40" w:before="0" w:line="259" w:lineRule="auto"/>
            </w:pPr>
            <w:r>
              <w:rPr>
                <w:rFonts w:ascii="Calibri" w:hAnsi="Calibri"/>
                <w:b w:val="0"/>
                <w:i w:val="0"/>
                <w:color w:val="212121"/>
                <w:sz w:val="16"/>
              </w:rPr>
              <w:t>Chronically ill, chemical/solvent workers</w:t>
            </w:r>
          </w:p>
        </w:tc>
        <w:tc>
          <w:tcPr>
            <w:tcW w:type="dxa" w:w="720"/>
            <w:vAlign w:val="top"/>
          </w:tcPr>
          <w:p>
            <w:pPr>
              <w:spacing w:after="40" w:before="0" w:line="259" w:lineRule="auto"/>
            </w:pPr>
            <w:r>
              <w:rPr>
                <w:rFonts w:ascii="Calibri" w:hAnsi="Calibri"/>
                <w:b w:val="0"/>
                <w:i w:val="0"/>
                <w:color w:val="212121"/>
                <w:sz w:val="16"/>
              </w:rPr>
              <w:t>Smoking;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Ototoxins and vascular disease potentiate noise damage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prior-hearing history</w:t>
            </w:r>
          </w:p>
        </w:tc>
        <w:tc>
          <w:tcPr>
            <w:tcW w:type="dxa" w:w="979"/>
            <w:vAlign w:val="top"/>
          </w:tcPr>
          <w:p>
            <w:pPr>
              <w:spacing w:after="40" w:before="0" w:line="259" w:lineRule="auto"/>
            </w:pPr>
            <w:r>
              <w:rPr>
                <w:rFonts w:ascii="Calibri" w:hAnsi="Calibri"/>
                <w:b w:val="0"/>
                <w:i w:val="0"/>
                <w:color w:val="212121"/>
                <w:sz w:val="16"/>
              </w:rPr>
              <w:t>Family hearing loss / noise sensitivity; prior audiograms</w:t>
            </w:r>
          </w:p>
        </w:tc>
        <w:tc>
          <w:tcPr>
            <w:tcW w:type="dxa" w:w="950"/>
            <w:vAlign w:val="top"/>
          </w:tcPr>
          <w:p>
            <w:pPr>
              <w:spacing w:after="40" w:before="0" w:line="259" w:lineRule="auto"/>
            </w:pPr>
            <w:r>
              <w:rPr>
                <w:rFonts w:ascii="Calibri" w:hAnsi="Calibri"/>
                <w:b w:val="0"/>
                <w:i w:val="0"/>
                <w:color w:val="212121"/>
                <w:sz w:val="16"/>
              </w:rPr>
              <w:t>No history</w:t>
            </w:r>
          </w:p>
        </w:tc>
        <w:tc>
          <w:tcPr>
            <w:tcW w:type="dxa" w:w="950"/>
            <w:vAlign w:val="top"/>
          </w:tcPr>
          <w:p>
            <w:pPr>
              <w:spacing w:after="40" w:before="0" w:line="259" w:lineRule="auto"/>
            </w:pPr>
            <w:r>
              <w:rPr>
                <w:rFonts w:ascii="Calibri" w:hAnsi="Calibri"/>
                <w:b w:val="0"/>
                <w:i w:val="0"/>
                <w:color w:val="212121"/>
                <w:sz w:val="16"/>
              </w:rPr>
              <w:t>Positive family history or prior loss</w:t>
            </w:r>
          </w:p>
        </w:tc>
        <w:tc>
          <w:tcPr>
            <w:tcW w:type="dxa" w:w="1036"/>
            <w:vAlign w:val="top"/>
          </w:tcPr>
          <w:p>
            <w:pPr>
              <w:spacing w:after="40" w:before="0" w:line="259" w:lineRule="auto"/>
            </w:pPr>
            <w:r>
              <w:rPr>
                <w:rFonts w:ascii="Calibri" w:hAnsi="Calibri"/>
                <w:b w:val="0"/>
                <w:i w:val="0"/>
                <w:color w:val="212121"/>
                <w:sz w:val="16"/>
              </w:rPr>
              <w:t>Assesses individual susceptibility and provides a baseline for detecting threshold shift</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Serial audiograms are needed to identify significant threshold shift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Otoscopy</w:t>
            </w:r>
          </w:p>
        </w:tc>
        <w:tc>
          <w:tcPr>
            <w:tcW w:type="dxa" w:w="979"/>
            <w:vAlign w:val="top"/>
          </w:tcPr>
          <w:p>
            <w:pPr>
              <w:spacing w:after="40" w:before="0" w:line="259" w:lineRule="auto"/>
            </w:pPr>
            <w:r>
              <w:rPr>
                <w:rFonts w:ascii="Calibri" w:hAnsi="Calibri"/>
                <w:b w:val="0"/>
                <w:i w:val="0"/>
                <w:color w:val="212121"/>
                <w:sz w:val="16"/>
              </w:rPr>
              <w:t>External canal &amp; tympanic membrane</w:t>
            </w:r>
          </w:p>
        </w:tc>
        <w:tc>
          <w:tcPr>
            <w:tcW w:type="dxa" w:w="950"/>
            <w:vAlign w:val="top"/>
          </w:tcPr>
          <w:p>
            <w:pPr>
              <w:spacing w:after="40" w:before="0" w:line="259" w:lineRule="auto"/>
            </w:pPr>
            <w:r>
              <w:rPr>
                <w:rFonts w:ascii="Calibri" w:hAnsi="Calibri"/>
                <w:b w:val="0"/>
                <w:i w:val="0"/>
                <w:color w:val="212121"/>
                <w:sz w:val="16"/>
              </w:rPr>
              <w:t>Normal, intact drum</w:t>
            </w:r>
          </w:p>
        </w:tc>
        <w:tc>
          <w:tcPr>
            <w:tcW w:type="dxa" w:w="950"/>
            <w:vAlign w:val="top"/>
          </w:tcPr>
          <w:p>
            <w:pPr>
              <w:spacing w:after="40" w:before="0" w:line="259" w:lineRule="auto"/>
            </w:pPr>
            <w:r>
              <w:rPr>
                <w:rFonts w:ascii="Calibri" w:hAnsi="Calibri"/>
                <w:b w:val="0"/>
                <w:i w:val="0"/>
                <w:color w:val="212121"/>
                <w:sz w:val="16"/>
              </w:rPr>
              <w:t>Normal in chronic NIHL; TM rupture/haemotympanum after blast</w:t>
            </w:r>
          </w:p>
        </w:tc>
        <w:tc>
          <w:tcPr>
            <w:tcW w:type="dxa" w:w="1036"/>
            <w:vAlign w:val="top"/>
          </w:tcPr>
          <w:p>
            <w:pPr>
              <w:spacing w:after="40" w:before="0" w:line="259" w:lineRule="auto"/>
            </w:pPr>
            <w:r>
              <w:rPr>
                <w:rFonts w:ascii="Calibri" w:hAnsi="Calibri"/>
                <w:b w:val="0"/>
                <w:i w:val="0"/>
                <w:color w:val="212121"/>
                <w:sz w:val="16"/>
              </w:rPr>
              <w:t>Excludes conductive causes and identifies acoustic/baro-trauma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Remove wax and exclude otitis before audiometry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Tuning-fork tests (Rinne &amp; Weber)</w:t>
            </w:r>
          </w:p>
        </w:tc>
        <w:tc>
          <w:tcPr>
            <w:tcW w:type="dxa" w:w="979"/>
            <w:vAlign w:val="top"/>
          </w:tcPr>
          <w:p>
            <w:pPr>
              <w:spacing w:after="40" w:before="0" w:line="259" w:lineRule="auto"/>
            </w:pPr>
            <w:r>
              <w:rPr>
                <w:rFonts w:ascii="Calibri" w:hAnsi="Calibri"/>
                <w:b w:val="0"/>
                <w:i w:val="0"/>
                <w:color w:val="212121"/>
                <w:sz w:val="16"/>
              </w:rPr>
              <w:t>512 Hz Rinne &amp; Weber</w:t>
            </w:r>
          </w:p>
        </w:tc>
        <w:tc>
          <w:tcPr>
            <w:tcW w:type="dxa" w:w="950"/>
            <w:vAlign w:val="top"/>
          </w:tcPr>
          <w:p>
            <w:pPr>
              <w:spacing w:after="40" w:before="0" w:line="259" w:lineRule="auto"/>
            </w:pPr>
            <w:r>
              <w:rPr>
                <w:rFonts w:ascii="Calibri" w:hAnsi="Calibri"/>
                <w:b w:val="0"/>
                <w:i w:val="0"/>
                <w:color w:val="212121"/>
                <w:sz w:val="16"/>
              </w:rPr>
              <w:t>Rinne AC &gt; BC; Weber central</w:t>
            </w:r>
          </w:p>
        </w:tc>
        <w:tc>
          <w:tcPr>
            <w:tcW w:type="dxa" w:w="950"/>
            <w:vAlign w:val="top"/>
          </w:tcPr>
          <w:p>
            <w:pPr>
              <w:spacing w:after="40" w:before="0" w:line="259" w:lineRule="auto"/>
            </w:pPr>
            <w:r>
              <w:rPr>
                <w:rFonts w:ascii="Calibri" w:hAnsi="Calibri"/>
                <w:b w:val="0"/>
                <w:i w:val="0"/>
                <w:color w:val="212121"/>
                <w:sz w:val="16"/>
              </w:rPr>
              <w:t>Rinne AC &gt; BC bilaterally; Weber to better ear if asymmetric</w:t>
            </w:r>
          </w:p>
        </w:tc>
        <w:tc>
          <w:tcPr>
            <w:tcW w:type="dxa" w:w="1036"/>
            <w:vAlign w:val="top"/>
          </w:tcPr>
          <w:p>
            <w:pPr>
              <w:spacing w:after="40" w:before="0" w:line="259" w:lineRule="auto"/>
            </w:pPr>
            <w:r>
              <w:rPr>
                <w:rFonts w:ascii="Calibri" w:hAnsi="Calibri"/>
                <w:b w:val="0"/>
                <w:i w:val="0"/>
                <w:color w:val="212121"/>
                <w:sz w:val="16"/>
              </w:rPr>
              <w:t>Bedside confirmation of a sensorineural pattern</w:t>
            </w:r>
          </w:p>
        </w:tc>
        <w:tc>
          <w:tcPr>
            <w:tcW w:type="dxa" w:w="1036"/>
            <w:vAlign w:val="top"/>
          </w:tcPr>
          <w:p>
            <w:pPr>
              <w:spacing w:after="40" w:before="0" w:line="259" w:lineRule="auto"/>
            </w:pPr>
            <w:r>
              <w:rPr>
                <w:rFonts w:ascii="Calibri" w:hAnsi="Calibri"/>
                <w:b w:val="0"/>
                <w:i w:val="0"/>
                <w:color w:val="212121"/>
                <w:sz w:val="16"/>
              </w:rPr>
              <w:t>Bedside/field screening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w:t>
            </w:r>
          </w:p>
        </w:tc>
        <w:tc>
          <w:tcPr>
            <w:tcW w:type="dxa" w:w="720"/>
            <w:vAlign w:val="top"/>
          </w:tcPr>
          <w:p>
            <w:pPr>
              <w:spacing w:after="40" w:before="0" w:line="259" w:lineRule="auto"/>
            </w:pPr>
            <w:r>
              <w:rPr>
                <w:rFonts w:ascii="Calibri" w:hAnsi="Calibri"/>
                <w:b w:val="0"/>
                <w:i w:val="0"/>
                <w:color w:val="212121"/>
                <w:sz w:val="16"/>
              </w:rPr>
              <w:t>Simple and quick; complements PTA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w:t>
            </w:r>
          </w:p>
        </w:tc>
        <w:tc>
          <w:tcPr>
            <w:tcW w:type="dxa" w:w="950"/>
            <w:vAlign w:val="top"/>
          </w:tcPr>
          <w:p>
            <w:pPr>
              <w:spacing w:after="40" w:before="0" w:line="259" w:lineRule="auto"/>
            </w:pPr>
            <w:r>
              <w:rPr>
                <w:rFonts w:ascii="Calibri" w:hAnsi="Calibri"/>
                <w:b w:val="0"/>
                <w:i w:val="0"/>
                <w:color w:val="212121"/>
                <w:sz w:val="16"/>
              </w:rPr>
              <w:t>Whispered-voice / finger-rub test</w:t>
            </w:r>
          </w:p>
        </w:tc>
        <w:tc>
          <w:tcPr>
            <w:tcW w:type="dxa" w:w="979"/>
            <w:vAlign w:val="top"/>
          </w:tcPr>
          <w:p>
            <w:pPr>
              <w:spacing w:after="40" w:before="0" w:line="259" w:lineRule="auto"/>
            </w:pPr>
            <w:r>
              <w:rPr>
                <w:rFonts w:ascii="Calibri" w:hAnsi="Calibri"/>
                <w:b w:val="0"/>
                <w:i w:val="0"/>
                <w:color w:val="212121"/>
                <w:sz w:val="16"/>
              </w:rPr>
              <w:t>Whispered-voice test at arm's length</w:t>
            </w:r>
          </w:p>
        </w:tc>
        <w:tc>
          <w:tcPr>
            <w:tcW w:type="dxa" w:w="950"/>
            <w:vAlign w:val="top"/>
          </w:tcPr>
          <w:p>
            <w:pPr>
              <w:spacing w:after="40" w:before="0" w:line="259" w:lineRule="auto"/>
            </w:pPr>
            <w:r>
              <w:rPr>
                <w:rFonts w:ascii="Calibri" w:hAnsi="Calibri"/>
                <w:b w:val="0"/>
                <w:i w:val="0"/>
                <w:color w:val="212121"/>
                <w:sz w:val="16"/>
              </w:rPr>
              <w:t>Repeats words correctly</w:t>
            </w:r>
          </w:p>
        </w:tc>
        <w:tc>
          <w:tcPr>
            <w:tcW w:type="dxa" w:w="950"/>
            <w:vAlign w:val="top"/>
          </w:tcPr>
          <w:p>
            <w:pPr>
              <w:spacing w:after="40" w:before="0" w:line="259" w:lineRule="auto"/>
            </w:pPr>
            <w:r>
              <w:rPr>
                <w:rFonts w:ascii="Calibri" w:hAnsi="Calibri"/>
                <w:b w:val="0"/>
                <w:i w:val="0"/>
                <w:color w:val="212121"/>
                <w:sz w:val="16"/>
              </w:rPr>
              <w:t>Fails to repeat whispered words at ~0.6 m</w:t>
            </w:r>
          </w:p>
        </w:tc>
        <w:tc>
          <w:tcPr>
            <w:tcW w:type="dxa" w:w="1036"/>
            <w:vAlign w:val="top"/>
          </w:tcPr>
          <w:p>
            <w:pPr>
              <w:spacing w:after="40" w:before="0" w:line="259" w:lineRule="auto"/>
            </w:pPr>
            <w:r>
              <w:rPr>
                <w:rFonts w:ascii="Calibri" w:hAnsi="Calibri"/>
                <w:b w:val="0"/>
                <w:i w:val="0"/>
                <w:color w:val="212121"/>
                <w:sz w:val="16"/>
              </w:rPr>
              <w:t>Rapid field screen for significant hearing loss</w:t>
            </w:r>
          </w:p>
        </w:tc>
        <w:tc>
          <w:tcPr>
            <w:tcW w:type="dxa" w:w="1036"/>
            <w:vAlign w:val="top"/>
          </w:tcPr>
          <w:p>
            <w:pPr>
              <w:spacing w:after="40" w:before="0" w:line="259" w:lineRule="auto"/>
            </w:pPr>
            <w:r>
              <w:rPr>
                <w:rFonts w:ascii="Calibri" w:hAnsi="Calibri"/>
                <w:b w:val="0"/>
                <w:i w:val="0"/>
                <w:color w:val="212121"/>
                <w:sz w:val="16"/>
              </w:rPr>
              <w:t>Community &amp; occupational screening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Useful where audiometry is not immediately available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Difficulty understanding speech in noisy or group settings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earliest hallmark (the 'cocktail-party' problem); high-frequency loss impairs consonant discrimination even when volume seems adequate.</w:t>
            </w:r>
          </w:p>
        </w:tc>
      </w:tr>
      <w:tr>
        <w:trPr>
          <w:cantSplit/>
        </w:trPr>
        <w:tc>
          <w:tcPr>
            <w:tcW w:type="dxa" w:w="2304"/>
            <w:vAlign w:val="top"/>
          </w:tcPr>
          <w:p>
            <w:pPr>
              <w:spacing w:after="40" w:before="0" w:line="259" w:lineRule="auto"/>
            </w:pPr>
            <w:r>
              <w:rPr>
                <w:rFonts w:ascii="Calibri" w:hAnsi="Calibri"/>
                <w:b/>
                <w:i w:val="0"/>
                <w:color w:val="212121"/>
                <w:sz w:val="19"/>
              </w:rPr>
              <w:t>Tinnitus (ringing, buzzing or hissing in the ears)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the first and most distressing symptom; may follow an acute exposure or become constant with chronic loss.</w:t>
            </w:r>
          </w:p>
        </w:tc>
      </w:tr>
      <w:tr>
        <w:trPr>
          <w:cantSplit/>
        </w:trPr>
        <w:tc>
          <w:tcPr>
            <w:tcW w:type="dxa" w:w="2304"/>
            <w:vAlign w:val="top"/>
          </w:tcPr>
          <w:p>
            <w:pPr>
              <w:spacing w:after="40" w:before="0" w:line="259" w:lineRule="auto"/>
            </w:pPr>
            <w:r>
              <w:rPr>
                <w:rFonts w:ascii="Calibri" w:hAnsi="Calibri"/>
                <w:b/>
                <w:i w:val="0"/>
                <w:color w:val="212121"/>
                <w:sz w:val="19"/>
              </w:rPr>
              <w:t>Muffled or dull hearing after noise (temporary)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a temporary threshold shift that recovers over hours to days once away from noise — a warning sign of vulnerability.</w:t>
            </w:r>
          </w:p>
        </w:tc>
      </w:tr>
      <w:tr>
        <w:trPr>
          <w:cantSplit/>
        </w:trPr>
        <w:tc>
          <w:tcPr>
            <w:tcW w:type="dxa" w:w="2304"/>
            <w:vAlign w:val="top"/>
          </w:tcPr>
          <w:p>
            <w:pPr>
              <w:spacing w:after="40" w:before="0" w:line="259" w:lineRule="auto"/>
            </w:pPr>
            <w:r>
              <w:rPr>
                <w:rFonts w:ascii="Calibri" w:hAnsi="Calibri"/>
                <w:b/>
                <w:i w:val="0"/>
                <w:color w:val="212121"/>
                <w:sz w:val="19"/>
              </w:rPr>
              <w:t>Needing higher TV, phone or music volume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Compensation for reduced sensitivity, especially in the high frequencies; often noticed by family first.</w:t>
            </w:r>
          </w:p>
        </w:tc>
      </w:tr>
      <w:tr>
        <w:trPr>
          <w:cantSplit/>
        </w:trPr>
        <w:tc>
          <w:tcPr>
            <w:tcW w:type="dxa" w:w="2304"/>
            <w:vAlign w:val="top"/>
          </w:tcPr>
          <w:p>
            <w:pPr>
              <w:spacing w:after="40" w:before="0" w:line="259" w:lineRule="auto"/>
            </w:pPr>
            <w:r>
              <w:rPr>
                <w:rFonts w:ascii="Calibri" w:hAnsi="Calibri"/>
                <w:b/>
                <w:i w:val="0"/>
                <w:color w:val="212121"/>
                <w:sz w:val="19"/>
              </w:rPr>
              <w:t>Difficulty hearing high-pitched sounds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Doorbells, alarms, phone ringtones, birdsong and women's/children's voices are missed first.</w:t>
            </w:r>
          </w:p>
        </w:tc>
      </w:tr>
      <w:tr>
        <w:trPr>
          <w:cantSplit/>
        </w:trPr>
        <w:tc>
          <w:tcPr>
            <w:tcW w:type="dxa" w:w="2304"/>
            <w:vAlign w:val="top"/>
          </w:tcPr>
          <w:p>
            <w:pPr>
              <w:spacing w:after="40" w:before="0" w:line="259" w:lineRule="auto"/>
            </w:pPr>
            <w:r>
              <w:rPr>
                <w:rFonts w:ascii="Calibri" w:hAnsi="Calibri"/>
                <w:b/>
                <w:i w:val="0"/>
                <w:color w:val="212121"/>
                <w:sz w:val="19"/>
              </w:rPr>
              <w:t>Frequently asking others to repeat themselves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consequence of reduced speech discrimination, particularly with soft or rapid speech.</w:t>
            </w:r>
          </w:p>
        </w:tc>
      </w:tr>
      <w:tr>
        <w:trPr>
          <w:cantSplit/>
        </w:trPr>
        <w:tc>
          <w:tcPr>
            <w:tcW w:type="dxa" w:w="2304"/>
            <w:vAlign w:val="top"/>
          </w:tcPr>
          <w:p>
            <w:pPr>
              <w:spacing w:after="40" w:before="0" w:line="259" w:lineRule="auto"/>
            </w:pPr>
            <w:r>
              <w:rPr>
                <w:rFonts w:ascii="Calibri" w:hAnsi="Calibri"/>
                <w:b/>
                <w:i w:val="0"/>
                <w:color w:val="212121"/>
                <w:sz w:val="19"/>
              </w:rPr>
              <w:t>Trouble hearing on the telephone or with background noise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visual/lip cues and a narrowed frequency range make these situations especially hard.</w:t>
            </w:r>
          </w:p>
        </w:tc>
      </w:tr>
      <w:tr>
        <w:trPr>
          <w:cantSplit/>
        </w:trPr>
        <w:tc>
          <w:tcPr>
            <w:tcW w:type="dxa" w:w="2304"/>
            <w:vAlign w:val="top"/>
          </w:tcPr>
          <w:p>
            <w:pPr>
              <w:spacing w:after="40" w:before="0" w:line="259" w:lineRule="auto"/>
            </w:pPr>
            <w:r>
              <w:rPr>
                <w:rFonts w:ascii="Calibri" w:hAnsi="Calibri"/>
                <w:b/>
                <w:i w:val="0"/>
                <w:color w:val="212121"/>
                <w:sz w:val="19"/>
              </w:rPr>
              <w:t>Aural fullness or pressure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acute or recent intense noise exposure.</w:t>
            </w:r>
          </w:p>
        </w:tc>
      </w:tr>
      <w:tr>
        <w:trPr>
          <w:cantSplit/>
        </w:trPr>
        <w:tc>
          <w:tcPr>
            <w:tcW w:type="dxa" w:w="2304"/>
            <w:vAlign w:val="top"/>
          </w:tcPr>
          <w:p>
            <w:pPr>
              <w:spacing w:after="40" w:before="0" w:line="259" w:lineRule="auto"/>
            </w:pPr>
            <w:r>
              <w:rPr>
                <w:rFonts w:ascii="Calibri" w:hAnsi="Calibri"/>
                <w:b/>
                <w:i w:val="0"/>
                <w:color w:val="212121"/>
                <w:sz w:val="19"/>
              </w:rPr>
              <w:t>Hyperacusis (ordinary sounds seem uncomfortably loud)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Central 'gain' changes accompanying cochlear loss reduce sound tolerance and can complicate hearing-aid fitting.</w:t>
            </w:r>
          </w:p>
        </w:tc>
      </w:tr>
      <w:tr>
        <w:trPr>
          <w:cantSplit/>
        </w:trPr>
        <w:tc>
          <w:tcPr>
            <w:tcW w:type="dxa" w:w="2304"/>
            <w:vAlign w:val="top"/>
          </w:tcPr>
          <w:p>
            <w:pPr>
              <w:spacing w:after="40" w:before="0" w:line="259" w:lineRule="auto"/>
            </w:pPr>
            <w:r>
              <w:rPr>
                <w:rFonts w:ascii="Calibri" w:hAnsi="Calibri"/>
                <w:b/>
                <w:i w:val="0"/>
                <w:color w:val="212121"/>
                <w:sz w:val="19"/>
              </w:rPr>
              <w:t>Sudden hearing loss and ear pain after a blast or explosion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Acoustic trauma; may be permanent and can be accompanied by eardrum rupture.</w:t>
            </w:r>
          </w:p>
        </w:tc>
      </w:tr>
      <w:tr>
        <w:trPr>
          <w:cantSplit/>
        </w:trPr>
        <w:tc>
          <w:tcPr>
            <w:tcW w:type="dxa" w:w="2304"/>
            <w:vAlign w:val="top"/>
          </w:tcPr>
          <w:p>
            <w:pPr>
              <w:spacing w:after="40" w:before="0" w:line="259" w:lineRule="auto"/>
            </w:pPr>
            <w:r>
              <w:rPr>
                <w:rFonts w:ascii="Calibri" w:hAnsi="Calibri"/>
                <w:b/>
                <w:i w:val="0"/>
                <w:color w:val="212121"/>
                <w:sz w:val="19"/>
              </w:rPr>
              <w:t>Vertigo or dizziness after intense acoustic trauma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Vestibular involvement can occur in severe blast/impulse injury.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High-frequency notch at 3–6 kHz (maximal 4 kHz) on the audiogram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pathognomonic audiometric hallmark of NIHL, with relative recovery at 8 kHz.</w:t>
            </w:r>
          </w:p>
        </w:tc>
      </w:tr>
      <w:tr>
        <w:trPr>
          <w:cantSplit/>
        </w:trPr>
        <w:tc>
          <w:tcPr>
            <w:tcW w:type="dxa" w:w="3456"/>
            <w:vAlign w:val="top"/>
          </w:tcPr>
          <w:p>
            <w:pPr>
              <w:spacing w:after="40" w:before="0" w:line="259" w:lineRule="auto"/>
            </w:pPr>
            <w:r>
              <w:rPr>
                <w:rFonts w:ascii="Calibri" w:hAnsi="Calibri"/>
                <w:b/>
                <w:i w:val="0"/>
                <w:color w:val="212121"/>
                <w:sz w:val="19"/>
              </w:rPr>
              <w:t>Bilateral, symmetrical sensorineural loss on PTA (AC = BC, no air–bone gap)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Confirms a cochlear/sensorineural rather than conductive pattern.</w:t>
            </w:r>
          </w:p>
        </w:tc>
      </w:tr>
      <w:tr>
        <w:trPr>
          <w:cantSplit/>
        </w:trPr>
        <w:tc>
          <w:tcPr>
            <w:tcW w:type="dxa" w:w="3456"/>
            <w:vAlign w:val="top"/>
          </w:tcPr>
          <w:p>
            <w:pPr>
              <w:spacing w:after="40" w:before="0" w:line="259" w:lineRule="auto"/>
            </w:pPr>
            <w:r>
              <w:rPr>
                <w:rFonts w:ascii="Calibri" w:hAnsi="Calibri"/>
                <w:b/>
                <w:i w:val="0"/>
                <w:color w:val="212121"/>
                <w:sz w:val="19"/>
              </w:rPr>
              <w:t>Reduced or absent distortion-product otoacoustic emissions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evidence of outer-hair-cell dysfunction, often before behavioural thresholds change.</w:t>
            </w:r>
          </w:p>
        </w:tc>
      </w:tr>
      <w:tr>
        <w:trPr>
          <w:cantSplit/>
        </w:trPr>
        <w:tc>
          <w:tcPr>
            <w:tcW w:type="dxa" w:w="3456"/>
            <w:vAlign w:val="top"/>
          </w:tcPr>
          <w:p>
            <w:pPr>
              <w:spacing w:after="40" w:before="0" w:line="259" w:lineRule="auto"/>
            </w:pPr>
            <w:r>
              <w:rPr>
                <w:rFonts w:ascii="Calibri" w:hAnsi="Calibri"/>
                <w:b/>
                <w:i w:val="0"/>
                <w:color w:val="212121"/>
                <w:sz w:val="19"/>
              </w:rPr>
              <w:t>Reduced speech-discrimination score, disproportionate in background noise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Functional impact of high-frequency loss on speech understanding.</w:t>
            </w:r>
          </w:p>
        </w:tc>
      </w:tr>
      <w:tr>
        <w:trPr>
          <w:cantSplit/>
        </w:trPr>
        <w:tc>
          <w:tcPr>
            <w:tcW w:type="dxa" w:w="3456"/>
            <w:vAlign w:val="top"/>
          </w:tcPr>
          <w:p>
            <w:pPr>
              <w:spacing w:after="40" w:before="0" w:line="259" w:lineRule="auto"/>
            </w:pPr>
            <w:r>
              <w:rPr>
                <w:rFonts w:ascii="Calibri" w:hAnsi="Calibri"/>
                <w:b/>
                <w:i w:val="0"/>
                <w:color w:val="212121"/>
                <w:sz w:val="19"/>
              </w:rPr>
              <w:t>Rinne positive (AC &gt; BC) bilaterally with Weber central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Bedside pattern confirming symmetrical sensorineural loss.</w:t>
            </w:r>
          </w:p>
        </w:tc>
      </w:tr>
      <w:tr>
        <w:trPr>
          <w:cantSplit/>
        </w:trPr>
        <w:tc>
          <w:tcPr>
            <w:tcW w:type="dxa" w:w="3456"/>
            <w:vAlign w:val="top"/>
          </w:tcPr>
          <w:p>
            <w:pPr>
              <w:spacing w:after="40" w:before="0" w:line="259" w:lineRule="auto"/>
            </w:pPr>
            <w:r>
              <w:rPr>
                <w:rFonts w:ascii="Calibri" w:hAnsi="Calibri"/>
                <w:b/>
                <w:i w:val="0"/>
                <w:color w:val="212121"/>
                <w:sz w:val="19"/>
              </w:rPr>
              <w:t>Normal otoscopy with an intact tympanic membrane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Typical in chronic NIHL; contrasts with the trauma signs seen after blast injury.</w:t>
            </w:r>
          </w:p>
        </w:tc>
      </w:tr>
      <w:tr>
        <w:trPr>
          <w:cantSplit/>
        </w:trPr>
        <w:tc>
          <w:tcPr>
            <w:tcW w:type="dxa" w:w="3456"/>
            <w:vAlign w:val="top"/>
          </w:tcPr>
          <w:p>
            <w:pPr>
              <w:spacing w:after="40" w:before="0" w:line="259" w:lineRule="auto"/>
            </w:pPr>
            <w:r>
              <w:rPr>
                <w:rFonts w:ascii="Calibri" w:hAnsi="Calibri"/>
                <w:b/>
                <w:i w:val="0"/>
                <w:color w:val="212121"/>
                <w:sz w:val="19"/>
              </w:rPr>
              <w:t>Failed whispered-voice / finger-rub screening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simple bedside indicator of significant hearing loss.</w:t>
            </w:r>
          </w:p>
        </w:tc>
      </w:tr>
      <w:tr>
        <w:trPr>
          <w:cantSplit/>
        </w:trPr>
        <w:tc>
          <w:tcPr>
            <w:tcW w:type="dxa" w:w="3456"/>
            <w:vAlign w:val="top"/>
          </w:tcPr>
          <w:p>
            <w:pPr>
              <w:spacing w:after="40" w:before="0" w:line="259" w:lineRule="auto"/>
            </w:pPr>
            <w:r>
              <w:rPr>
                <w:rFonts w:ascii="Calibri" w:hAnsi="Calibri"/>
                <w:b/>
                <w:i w:val="0"/>
                <w:color w:val="212121"/>
                <w:sz w:val="19"/>
              </w:rPr>
              <w:t>Tympanic-membrane perforation or haemotympanum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after acoustic/baro-trauma from a high-intensity impulse (blast).</w:t>
            </w:r>
          </w:p>
        </w:tc>
      </w:tr>
      <w:tr>
        <w:trPr>
          <w:cantSplit/>
        </w:trPr>
        <w:tc>
          <w:tcPr>
            <w:tcW w:type="dxa" w:w="3456"/>
            <w:vAlign w:val="top"/>
          </w:tcPr>
          <w:p>
            <w:pPr>
              <w:spacing w:after="40" w:before="0" w:line="259" w:lineRule="auto"/>
            </w:pPr>
            <w:r>
              <w:rPr>
                <w:rFonts w:ascii="Calibri" w:hAnsi="Calibri"/>
                <w:b/>
                <w:i w:val="0"/>
                <w:color w:val="212121"/>
                <w:sz w:val="19"/>
              </w:rPr>
              <w:t>Loudness recruitment (abnormally rapid growth of loudness)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Characteristic of a cochlear (outer-hair-cell) lesion and narrows the usable dynamic range.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high-frequency sensorineural hearing loss (permanent threshold shift)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from temporary to permanent threshold shift with continued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Acoustic trauma with tympanic-membrane rupture (blast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sound localisation and reduced dynamic range (recruitment)</w:t>
            </w:r>
          </w:p>
        </w:tc>
        <w:tc>
          <w:tcPr>
            <w:tcW w:type="dxa" w:w="2980"/>
            <w:vAlign w:val="top"/>
          </w:tcPr>
          <w:p>
            <w:pPr>
              <w:spacing w:after="40" w:before="0" w:line="259" w:lineRule="auto"/>
            </w:pPr>
            <w:r>
              <w:rPr>
                <w:rFonts w:ascii="Calibri" w:hAnsi="Calibri"/>
                <w:b w:val="0"/>
                <w:i w:val="0"/>
                <w:color w:val="212121"/>
                <w:sz w:val="19"/>
              </w:rPr>
              <w:t>Direct consequences of noise energy injuring the cochlear outer hair cells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speech discrimination and communication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Hyperacusis and reduced sound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Tinnitus-related sleep disturbance,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occupational-injury risk from missed alarms and warning signals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work performance, safety and productivity</w:t>
            </w:r>
          </w:p>
        </w:tc>
        <w:tc>
          <w:tcPr>
            <w:tcW w:type="dxa" w:w="2980"/>
            <w:vAlign w:val="top"/>
          </w:tcPr>
          <w:p>
            <w:pPr>
              <w:spacing w:after="40" w:before="0" w:line="259" w:lineRule="auto"/>
            </w:pPr>
            <w:r>
              <w:rPr>
                <w:rFonts w:ascii="Calibri" w:hAnsi="Calibri"/>
                <w:b w:val="0"/>
                <w:i w:val="0"/>
                <w:color w:val="212121"/>
                <w:sz w:val="19"/>
              </w:rPr>
              <w:t>Functional and psychological consequences of the hearing loss and tinnitus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isolation and reduced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cognitive decline and higher dementia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disability and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Accidents from impaired sound awareness (traffic, machinery)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children and adolescents: speech-language delay and educational underachievement</w:t>
            </w:r>
          </w:p>
        </w:tc>
        <w:tc>
          <w:tcPr>
            <w:tcW w:type="dxa" w:w="2980"/>
            <w:vAlign w:val="top"/>
          </w:tcPr>
          <w:p>
            <w:pPr>
              <w:spacing w:after="40" w:before="0" w:line="259" w:lineRule="auto"/>
            </w:pPr>
            <w:r>
              <w:rPr>
                <w:rFonts w:ascii="Calibri" w:hAnsi="Calibri"/>
                <w:b w:val="0"/>
                <w:i w:val="0"/>
                <w:color w:val="212121"/>
                <w:sz w:val="19"/>
              </w:rPr>
              <w:t>Long-term, disabling outcomes of untreated, progressive noise-induced hearing loss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Tinnitus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Ringing or buzzing very commonly coexists with the high-frequency loss and is often the presenting and most bothersome symptom.</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Diabetic cochlear microangiopathy and neuropathy make hearing loss about twice as common and compound noise injury.</w:t>
            </w:r>
          </w:p>
          <w:p>
            <w:pPr>
              <w:spacing w:after="40" w:before="0" w:line="259" w:lineRule="auto"/>
            </w:pPr>
            <w:r>
              <w:rPr>
                <w:rFonts w:ascii="Calibri" w:hAnsi="Calibri"/>
                <w:b/>
                <w:i w:val="0"/>
                <w:color w:val="212121"/>
                <w:sz w:val="19"/>
              </w:rPr>
              <w:t>~2× more common</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noise raises blood pressure (about 14% higher hypertension risk per 10 dB of night-time noise) and hypertension worsens cochlear perfusion.</w:t>
            </w:r>
          </w:p>
        </w:tc>
      </w:tr>
      <w:tr>
        <w:trPr>
          <w:cantSplit/>
        </w:trPr>
        <w:tc>
          <w:tcPr>
            <w:tcW w:type="dxa" w:w="2232"/>
            <w:vAlign w:val="top"/>
          </w:tcPr>
          <w:p>
            <w:pPr>
              <w:spacing w:after="40" w:before="0" w:line="259" w:lineRule="auto"/>
            </w:pPr>
            <w:r>
              <w:rPr>
                <w:rFonts w:ascii="Calibri" w:hAnsi="Calibri"/>
                <w:b/>
                <w:i w:val="0"/>
                <w:color w:val="212121"/>
                <w:sz w:val="19"/>
              </w:rPr>
              <w:t>Cognitive impairment / dementia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Untreated hearing loss is a leading modifiable dementia risk factor; hearing aids appear to reduce risk.</w:t>
            </w:r>
          </w:p>
          <w:p>
            <w:pPr>
              <w:spacing w:after="40" w:before="0" w:line="259" w:lineRule="auto"/>
            </w:pPr>
            <w:r>
              <w:rPr>
                <w:rFonts w:ascii="Calibri" w:hAnsi="Calibri"/>
                <w:b/>
                <w:i w:val="0"/>
                <w:color w:val="212121"/>
                <w:sz w:val="19"/>
              </w:rPr>
              <w:t>~7% of dementia (modifiable)</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Hearing loss and tinnitus are strongly linked to low mood, anxiety and social withdrawal.</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Chronic noise stress and shared oxidative/sympathetic pathways increase ischaemic heart disease and stroke risk.</w:t>
            </w:r>
          </w:p>
        </w:tc>
      </w:tr>
      <w:tr>
        <w:trPr>
          <w:cantSplit/>
        </w:trPr>
        <w:tc>
          <w:tcPr>
            <w:tcW w:type="dxa" w:w="2232"/>
            <w:vAlign w:val="top"/>
          </w:tcPr>
          <w:p>
            <w:pPr>
              <w:spacing w:after="40" w:before="0" w:line="259" w:lineRule="auto"/>
            </w:pPr>
            <w:r>
              <w:rPr>
                <w:rFonts w:ascii="Calibri" w:hAnsi="Calibri"/>
                <w:b/>
                <w:i w:val="0"/>
                <w:color w:val="212121"/>
                <w:sz w:val="19"/>
              </w:rPr>
              <w:t>Hyperacusis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Reduced sound tolerance frequently accompanies NIHL and tinnitus and can be disabling.</w:t>
            </w:r>
          </w:p>
        </w:tc>
      </w:tr>
      <w:tr>
        <w:trPr>
          <w:cantSplit/>
        </w:trPr>
        <w:tc>
          <w:tcPr>
            <w:tcW w:type="dxa" w:w="2232"/>
            <w:vAlign w:val="top"/>
          </w:tcPr>
          <w:p>
            <w:pPr>
              <w:spacing w:after="40" w:before="0" w:line="259" w:lineRule="auto"/>
            </w:pPr>
            <w:r>
              <w:rPr>
                <w:rFonts w:ascii="Calibri" w:hAnsi="Calibri"/>
                <w:b/>
                <w:i w:val="0"/>
                <w:color w:val="212121"/>
                <w:sz w:val="19"/>
              </w:rPr>
              <w:t>Presbycusis (age-related hearing loss)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Adds to noise damage in older adults, accelerating overall high-frequency loss.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sound at or above 85 dB(A) over 8 hours is hazardous, and that each 3 dB rise halves the safe exposure time (the 3-dB exchange 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safe-listening habits — the WHO '60-60' rule (≤ 60% volume for ≤ 60 minutes at a time) and keep personal-device output below 80 dB / 40 hours per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wear certified hearing protection (earplugs or earmuffs) in noisy workplaces, and during firecrackers, concerts and shooting; use the highest-noise-reduction device that still allows needed communication.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exposure by turning volume down, increasing distance from loud sources and taking quiet 'recovery' 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bursting firecrackers close to the ears and sudden impulse noise, which can cause instant permanent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and comply with workplace hearing-conservation programmes, including engineering noise controls and periodic audiometric screening.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Industrial &amp; construction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Traffic police &amp;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Youth / PLD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Once NIHL is detected, remove or reduce further noise exposure to halt progression — the loss already present is irreversible, but worsening is preventable.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audiometric follow-up to detect and act on any further threshold shift.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hearing aids for symptomatic loss, and cochlear implantation for severe/profound loss unresponsive to aids.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communication tactics: face the speaker, reduce background noise and use assistive listening devices (amplified phones, captioning).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co-morbid diabetes and hypertension, which accelerate cochlear injury.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diagnosed NIHL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Hearing-aid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Severe/profound loss (implant candidates)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at least 150 minutes/week of moderate aerobic activity to support cochlear microcirculation.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waist circumference to reduce the metabolic risk factors that worsen hearing.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control of blood pressure, glucose and lipids for cardiovascular and cochlear protection.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and 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Noise-exposed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with plenty of fruit and vegetables high in vitamins A, C and 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magnesium-, folate- and omega-3-rich foods (green leafy vegetables, nuts, legumes, millets, fish), which are associated with better hearing preservation.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excess salt to help control blood pressure and preserve cochlear blood flow.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and limit fried, ultra-processed foods.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noise-exposed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Diabetic/hypertensive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High-saturated-fat diet consumers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night-time noise exposure (quiet bedroom, reduced traffic noise) to protect sleep and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tinnitus-related insomnia, use sound enrichment/masking and good sleep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vascular and 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 in noisy jobs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tobacco roughly doubles the risk of NIHL and acts synergistically with noise through cochlear hypoxia and oxidative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(passive) smoke, which is also linked to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benefit is greater the earlier one quits.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Passive-smoke-exposed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Noise-exposed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within safe limits, as heavy use may worsen hearing and often accompanies loud recreational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heavy drinking with loud-music venues, where impaired judgement leads to prolonged high-volume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alcohol-related nutritional deficiencies that can further harm the auditory system.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Heavy/chronic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Nightlife-exposed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tinnitus and hearing-loss distress with counselling, tinnitus-retraining therapy or cognitive behavioural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hearing aids and assistive devices promptly to maintain communication and lower isolation and long-term dementia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social participation and involve family/caregivers to reduce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affected individuals for depression and anxiety and treat where indicated.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NIHL /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Depressed/anxious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rontiersin.org/journals/public-health/articles/10.3389/fpubh.2025.1682413/full" TargetMode="External"/><Relationship Id="rId10" Type="http://schemas.openxmlformats.org/officeDocument/2006/relationships/hyperlink" Target="https://nmji.in/prevalence-of-hearing-loss-in-india/" TargetMode="External"/><Relationship Id="rId11" Type="http://schemas.openxmlformats.org/officeDocument/2006/relationships/hyperlink" Target="https://doaj.org/article/e1d914113fb041f9b777cc21a1984d1a" TargetMode="External"/><Relationship Id="rId12" Type="http://schemas.openxmlformats.org/officeDocument/2006/relationships/hyperlink" Target="https://link.springer.com/article/10.1007/s40030-017-0210-6" TargetMode="External"/><Relationship Id="rId13" Type="http://schemas.openxmlformats.org/officeDocument/2006/relationships/hyperlink" Target="https://www.who.int/news-room/fact-sheets/detail/deafness-and-hearing-loss" TargetMode="External"/><Relationship Id="rId14" Type="http://schemas.openxmlformats.org/officeDocument/2006/relationships/hyperlink" Target="https://www.mdpi.com/1660-4601/17/4/1201/htm" TargetMode="External"/><Relationship Id="rId15" Type="http://schemas.openxmlformats.org/officeDocument/2006/relationships/hyperlink" Target="https://www.cdc.gov/diabetes/diabetes-complications/diabetes-and-hearing-loss.html" TargetMode="External"/><Relationship Id="rId16" Type="http://schemas.openxmlformats.org/officeDocument/2006/relationships/hyperlink" Target="https://www.frontiersin.org/journals/cellular-neuroscience/articles/10.3389/fncel.2025.1523149/full" TargetMode="External"/><Relationship Id="rId17" Type="http://schemas.openxmlformats.org/officeDocument/2006/relationships/hyperlink" Target="https://www.cdc.gov/niosh/noise/prevent/understand.html" TargetMode="External"/><Relationship Id="rId18" Type="http://schemas.openxmlformats.org/officeDocument/2006/relationships/hyperlink" Target="https://www.aafp.org/pubs/afp/issues/2000/0501/p2749.html" TargetMode="External"/><Relationship Id="rId19" Type="http://schemas.openxmlformats.org/officeDocument/2006/relationships/hyperlink" Target="https://www.ppsthane.com/blog/noise-pollution-rules-in-india" TargetMode="External"/><Relationship Id="rId20" Type="http://schemas.openxmlformats.org/officeDocument/2006/relationships/hyperlink" Target="https://www.nature.com/articles/s41598-024-559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