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G6PD Deficiency</w:t>
      </w:r>
    </w:p>
    <w:p>
      <w:pPr>
        <w:spacing w:before="0" w:after="160"/>
      </w:pPr>
      <w:r>
        <w:rPr>
          <w:rFonts w:ascii="Calibri" w:hAnsi="Calibri"/>
          <w:b/>
          <w:i w:val="0"/>
          <w:color w:val="212121"/>
          <w:sz w:val="22"/>
        </w:rPr>
        <w:t xml:space="preserve">AKA </w:t>
      </w:r>
      <w:r>
        <w:rPr>
          <w:rFonts w:ascii="Calibri" w:hAnsi="Calibri"/>
          <w:b w:val="0"/>
          <w:i w:val="0"/>
          <w:color w:val="212121"/>
          <w:sz w:val="22"/>
        </w:rPr>
        <w:t>i.e., Glucose-6-phosphate dehydrogenase deficiency, Favism, G6PDD, Primaquine-sensitivity anaemia, Drug-induced haemolytic anaemia (X-linked)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Glucose-6-phosphate dehydrogenase (G6PD) deficiency is an X-linked inherited enzyme disorder of the red blood cell and the most common human enzymopathy. G6PD is the rate-limiting enzyme of the pentose phosphate pathway and generates NADPH, which keeps glutathione reduced so red cells can neutralise oxidative stress. When the enzyme is deficient, red cells cannot cope with oxidant challenge, leading to haemoglobin denaturation (Heinz bodies) and acute haemolysis—typically triggered by certain drugs, infections or fava (broad) beans. Most affected individuals are asymptomatic between episodes; clinically it matters most for neonatal jaundice and for the safe use of oxidant drugs such as primaquine.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G6PD deficiency is the commonest red-cell enzyme disorder worldwide. In India, pooled data show a wide range of about 0-30.7%, with an overall prevalence of roughly 7-10%; it is markedly higher among tribal populations (~9.9%) than other communities (~7.3%), and reaches 27-31% in some tribes (e.g., Angami Nagas in Nagaland, Gamits in western India). An estimated ~4 million tribal males carry the deficiency, and India bears the world's single largest national burden—about 115 million people (GBD 2021). Because inheritance is X-linked, hemizygous males are affected far more often than females.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G6PD deficiency is diagnosed by demonstrating reduced red-cell enzyme activity, supported by clinical and laboratory evidence of haemolysis. Testing is ideally performed when the patient is NOT in an acute haemolytic crisis, because reticulocytes and young red cells have near-normal enzyme levels and can mask deficiency (false-normal result):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Qualitative fluorescent spot test — failure of the blood spot to fluoresce under ultraviolet light indicates deficient NADPH generation (rapid screening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Quantitative spectrophotometric enzyme assay — the reference standard; G6PD activity measured in U/g Hb, with WHO deficiency defined as &lt; 30% of the adjusted-male-median activity and severe deficiency &lt; 10%;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Point-of-care (POC) G6PD tests — used in malaria programmes before primaquine or tafenoquine to detect deficiency, and increasingly to quantify intermediate activity in heterozygous females;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Molecular / genetic testing (PCR) — confirms specific variants (e.g., G6PD Mediterranean, Odisha, Kerala-Kalyan), enables carrier detection in females and prenatal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evidence of haemolysis — anaemia with reticulocytosis, raised unconjugated (indirect) bilirubin and LDH, low haptoglobin, haemoglobinuria, a NEGATIVE direct antiglobulin (Coombs) test, and bite/blister cells with Heinz bodies on the peripheral smear;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Re-testing 2-3 months after an acute episode is advised when testing done during active haemolysis is normal but clinical suspicion remains high.</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G6PD deficiency is classified by residual enzyme activity and clinical severity. The 2022 revised WHO classification groups gene variants into four categories, replacing the older five-class (I-V) system:</w:t>
      </w:r>
    </w:p>
    <w:p>
      <w:pPr>
        <w:spacing w:before="0" w:after="80"/>
      </w:pPr>
      <w:r>
        <w:rPr>
          <w:rFonts w:ascii="Calibri" w:hAnsi="Calibri"/>
          <w:b w:val="0"/>
          <w:i w:val="0"/>
          <w:color w:val="212121"/>
          <w:sz w:val="21"/>
        </w:rPr>
        <w:t>(1) Class A (formerly Class I) — severe deficiency with median activity &lt; 20%, causing chronic non-spherocytic haemolytic anaemia (CNSHA) even without an external trigger;</w:t>
      </w:r>
    </w:p>
    <w:p>
      <w:pPr>
        <w:spacing w:before="0" w:after="80"/>
      </w:pPr>
      <w:r>
        <w:rPr>
          <w:rFonts w:ascii="Calibri" w:hAnsi="Calibri"/>
          <w:b w:val="0"/>
          <w:i w:val="0"/>
          <w:color w:val="212121"/>
          <w:sz w:val="21"/>
        </w:rPr>
        <w:t>(2) Class B (merging former Classes II and III) — the common deficient variants with &lt; 45% activity, causing acute, episodic, trigger-induced haemolysis; this includes G6PD Mediterranean (severe end, the predominant severe variant in India) and the African A- type;</w:t>
      </w:r>
    </w:p>
    <w:p>
      <w:pPr>
        <w:spacing w:before="0" w:after="80"/>
      </w:pPr>
      <w:r>
        <w:rPr>
          <w:rFonts w:ascii="Calibri" w:hAnsi="Calibri"/>
          <w:b w:val="0"/>
          <w:i w:val="0"/>
          <w:color w:val="212121"/>
          <w:sz w:val="21"/>
        </w:rPr>
        <w:t>(3) Class C (formerly Class IV) — normal activity (60-150%) with no increased haemolytic risk (e.g., wild-type G6PD B);</w:t>
      </w:r>
    </w:p>
    <w:p>
      <w:pPr>
        <w:spacing w:before="0" w:after="80"/>
      </w:pPr>
      <w:r>
        <w:rPr>
          <w:rFonts w:ascii="Calibri" w:hAnsi="Calibri"/>
          <w:b w:val="0"/>
          <w:i w:val="0"/>
          <w:color w:val="212121"/>
          <w:sz w:val="21"/>
        </w:rPr>
        <w:t>(4) Class U — variants of uncertain clinical significance awaiting further characterisation. Clinically, presentations are also grouped as: asymptomatic (most common), neonatal jaundice, acute haemolytic anaemia (drug-, infection- or fava-induced/favism), and chronic non-spherocytic haemolytic anaemia in severe variants.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mutation (G6PD gene, Xq28): Over 200 variants are described; inheritance is X-linked recessive. In India, G6PD Mediterranean (563C&gt;T), Odisha (131C&gt;G) and Kerala-Kalyan (949G&gt;A) predominate.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Enzyme-deficiency mechanism: Low G6PD reduces NADPH, depleting reduced glutathione; red cells cannot detoxify oxidants, leading to Heinz-body formation, membrane damage and haemolysis.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Oxidant drug exposure: Primaquine, dapsone, sulfonamides/co-trimoxazole, nitrofurantoin, nalidixic acid, methylene blue and rasburicase can precipitate acute haemolysis.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Fava (broad) bean ingestion (favism): The bean pyrimidines divicine and isouramil generate potent oxidative stress, especially with severe (Mediterranean) variants.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Infections: In practice the single most common trigger — viral hepatitis, pneumonia, typhoid/enteric fever and malaria drive an oxidative burst that haemolyses deficient cells.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Household chemical exposure: Naphthalene (mothballs/camphor balls) and henna (lawsone) are relevant Indian precipitants, particularly dangerous for neonates.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Malaria selection pressure: High gene frequency persists in historically malaria-endemic regions because deficiency confers partial protection against Plasmodium.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 Newborns</w:t>
            </w:r>
          </w:p>
        </w:tc>
        <w:tc>
          <w:tcPr>
            <w:tcW w:type="dxa" w:w="4276"/>
            <w:vAlign w:val="top"/>
          </w:tcPr>
          <w:p>
            <w:pPr>
              <w:spacing w:after="60" w:line="259" w:lineRule="auto"/>
            </w:pPr>
            <w:r>
              <w:rPr>
                <w:rFonts w:ascii="Calibri" w:hAnsi="Calibri"/>
                <w:b w:val="0"/>
                <w:i w:val="0"/>
                <w:color w:val="212121"/>
                <w:sz w:val="19"/>
              </w:rPr>
              <w:t>G6PD-deficient newborns are prone to neonatal jaundice (often within 24-72 h), which can progress to severe hyperbilirubinaemia and, if untreated, kernicterus. Exposure to naphthalene mothballs, henna or maternal drugs via breast milk can precipitate haemolysis.</w:t>
            </w:r>
          </w:p>
          <w:p>
            <w:pPr>
              <w:spacing w:after="40" w:before="60" w:line="259" w:lineRule="auto"/>
            </w:pPr>
            <w:r>
              <w:rPr>
                <w:rFonts w:ascii="Calibri" w:hAnsi="Calibri"/>
                <w:b w:val="0"/>
                <w:i w:val="0"/>
                <w:color w:val="212121"/>
                <w:sz w:val="19"/>
              </w:rPr>
              <w:t>Globally over 400,000 newborns are affected by jaundice each year, with about 75% residing in South/South-East Asia, sub-Saharan Africa and China—regions where G6PD deficiency is common.</w:t>
            </w:r>
          </w:p>
          <w:p>
            <w:pPr>
              <w:spacing w:after="40" w:line="252" w:lineRule="auto"/>
            </w:pPr>
            <w:hyperlink r:id="rId9">
              <w:r>
                <w:rPr>
                  <w:rFonts w:ascii="Calibri" w:hAnsi="Calibri" w:cs="Calibri"/>
                  <w:sz w:val="18"/>
                  <w:color w:val="1155CC"/>
                  <w:u w:val="single"/>
                </w:rPr>
                <w:t xml:space="preserve">pmc.ncbi.nlm.nih.gov — G6PD &amp; neonatal hyperbilirubinemia</w:t>
              </w:r>
            </w:hyperlink>
          </w:p>
          <w:p>
            <w:pPr>
              <w:spacing w:before="60" w:after="40"/>
            </w:pPr>
            <w:r>
              <w:rPr>
                <w:rFonts w:ascii="Calibri" w:hAnsi="Calibri"/>
                <w:b w:val="0"/>
                <w:i w:val="0"/>
                <w:color w:val="5A5A5A"/>
                <w:sz w:val="18"/>
              </w:rPr>
              <w:t>#neonataljaundice  #kernicterus  #newbornscreening  #naphthalene  #phototherapy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Most deficient adults are asymptomatic until an oxidant challenge (drug, infection, fava bean) triggers acute haemolysis. Risk is amplified by self-medication with antimalarials, sulfa drugs and over-the-counter analgesics common in India.</w:t>
            </w:r>
          </w:p>
          <w:p>
            <w:pPr>
              <w:spacing w:after="40" w:before="60" w:line="259" w:lineRule="auto"/>
            </w:pPr>
            <w:r>
              <w:rPr>
                <w:rFonts w:ascii="Calibri" w:hAnsi="Calibri"/>
                <w:b w:val="0"/>
                <w:i w:val="0"/>
                <w:color w:val="212121"/>
                <w:sz w:val="19"/>
              </w:rPr>
              <w:t>India carries the world's largest national G6PD burden—approximately 115 million people (GBD 2021).</w:t>
            </w:r>
          </w:p>
          <w:p>
            <w:pPr>
              <w:spacing w:after="40" w:line="252" w:lineRule="auto"/>
            </w:pPr>
            <w:hyperlink r:id="rId10">
              <w:r>
                <w:rPr>
                  <w:rFonts w:ascii="Calibri" w:hAnsi="Calibri" w:cs="Calibri"/>
                  <w:sz w:val="18"/>
                  <w:color w:val="1155CC"/>
                  <w:u w:val="single"/>
                </w:rPr>
                <w:t xml:space="preserve">pmc.ncbi.nlm.nih.gov — GBD 2021 G6PD burden</w:t>
              </w:r>
            </w:hyperlink>
          </w:p>
          <w:p>
            <w:pPr>
              <w:spacing w:before="60" w:after="40"/>
            </w:pPr>
            <w:r>
              <w:rPr>
                <w:rFonts w:ascii="Calibri" w:hAnsi="Calibri"/>
                <w:b w:val="0"/>
                <w:i w:val="0"/>
                <w:color w:val="5A5A5A"/>
                <w:sz w:val="18"/>
              </w:rPr>
              <w:t>#acutehemolysis  #selfmedication  #primaquine  #favism  #oxidativestress</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(hemizygous)</w:t>
            </w:r>
          </w:p>
        </w:tc>
        <w:tc>
          <w:tcPr>
            <w:tcW w:type="dxa" w:w="4276"/>
            <w:vAlign w:val="top"/>
          </w:tcPr>
          <w:p>
            <w:pPr>
              <w:spacing w:after="60" w:line="259" w:lineRule="auto"/>
            </w:pPr>
            <w:r>
              <w:rPr>
                <w:rFonts w:ascii="Calibri" w:hAnsi="Calibri"/>
                <w:b w:val="0"/>
                <w:i w:val="0"/>
                <w:color w:val="212121"/>
                <w:sz w:val="19"/>
              </w:rPr>
              <w:t>Because the G6PD gene is on the X chromosome, males carry a single copy; a deficient allele is fully expressed (hemizygous), making males far more commonly and severely affected.</w:t>
            </w:r>
          </w:p>
          <w:p>
            <w:pPr>
              <w:spacing w:after="40" w:before="60" w:line="259" w:lineRule="auto"/>
            </w:pPr>
            <w:r>
              <w:rPr>
                <w:rFonts w:ascii="Calibri" w:hAnsi="Calibri"/>
                <w:b w:val="0"/>
                <w:i w:val="0"/>
                <w:color w:val="212121"/>
                <w:sz w:val="19"/>
              </w:rPr>
              <w:t>In GBD 2021, males showed higher prevalence and age-standardised prevalence rates than females across all age groups.</w:t>
            </w:r>
          </w:p>
          <w:p>
            <w:pPr>
              <w:spacing w:after="40" w:line="252" w:lineRule="auto"/>
            </w:pPr>
            <w:hyperlink r:id="rId10">
              <w:r>
                <w:rPr>
                  <w:rFonts w:ascii="Calibri" w:hAnsi="Calibri" w:cs="Calibri"/>
                  <w:sz w:val="18"/>
                  <w:color w:val="1155CC"/>
                  <w:u w:val="single"/>
                </w:rPr>
                <w:t xml:space="preserve">pmc.ncbi.nlm.nih.gov — GBD 2021 G6PD burden</w:t>
              </w:r>
            </w:hyperlink>
          </w:p>
          <w:p>
            <w:pPr>
              <w:spacing w:before="60" w:after="40"/>
            </w:pPr>
            <w:r>
              <w:rPr>
                <w:rFonts w:ascii="Calibri" w:hAnsi="Calibri"/>
                <w:b w:val="0"/>
                <w:i w:val="0"/>
                <w:color w:val="5A5A5A"/>
                <w:sz w:val="18"/>
              </w:rPr>
              <w:t>#Xlinked  #hemizygous  #malepredominance  #genetics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heterozygous carriers</w:t>
            </w:r>
          </w:p>
        </w:tc>
        <w:tc>
          <w:tcPr>
            <w:tcW w:type="dxa" w:w="4276"/>
            <w:vAlign w:val="top"/>
          </w:tcPr>
          <w:p>
            <w:pPr>
              <w:spacing w:after="60" w:line="259" w:lineRule="auto"/>
            </w:pPr>
            <w:r>
              <w:rPr>
                <w:rFonts w:ascii="Calibri" w:hAnsi="Calibri"/>
                <w:b w:val="0"/>
                <w:i w:val="0"/>
                <w:color w:val="212121"/>
                <w:sz w:val="19"/>
              </w:rPr>
              <w:t>Heterozygous females have two red-cell populations (X-inactivation/lyonisation); many are asymptomatic but a subset with skewed inactivation have intermediate activity and can haemolyse. Standard screening tests frequently miss these intermediate carriers.</w:t>
            </w:r>
          </w:p>
          <w:p>
            <w:pPr>
              <w:spacing w:after="40" w:before="60" w:line="259" w:lineRule="auto"/>
            </w:pPr>
            <w:r>
              <w:rPr>
                <w:rFonts w:ascii="Calibri" w:hAnsi="Calibri"/>
                <w:b w:val="0"/>
                <w:i w:val="0"/>
                <w:color w:val="212121"/>
                <w:sz w:val="19"/>
              </w:rPr>
              <w:t>Qualitative screening reliably detects deficiency mainly in hemizygous males; heterozygous females with intermediate activity are commonly under-detected.</w:t>
            </w:r>
          </w:p>
          <w:p>
            <w:pPr>
              <w:spacing w:after="40" w:line="252" w:lineRule="auto"/>
            </w:pPr>
            <w:hyperlink r:id="rId11">
              <w:r>
                <w:rPr>
                  <w:rFonts w:ascii="Calibri" w:hAnsi="Calibri" w:cs="Calibri"/>
                  <w:sz w:val="18"/>
                  <w:color w:val="1155CC"/>
                  <w:u w:val="single"/>
                </w:rPr>
                <w:t xml:space="preserve">aafp.org — diagnosis &amp; management of G6PD deficiency</w:t>
              </w:r>
            </w:hyperlink>
          </w:p>
          <w:p>
            <w:pPr>
              <w:spacing w:before="60" w:after="40"/>
            </w:pPr>
            <w:r>
              <w:rPr>
                <w:rFonts w:ascii="Calibri" w:hAnsi="Calibri"/>
                <w:b w:val="0"/>
                <w:i w:val="0"/>
                <w:color w:val="5A5A5A"/>
                <w:sz w:val="18"/>
              </w:rPr>
              <w:t>#carrier  #lyonization  #intermediateactivity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 tribal, low-access populations</w:t>
            </w:r>
          </w:p>
        </w:tc>
        <w:tc>
          <w:tcPr>
            <w:tcW w:type="dxa" w:w="4276"/>
            <w:vAlign w:val="top"/>
          </w:tcPr>
          <w:p>
            <w:pPr>
              <w:spacing w:after="60" w:line="259" w:lineRule="auto"/>
            </w:pPr>
            <w:r>
              <w:rPr>
                <w:rFonts w:ascii="Calibri" w:hAnsi="Calibri"/>
                <w:b w:val="0"/>
                <w:i w:val="0"/>
                <w:color w:val="212121"/>
                <w:sz w:val="19"/>
              </w:rPr>
              <w:t>Communities in malaria-endemic, resource-limited areas have both higher gene frequency and limited access to G6PD testing before antimalarial (primaquine) therapy, increasing the risk of drug-induced haemolysis.</w:t>
            </w:r>
          </w:p>
          <w:p>
            <w:pPr>
              <w:spacing w:after="40" w:before="60" w:line="259" w:lineRule="auto"/>
            </w:pPr>
            <w:r>
              <w:rPr>
                <w:rFonts w:ascii="Calibri" w:hAnsi="Calibri"/>
                <w:b w:val="0"/>
                <w:i w:val="0"/>
                <w:color w:val="212121"/>
                <w:sz w:val="19"/>
              </w:rPr>
              <w:t>An estimated ~4 million tribal males in India are believed to carry G6PD deficiency.</w:t>
            </w:r>
          </w:p>
          <w:p>
            <w:pPr>
              <w:spacing w:after="40" w:line="252" w:lineRule="auto"/>
            </w:pPr>
            <w:hyperlink r:id="rId12">
              <w:r>
                <w:rPr>
                  <w:rFonts w:ascii="Calibri" w:hAnsi="Calibri" w:cs="Calibri"/>
                  <w:sz w:val="18"/>
                  <w:color w:val="1155CC"/>
                  <w:u w:val="single"/>
                </w:rPr>
                <w:t xml:space="preserve">ijmr.org.in — G6PD among tribal populations of India</w:t>
              </w:r>
            </w:hyperlink>
          </w:p>
          <w:p>
            <w:pPr>
              <w:spacing w:before="60" w:after="40"/>
            </w:pPr>
            <w:r>
              <w:rPr>
                <w:rFonts w:ascii="Calibri" w:hAnsi="Calibri"/>
                <w:b w:val="0"/>
                <w:i w:val="0"/>
                <w:color w:val="5A5A5A"/>
                <w:sz w:val="18"/>
              </w:rPr>
              <w:t>#tribalhealth  #malariaendemic  #testingaccess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tribal populations</w:t>
            </w:r>
          </w:p>
        </w:tc>
        <w:tc>
          <w:tcPr>
            <w:tcW w:type="dxa" w:w="4276"/>
            <w:vAlign w:val="top"/>
          </w:tcPr>
          <w:p>
            <w:pPr>
              <w:spacing w:after="60" w:line="259" w:lineRule="auto"/>
            </w:pPr>
            <w:r>
              <w:rPr>
                <w:rFonts w:ascii="Calibri" w:hAnsi="Calibri"/>
                <w:b w:val="0"/>
                <w:i w:val="0"/>
                <w:color w:val="212121"/>
                <w:sz w:val="19"/>
              </w:rPr>
              <w:t>Tribal groups in India have substantially higher G6PD deficiency than non-tribal communities, reflecting historic malaria selection and endogamy. Some tribes reach the highest recorded frequencies.</w:t>
            </w:r>
          </w:p>
          <w:p>
            <w:pPr>
              <w:spacing w:after="40" w:before="60" w:line="259" w:lineRule="auto"/>
            </w:pPr>
            <w:r>
              <w:rPr>
                <w:rFonts w:ascii="Calibri" w:hAnsi="Calibri"/>
                <w:b w:val="0"/>
                <w:i w:val="0"/>
                <w:color w:val="212121"/>
                <w:sz w:val="19"/>
              </w:rPr>
              <w:t>Systematic review: ~9.86% in tribal populations vs ~7.34% in other ethnic groups; overall range 0-30.7%.</w:t>
            </w:r>
          </w:p>
          <w:p>
            <w:pPr>
              <w:spacing w:after="40" w:line="252" w:lineRule="auto"/>
            </w:pPr>
            <w:hyperlink r:id="rId13">
              <w:r>
                <w:rPr>
                  <w:rFonts w:ascii="Calibri" w:hAnsi="Calibri" w:cs="Calibri"/>
                  <w:sz w:val="18"/>
                  <w:color w:val="1155CC"/>
                  <w:u w:val="single"/>
                </w:rPr>
                <w:t xml:space="preserve">scirp.org — G6PD deficiency in India: systematic review</w:t>
              </w:r>
            </w:hyperlink>
          </w:p>
          <w:p>
            <w:pPr>
              <w:spacing w:before="60" w:after="40"/>
            </w:pPr>
            <w:r>
              <w:rPr>
                <w:rFonts w:ascii="Calibri" w:hAnsi="Calibri"/>
                <w:b w:val="0"/>
                <w:i w:val="0"/>
                <w:color w:val="5A5A5A"/>
                <w:sz w:val="18"/>
              </w:rPr>
              <w:t>#tribal  #endogamy  #malariaselection  #highprevalence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Eastern &amp; Western India (Odisha, Gujarat, Maharashtra)</w:t>
            </w:r>
          </w:p>
        </w:tc>
        <w:tc>
          <w:tcPr>
            <w:tcW w:type="dxa" w:w="4276"/>
            <w:vAlign w:val="top"/>
          </w:tcPr>
          <w:p>
            <w:pPr>
              <w:spacing w:after="60" w:line="259" w:lineRule="auto"/>
            </w:pPr>
            <w:r>
              <w:rPr>
                <w:rFonts w:ascii="Calibri" w:hAnsi="Calibri"/>
                <w:b w:val="0"/>
                <w:i w:val="0"/>
                <w:color w:val="212121"/>
                <w:sz w:val="19"/>
              </w:rPr>
              <w:t>The G6PD Odisha variant is a major cause of deficiency in eastern and western India, where malaria has been historically endemic. Certain tribes show very high frequencies.</w:t>
            </w:r>
          </w:p>
          <w:p>
            <w:pPr>
              <w:spacing w:after="40" w:before="60" w:line="259" w:lineRule="auto"/>
            </w:pPr>
            <w:r>
              <w:rPr>
                <w:rFonts w:ascii="Calibri" w:hAnsi="Calibri"/>
                <w:b w:val="0"/>
                <w:i w:val="0"/>
                <w:color w:val="212121"/>
                <w:sz w:val="19"/>
              </w:rPr>
              <w:t>Reported frequencies include Angami Nagas ~27.0% and Gamits ~31.4%; overall tribal prevalence ~7.7% (range 2.3-27.0%).</w:t>
            </w:r>
          </w:p>
          <w:p>
            <w:pPr>
              <w:spacing w:after="40" w:line="252" w:lineRule="auto"/>
            </w:pPr>
            <w:hyperlink r:id="rId12">
              <w:r>
                <w:rPr>
                  <w:rFonts w:ascii="Calibri" w:hAnsi="Calibri" w:cs="Calibri"/>
                  <w:sz w:val="18"/>
                  <w:color w:val="1155CC"/>
                  <w:u w:val="single"/>
                </w:rPr>
                <w:t xml:space="preserve">ijmr.org.in — G6PD among tribal populations of India</w:t>
              </w:r>
            </w:hyperlink>
          </w:p>
          <w:p>
            <w:pPr>
              <w:spacing w:before="60" w:after="40"/>
            </w:pPr>
            <w:r>
              <w:rPr>
                <w:rFonts w:ascii="Calibri" w:hAnsi="Calibri"/>
                <w:b w:val="0"/>
                <w:i w:val="0"/>
                <w:color w:val="5A5A5A"/>
                <w:sz w:val="18"/>
              </w:rPr>
              <w:t>#G6PDOdisha  #regionalvariation  #Nagaland  #Gujarat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Malaria endemicity</w:t>
            </w:r>
          </w:p>
        </w:tc>
        <w:tc>
          <w:tcPr>
            <w:tcW w:type="dxa" w:w="2160"/>
            <w:vAlign w:val="top"/>
          </w:tcPr>
          <w:p>
            <w:pPr>
              <w:spacing w:after="40" w:before="0" w:line="259" w:lineRule="auto"/>
            </w:pPr>
            <w:r>
              <w:rPr>
                <w:rFonts w:ascii="Calibri" w:hAnsi="Calibri"/>
                <w:b w:val="0"/>
                <w:i w:val="0"/>
                <w:color w:val="212121"/>
                <w:sz w:val="19"/>
              </w:rPr>
              <w:t>Populations from malaria belts</w:t>
            </w:r>
          </w:p>
        </w:tc>
        <w:tc>
          <w:tcPr>
            <w:tcW w:type="dxa" w:w="4276"/>
            <w:vAlign w:val="top"/>
          </w:tcPr>
          <w:p>
            <w:pPr>
              <w:spacing w:after="60" w:line="259" w:lineRule="auto"/>
            </w:pPr>
            <w:r>
              <w:rPr>
                <w:rFonts w:ascii="Calibri" w:hAnsi="Calibri"/>
                <w:b w:val="0"/>
                <w:i w:val="0"/>
                <w:color w:val="212121"/>
                <w:sz w:val="19"/>
              </w:rPr>
              <w:t>G6PD deficiency confers partial protection against Plasmodium falciparum, so the trait has been positively selected and remains frequent in historically malarious regions—the same regions where primaquine radical cure is now used, creating a drug-safety concern.</w:t>
            </w:r>
          </w:p>
          <w:p>
            <w:pPr>
              <w:spacing w:after="40" w:before="60" w:line="259" w:lineRule="auto"/>
            </w:pPr>
            <w:r>
              <w:rPr>
                <w:rFonts w:ascii="Calibri" w:hAnsi="Calibri"/>
                <w:b w:val="0"/>
                <w:i w:val="0"/>
                <w:color w:val="212121"/>
                <w:sz w:val="19"/>
              </w:rPr>
              <w:t>Deficiency prevalence correlates geographically with endemic malaria zones (balanced-polymorphism / evolutionary selection).</w:t>
            </w:r>
          </w:p>
          <w:p>
            <w:pPr>
              <w:spacing w:after="40" w:line="252" w:lineRule="auto"/>
            </w:pPr>
            <w:hyperlink r:id="rId14">
              <w:r>
                <w:rPr>
                  <w:rFonts w:ascii="Calibri" w:hAnsi="Calibri" w:cs="Calibri"/>
                  <w:sz w:val="18"/>
                  <w:color w:val="1155CC"/>
                  <w:u w:val="single"/>
                </w:rPr>
                <w:t xml:space="preserve">who.int — G6PD testing for safe use of primaquine</w:t>
              </w:r>
            </w:hyperlink>
          </w:p>
          <w:p>
            <w:pPr>
              <w:spacing w:before="60" w:after="40"/>
            </w:pPr>
            <w:r>
              <w:rPr>
                <w:rFonts w:ascii="Calibri" w:hAnsi="Calibri"/>
                <w:b w:val="0"/>
                <w:i w:val="0"/>
                <w:color w:val="5A5A5A"/>
                <w:sz w:val="18"/>
              </w:rPr>
              <w:t>#malaria  #balancedpolymorphism  #primaquine  #radicalcure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Self-medication / drug exposure</w:t>
            </w:r>
          </w:p>
        </w:tc>
        <w:tc>
          <w:tcPr>
            <w:tcW w:type="dxa" w:w="2160"/>
            <w:vAlign w:val="top"/>
          </w:tcPr>
          <w:p>
            <w:pPr>
              <w:spacing w:after="40" w:before="0" w:line="259" w:lineRule="auto"/>
            </w:pPr>
            <w:r>
              <w:rPr>
                <w:rFonts w:ascii="Calibri" w:hAnsi="Calibri"/>
                <w:b w:val="0"/>
                <w:i w:val="0"/>
                <w:color w:val="212121"/>
                <w:sz w:val="19"/>
              </w:rPr>
              <w:t>Users of OTC antimalarials, sulfa &amp; analgesics</w:t>
            </w:r>
          </w:p>
        </w:tc>
        <w:tc>
          <w:tcPr>
            <w:tcW w:type="dxa" w:w="4276"/>
            <w:vAlign w:val="top"/>
          </w:tcPr>
          <w:p>
            <w:pPr>
              <w:spacing w:after="60" w:line="259" w:lineRule="auto"/>
            </w:pPr>
            <w:r>
              <w:rPr>
                <w:rFonts w:ascii="Calibri" w:hAnsi="Calibri"/>
                <w:b w:val="0"/>
                <w:i w:val="0"/>
                <w:color w:val="212121"/>
                <w:sz w:val="19"/>
              </w:rPr>
              <w:t>Widespread self-medication and antimalarial use without prior G6PD testing exposes deficient individuals to oxidant drugs (primaquine, sulfonamides, nitrofurantoin, dapsone), the leading iatrogenic cause of acute haemolysis.</w:t>
            </w:r>
          </w:p>
          <w:p>
            <w:pPr>
              <w:spacing w:after="40" w:before="60" w:line="259" w:lineRule="auto"/>
            </w:pPr>
            <w:r>
              <w:rPr>
                <w:rFonts w:ascii="Calibri" w:hAnsi="Calibri"/>
                <w:b w:val="0"/>
                <w:i w:val="0"/>
                <w:color w:val="212121"/>
                <w:sz w:val="19"/>
              </w:rPr>
              <w:t>Primaquine at standard/higher doses and rasburicase are classed high-risk and should be avoided in G6PD deficiency (CPIC).</w:t>
            </w:r>
          </w:p>
          <w:p>
            <w:pPr>
              <w:spacing w:after="40" w:line="252" w:lineRule="auto"/>
            </w:pPr>
            <w:hyperlink r:id="rId15">
              <w:r>
                <w:rPr>
                  <w:rFonts w:ascii="Calibri" w:hAnsi="Calibri" w:cs="Calibri"/>
                  <w:sz w:val="18"/>
                  <w:color w:val="1155CC"/>
                  <w:u w:val="single"/>
                </w:rPr>
                <w:t xml:space="preserve">cpicpgx.org — CPIC guideline for rasburicase &amp; G6PD</w:t>
              </w:r>
            </w:hyperlink>
          </w:p>
          <w:p>
            <w:pPr>
              <w:spacing w:before="60" w:after="40"/>
            </w:pPr>
            <w:r>
              <w:rPr>
                <w:rFonts w:ascii="Calibri" w:hAnsi="Calibri"/>
                <w:b w:val="0"/>
                <w:i w:val="0"/>
                <w:color w:val="5A5A5A"/>
                <w:sz w:val="18"/>
              </w:rPr>
              <w:t>#oxidantdrugs  #primaquine  #rasburicase  #drugsafety  #pharmacogenomics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chemical exposure</w:t>
            </w:r>
          </w:p>
        </w:tc>
        <w:tc>
          <w:tcPr>
            <w:tcW w:type="dxa" w:w="2160"/>
            <w:vAlign w:val="top"/>
          </w:tcPr>
          <w:p>
            <w:pPr>
              <w:spacing w:after="40" w:before="0" w:line="259" w:lineRule="auto"/>
            </w:pPr>
            <w:r>
              <w:rPr>
                <w:rFonts w:ascii="Calibri" w:hAnsi="Calibri"/>
                <w:b w:val="0"/>
                <w:i w:val="0"/>
                <w:color w:val="212121"/>
                <w:sz w:val="19"/>
              </w:rPr>
              <w:t>Households using naphthalene mothballs / henna</w:t>
            </w:r>
          </w:p>
        </w:tc>
        <w:tc>
          <w:tcPr>
            <w:tcW w:type="dxa" w:w="4276"/>
            <w:vAlign w:val="top"/>
          </w:tcPr>
          <w:p>
            <w:pPr>
              <w:spacing w:after="60" w:line="259" w:lineRule="auto"/>
            </w:pPr>
            <w:r>
              <w:rPr>
                <w:rFonts w:ascii="Calibri" w:hAnsi="Calibri"/>
                <w:b w:val="0"/>
                <w:i w:val="0"/>
                <w:color w:val="212121"/>
                <w:sz w:val="19"/>
              </w:rPr>
              <w:t>Naphthalene (camphor/mothballs) in clothing and bedding, and henna (lawsone) application, are common Indian exposures that can precipitate haemolysis—especially dangerous for G6PD-deficient neonates and infants.</w:t>
            </w:r>
          </w:p>
          <w:p>
            <w:pPr>
              <w:spacing w:after="40" w:before="60" w:line="259" w:lineRule="auto"/>
            </w:pPr>
            <w:r>
              <w:rPr>
                <w:rFonts w:ascii="Calibri" w:hAnsi="Calibri"/>
                <w:b w:val="0"/>
                <w:i w:val="0"/>
                <w:color w:val="212121"/>
                <w:sz w:val="19"/>
              </w:rPr>
              <w:t>Naphthalene and henna are recognised oxidative precipitants of haemolysis in G6PD-deficient individuals.</w:t>
            </w:r>
          </w:p>
          <w:p>
            <w:pPr>
              <w:spacing w:after="40" w:line="252" w:lineRule="auto"/>
            </w:pPr>
            <w:hyperlink r:id="rId16">
              <w:r>
                <w:rPr>
                  <w:rFonts w:ascii="Calibri" w:hAnsi="Calibri" w:cs="Calibri"/>
                  <w:sz w:val="18"/>
                  <w:color w:val="1155CC"/>
                  <w:u w:val="single"/>
                </w:rPr>
                <w:t xml:space="preserve">rarediseases.org (NORD) — G6PD deficiency</w:t>
              </w:r>
            </w:hyperlink>
          </w:p>
          <w:p>
            <w:pPr>
              <w:spacing w:before="60" w:after="40"/>
            </w:pPr>
            <w:r>
              <w:rPr>
                <w:rFonts w:ascii="Calibri" w:hAnsi="Calibri"/>
                <w:b w:val="0"/>
                <w:i w:val="0"/>
                <w:color w:val="5A5A5A"/>
                <w:sz w:val="18"/>
              </w:rPr>
              <w:t>#naphthalene  #mothballs  #henna  #neonatalrisk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Fava / broad beans</w:t>
            </w:r>
          </w:p>
        </w:tc>
        <w:tc>
          <w:tcPr>
            <w:tcW w:type="dxa" w:w="2160"/>
            <w:vAlign w:val="top"/>
          </w:tcPr>
          <w:p>
            <w:pPr>
              <w:spacing w:after="40" w:before="0" w:line="259" w:lineRule="auto"/>
            </w:pPr>
            <w:r>
              <w:rPr>
                <w:rFonts w:ascii="Calibri" w:hAnsi="Calibri"/>
                <w:b w:val="0"/>
                <w:i w:val="0"/>
                <w:color w:val="212121"/>
                <w:sz w:val="19"/>
              </w:rPr>
              <w:t>Fava-bean consumers (favism)</w:t>
            </w:r>
          </w:p>
        </w:tc>
        <w:tc>
          <w:tcPr>
            <w:tcW w:type="dxa" w:w="4276"/>
            <w:vAlign w:val="top"/>
          </w:tcPr>
          <w:p>
            <w:pPr>
              <w:spacing w:after="60" w:line="259" w:lineRule="auto"/>
            </w:pPr>
            <w:r>
              <w:rPr>
                <w:rFonts w:ascii="Calibri" w:hAnsi="Calibri"/>
                <w:b w:val="0"/>
                <w:i w:val="0"/>
                <w:color w:val="212121"/>
                <w:sz w:val="19"/>
              </w:rPr>
              <w:t>Fava (broad) beans contain divicine and isouramil, potent oxidants that can cause abrupt, sometimes severe intravascular haemolysis (favism) within hours to a day or two—most marked with severe Class B variants such as G6PD Mediterranean.</w:t>
            </w:r>
          </w:p>
          <w:p>
            <w:pPr>
              <w:spacing w:after="40" w:before="60" w:line="259" w:lineRule="auto"/>
            </w:pPr>
            <w:r>
              <w:rPr>
                <w:rFonts w:ascii="Calibri" w:hAnsi="Calibri"/>
                <w:b w:val="0"/>
                <w:i w:val="0"/>
                <w:color w:val="212121"/>
                <w:sz w:val="19"/>
              </w:rPr>
              <w:t>Fava bean ingestion is a classic precipitant of acute haemolysis, typically beginning 24-72 h after oxidant exposure.</w:t>
            </w:r>
          </w:p>
          <w:p>
            <w:pPr>
              <w:spacing w:after="40" w:line="252" w:lineRule="auto"/>
            </w:pPr>
            <w:hyperlink r:id="rId11">
              <w:r>
                <w:rPr>
                  <w:rFonts w:ascii="Calibri" w:hAnsi="Calibri" w:cs="Calibri"/>
                  <w:sz w:val="18"/>
                  <w:color w:val="1155CC"/>
                  <w:u w:val="single"/>
                </w:rPr>
                <w:t xml:space="preserve">aafp.org — diagnosis &amp; management of G6PD deficiency</w:t>
              </w:r>
            </w:hyperlink>
          </w:p>
          <w:p>
            <w:pPr>
              <w:spacing w:before="60" w:after="40"/>
            </w:pPr>
            <w:r>
              <w:rPr>
                <w:rFonts w:ascii="Calibri" w:hAnsi="Calibri"/>
                <w:b w:val="0"/>
                <w:i w:val="0"/>
                <w:color w:val="5A5A5A"/>
                <w:sz w:val="18"/>
              </w:rPr>
              <w:t>#favism  #favabeans  #divicine  #Mediterranean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oxidant ingestions</w:t>
            </w:r>
          </w:p>
        </w:tc>
        <w:tc>
          <w:tcPr>
            <w:tcW w:type="dxa" w:w="2160"/>
            <w:vAlign w:val="top"/>
          </w:tcPr>
          <w:p>
            <w:pPr>
              <w:spacing w:after="40" w:before="0" w:line="259" w:lineRule="auto"/>
            </w:pPr>
            <w:r>
              <w:rPr>
                <w:rFonts w:ascii="Calibri" w:hAnsi="Calibri"/>
                <w:b w:val="0"/>
                <w:i w:val="0"/>
                <w:color w:val="212121"/>
                <w:sz w:val="19"/>
              </w:rPr>
              <w:t>Consumers of quinine tonic water, vitamin-C megadoses, some blue dyes</w:t>
            </w:r>
          </w:p>
        </w:tc>
        <w:tc>
          <w:tcPr>
            <w:tcW w:type="dxa" w:w="4276"/>
            <w:vAlign w:val="top"/>
          </w:tcPr>
          <w:p>
            <w:pPr>
              <w:spacing w:after="60" w:line="259" w:lineRule="auto"/>
            </w:pPr>
            <w:r>
              <w:rPr>
                <w:rFonts w:ascii="Calibri" w:hAnsi="Calibri"/>
                <w:b w:val="0"/>
                <w:i w:val="0"/>
                <w:color w:val="212121"/>
                <w:sz w:val="19"/>
              </w:rPr>
              <w:t>Quinine-containing tonic water, high-dose intravenous/oral vitamin C, methylene-blue dyes and certain herbal products add oxidative load and may aggravate haemolysis in susceptible individuals.</w:t>
            </w:r>
          </w:p>
          <w:p>
            <w:pPr>
              <w:spacing w:after="40" w:before="60" w:line="259" w:lineRule="auto"/>
            </w:pPr>
            <w:r>
              <w:rPr>
                <w:rFonts w:ascii="Calibri" w:hAnsi="Calibri"/>
                <w:b w:val="0"/>
                <w:i w:val="0"/>
                <w:color w:val="212121"/>
                <w:sz w:val="19"/>
              </w:rPr>
              <w:t>Methylene blue and high oxidant loads are listed among agents that can trigger haemolysis in G6PD deficiency.</w:t>
            </w:r>
          </w:p>
          <w:p>
            <w:pPr>
              <w:spacing w:after="40" w:line="252" w:lineRule="auto"/>
            </w:pPr>
            <w:hyperlink r:id="rId11">
              <w:r>
                <w:rPr>
                  <w:rFonts w:ascii="Calibri" w:hAnsi="Calibri" w:cs="Calibri"/>
                  <w:sz w:val="18"/>
                  <w:color w:val="1155CC"/>
                  <w:u w:val="single"/>
                </w:rPr>
                <w:t xml:space="preserve">aafp.org — diagnosis &amp; management of G6PD deficiency</w:t>
              </w:r>
            </w:hyperlink>
          </w:p>
          <w:p>
            <w:pPr>
              <w:spacing w:before="60" w:after="40"/>
            </w:pPr>
            <w:r>
              <w:rPr>
                <w:rFonts w:ascii="Calibri" w:hAnsi="Calibri"/>
                <w:b w:val="0"/>
                <w:i w:val="0"/>
                <w:color w:val="5A5A5A"/>
                <w:sz w:val="18"/>
              </w:rPr>
              <w:t>#quinine  #tonicwater  #methyleneblue  #vitaminC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of affected males / carrier mothers</w:t>
            </w:r>
          </w:p>
        </w:tc>
        <w:tc>
          <w:tcPr>
            <w:tcW w:type="dxa" w:w="4276"/>
            <w:vAlign w:val="top"/>
          </w:tcPr>
          <w:p>
            <w:pPr>
              <w:spacing w:after="60" w:line="259" w:lineRule="auto"/>
            </w:pPr>
            <w:r>
              <w:rPr>
                <w:rFonts w:ascii="Calibri" w:hAnsi="Calibri"/>
                <w:b w:val="0"/>
                <w:i w:val="0"/>
                <w:color w:val="212121"/>
                <w:sz w:val="19"/>
              </w:rPr>
              <w:t>X-linked inheritance means affected males transmit the allele to all daughters (obligate carriers) and carrier mothers pass it to 50% of sons. A family history of neonatal jaundice, drug- or fava-induced anaemia strongly predicts deficiency.</w:t>
            </w:r>
          </w:p>
          <w:p>
            <w:pPr>
              <w:spacing w:after="40" w:before="60" w:line="259" w:lineRule="auto"/>
            </w:pPr>
            <w:r>
              <w:rPr>
                <w:rFonts w:ascii="Calibri" w:hAnsi="Calibri"/>
                <w:b w:val="0"/>
                <w:i w:val="0"/>
                <w:color w:val="212121"/>
                <w:sz w:val="19"/>
              </w:rPr>
              <w:t>Inheritance is X-linked recessive; sons of carrier mothers have a 50% chance of being deficient.</w:t>
            </w:r>
          </w:p>
          <w:p>
            <w:pPr>
              <w:spacing w:after="40" w:line="252" w:lineRule="auto"/>
            </w:pPr>
            <w:hyperlink r:id="rId17">
              <w:r>
                <w:rPr>
                  <w:rFonts w:ascii="Calibri" w:hAnsi="Calibri" w:cs="Calibri"/>
                  <w:sz w:val="18"/>
                  <w:color w:val="1155CC"/>
                  <w:u w:val="single"/>
                </w:rPr>
                <w:t xml:space="preserve">medscape.com — G6PD deficiency overview</w:t>
              </w:r>
            </w:hyperlink>
          </w:p>
          <w:p>
            <w:pPr>
              <w:spacing w:before="60" w:after="40"/>
            </w:pPr>
            <w:r>
              <w:rPr>
                <w:rFonts w:ascii="Calibri" w:hAnsi="Calibri"/>
                <w:b w:val="0"/>
                <w:i w:val="0"/>
                <w:color w:val="5A5A5A"/>
                <w:sz w:val="18"/>
              </w:rPr>
              <w:t>#familyhistory  #Xlinked  #carriermother  #geneticcounselling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Variant severity</w:t>
            </w:r>
          </w:p>
        </w:tc>
        <w:tc>
          <w:tcPr>
            <w:tcW w:type="dxa" w:w="2160"/>
            <w:vAlign w:val="top"/>
          </w:tcPr>
          <w:p>
            <w:pPr>
              <w:spacing w:after="40" w:before="0" w:line="259" w:lineRule="auto"/>
            </w:pPr>
            <w:r>
              <w:rPr>
                <w:rFonts w:ascii="Calibri" w:hAnsi="Calibri"/>
                <w:b w:val="0"/>
                <w:i w:val="0"/>
                <w:color w:val="212121"/>
                <w:sz w:val="19"/>
              </w:rPr>
              <w:t>Carriers of G6PD Mediterranean (Class B, severe)</w:t>
            </w:r>
          </w:p>
        </w:tc>
        <w:tc>
          <w:tcPr>
            <w:tcW w:type="dxa" w:w="4276"/>
            <w:vAlign w:val="top"/>
          </w:tcPr>
          <w:p>
            <w:pPr>
              <w:spacing w:after="60" w:line="259" w:lineRule="auto"/>
            </w:pPr>
            <w:r>
              <w:rPr>
                <w:rFonts w:ascii="Calibri" w:hAnsi="Calibri"/>
                <w:b w:val="0"/>
                <w:i w:val="0"/>
                <w:color w:val="212121"/>
                <w:sz w:val="19"/>
              </w:rPr>
              <w:t>G6PD Mediterranean has very low residual enzyme activity, producing more severe, sometimes life-threatening haemolysis with drugs or fava beans; it is the predominant severe variant reported in India.</w:t>
            </w:r>
          </w:p>
          <w:p>
            <w:pPr>
              <w:spacing w:after="40" w:before="60" w:line="259" w:lineRule="auto"/>
            </w:pPr>
            <w:r>
              <w:rPr>
                <w:rFonts w:ascii="Calibri" w:hAnsi="Calibri"/>
                <w:b w:val="0"/>
                <w:i w:val="0"/>
                <w:color w:val="212121"/>
                <w:sz w:val="19"/>
              </w:rPr>
              <w:t>G6PD Mediterranean shows significantly lower red-cell enzyme activity and more severe clinical presentations than milder variants.</w:t>
            </w:r>
          </w:p>
          <w:p>
            <w:pPr>
              <w:spacing w:after="40" w:line="252" w:lineRule="auto"/>
            </w:pPr>
            <w:hyperlink r:id="rId12">
              <w:r>
                <w:rPr>
                  <w:rFonts w:ascii="Calibri" w:hAnsi="Calibri" w:cs="Calibri"/>
                  <w:sz w:val="18"/>
                  <w:color w:val="1155CC"/>
                  <w:u w:val="single"/>
                </w:rPr>
                <w:t xml:space="preserve">ijmr.org.in — G6PD among tribal populations of India</w:t>
              </w:r>
            </w:hyperlink>
          </w:p>
          <w:p>
            <w:pPr>
              <w:spacing w:before="60" w:after="40"/>
            </w:pPr>
            <w:r>
              <w:rPr>
                <w:rFonts w:ascii="Calibri" w:hAnsi="Calibri"/>
                <w:b w:val="0"/>
                <w:i w:val="0"/>
                <w:color w:val="5A5A5A"/>
                <w:sz w:val="18"/>
              </w:rPr>
              <w:t>#Mediterranean  #ClassB  #severehemolysis  #variant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 / endogamy</w:t>
            </w:r>
          </w:p>
        </w:tc>
        <w:tc>
          <w:tcPr>
            <w:tcW w:type="dxa" w:w="2160"/>
            <w:vAlign w:val="top"/>
          </w:tcPr>
          <w:p>
            <w:pPr>
              <w:spacing w:after="40" w:before="0" w:line="259" w:lineRule="auto"/>
            </w:pPr>
            <w:r>
              <w:rPr>
                <w:rFonts w:ascii="Calibri" w:hAnsi="Calibri"/>
                <w:b w:val="0"/>
                <w:i w:val="0"/>
                <w:color w:val="212121"/>
                <w:sz w:val="19"/>
              </w:rPr>
              <w:t>Endogamous &amp; consanguineous communities</w:t>
            </w:r>
          </w:p>
        </w:tc>
        <w:tc>
          <w:tcPr>
            <w:tcW w:type="dxa" w:w="4276"/>
            <w:vAlign w:val="top"/>
          </w:tcPr>
          <w:p>
            <w:pPr>
              <w:spacing w:after="60" w:line="259" w:lineRule="auto"/>
            </w:pPr>
            <w:r>
              <w:rPr>
                <w:rFonts w:ascii="Calibri" w:hAnsi="Calibri"/>
                <w:b w:val="0"/>
                <w:i w:val="0"/>
                <w:color w:val="212121"/>
                <w:sz w:val="19"/>
              </w:rPr>
              <w:t>Community endogamy and consanguineous marriage raise the chance of homozygous-deficient females and cluster deficient alleles, sustaining high local prevalence in some Indian groups.</w:t>
            </w:r>
          </w:p>
          <w:p>
            <w:pPr>
              <w:spacing w:after="40" w:before="60" w:line="259" w:lineRule="auto"/>
            </w:pPr>
            <w:r>
              <w:rPr>
                <w:rFonts w:ascii="Calibri" w:hAnsi="Calibri"/>
                <w:b w:val="0"/>
                <w:i w:val="0"/>
                <w:color w:val="212121"/>
                <w:sz w:val="19"/>
              </w:rPr>
              <w:t>Endogamy and positive malaria selection are cited as drivers of the high, clustered G6PD frequencies in Indian populations.</w:t>
            </w:r>
          </w:p>
          <w:p>
            <w:pPr>
              <w:spacing w:after="40" w:line="252" w:lineRule="auto"/>
            </w:pPr>
            <w:hyperlink r:id="rId13">
              <w:r>
                <w:rPr>
                  <w:rFonts w:ascii="Calibri" w:hAnsi="Calibri" w:cs="Calibri"/>
                  <w:sz w:val="18"/>
                  <w:color w:val="1155CC"/>
                  <w:u w:val="single"/>
                </w:rPr>
                <w:t xml:space="preserve">scirp.org — G6PD deficiency in India: systematic review</w:t>
              </w:r>
            </w:hyperlink>
          </w:p>
          <w:p>
            <w:pPr>
              <w:spacing w:before="60" w:after="40"/>
            </w:pPr>
            <w:r>
              <w:rPr>
                <w:rFonts w:ascii="Calibri" w:hAnsi="Calibri"/>
                <w:b w:val="0"/>
                <w:i w:val="0"/>
                <w:color w:val="5A5A5A"/>
                <w:sz w:val="18"/>
              </w:rPr>
              <w:t>#consanguinity  #endogamy  #homozygous  #foundereffect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Malaria / acute infection</w:t>
            </w:r>
          </w:p>
        </w:tc>
        <w:tc>
          <w:tcPr>
            <w:tcW w:type="dxa" w:w="2160"/>
            <w:vAlign w:val="top"/>
          </w:tcPr>
          <w:p>
            <w:pPr>
              <w:spacing w:after="40" w:before="0" w:line="259" w:lineRule="auto"/>
            </w:pPr>
            <w:r>
              <w:rPr>
                <w:rFonts w:ascii="Calibri" w:hAnsi="Calibri"/>
                <w:b w:val="0"/>
                <w:i w:val="0"/>
                <w:color w:val="212121"/>
                <w:sz w:val="19"/>
              </w:rPr>
              <w:t>Patients with malaria, hepatitis, typhoid, pneumonia</w:t>
            </w:r>
          </w:p>
        </w:tc>
        <w:tc>
          <w:tcPr>
            <w:tcW w:type="dxa" w:w="4276"/>
            <w:vAlign w:val="top"/>
          </w:tcPr>
          <w:p>
            <w:pPr>
              <w:spacing w:after="60" w:line="259" w:lineRule="auto"/>
            </w:pPr>
            <w:r>
              <w:rPr>
                <w:rFonts w:ascii="Calibri" w:hAnsi="Calibri"/>
                <w:b w:val="0"/>
                <w:i w:val="0"/>
                <w:color w:val="212121"/>
                <w:sz w:val="19"/>
              </w:rPr>
              <w:t>Infection is the most common clinical trigger of haemolysis (via phagocyte oxidative burst), and malaria treatment with primaquine/tafenoquine is itself hazardous—so infection and its therapy compound risk.</w:t>
            </w:r>
          </w:p>
          <w:p>
            <w:pPr>
              <w:spacing w:after="40" w:before="60" w:line="259" w:lineRule="auto"/>
            </w:pPr>
            <w:r>
              <w:rPr>
                <w:rFonts w:ascii="Calibri" w:hAnsi="Calibri"/>
                <w:b w:val="0"/>
                <w:i w:val="0"/>
                <w:color w:val="212121"/>
                <w:sz w:val="19"/>
              </w:rPr>
              <w:t>Infections (e.g., Salmonella, E. coli, streptococci, rickettsia, viral hepatitis, influenza A) are recognised haemolytic triggers.</w:t>
            </w:r>
          </w:p>
          <w:p>
            <w:pPr>
              <w:spacing w:after="40" w:line="252" w:lineRule="auto"/>
            </w:pPr>
            <w:hyperlink r:id="rId11">
              <w:r>
                <w:rPr>
                  <w:rFonts w:ascii="Calibri" w:hAnsi="Calibri" w:cs="Calibri"/>
                  <w:sz w:val="18"/>
                  <w:color w:val="1155CC"/>
                  <w:u w:val="single"/>
                </w:rPr>
                <w:t xml:space="preserve">aafp.org — diagnosis &amp; management of G6PD deficiency</w:t>
              </w:r>
            </w:hyperlink>
          </w:p>
          <w:p>
            <w:pPr>
              <w:spacing w:before="60" w:after="40"/>
            </w:pPr>
            <w:r>
              <w:rPr>
                <w:rFonts w:ascii="Calibri" w:hAnsi="Calibri"/>
                <w:b w:val="0"/>
                <w:i w:val="0"/>
                <w:color w:val="5A5A5A"/>
                <w:sz w:val="18"/>
              </w:rPr>
              <w:t>#infection  #malaria  #hepatitis  #typhoid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Hyperglycaemia and hyperlipidaemia independently lower red-cell G6PD activity, while G6PD deficiency may worsen oxidative stress and microvascular complications—a bidirectional, mutually aggravating relationship.</w:t>
            </w:r>
          </w:p>
          <w:p>
            <w:pPr>
              <w:spacing w:after="40" w:before="60" w:line="259" w:lineRule="auto"/>
            </w:pPr>
            <w:r>
              <w:rPr>
                <w:rFonts w:ascii="Calibri" w:hAnsi="Calibri"/>
                <w:b w:val="0"/>
                <w:i w:val="0"/>
                <w:color w:val="212121"/>
                <w:sz w:val="19"/>
              </w:rPr>
              <w:t>Hyperglycaemia and hyperlipidaemia are reported to decrease G6PD activity, potentially compounding metabolic and vascular risk.</w:t>
            </w:r>
          </w:p>
          <w:p>
            <w:pPr>
              <w:spacing w:after="40" w:line="252" w:lineRule="auto"/>
            </w:pPr>
            <w:hyperlink r:id="rId18">
              <w:r>
                <w:rPr>
                  <w:rFonts w:ascii="Calibri" w:hAnsi="Calibri" w:cs="Calibri"/>
                  <w:sz w:val="18"/>
                  <w:color w:val="1155CC"/>
                  <w:u w:val="single"/>
                </w:rPr>
                <w:t xml:space="preserve">nature.com — G6PD deficiency &amp; cardiovascular disease</w:t>
              </w:r>
            </w:hyperlink>
          </w:p>
          <w:p>
            <w:pPr>
              <w:spacing w:before="60" w:after="40"/>
            </w:pPr>
            <w:r>
              <w:rPr>
                <w:rFonts w:ascii="Calibri" w:hAnsi="Calibri"/>
                <w:b w:val="0"/>
                <w:i w:val="0"/>
                <w:color w:val="5A5A5A"/>
                <w:sz w:val="18"/>
              </w:rPr>
              <w:t>#diabetes  #oxidativestress  #microvascular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atherosclerosis / hypertension</w:t>
            </w:r>
          </w:p>
        </w:tc>
        <w:tc>
          <w:tcPr>
            <w:tcW w:type="dxa" w:w="4276"/>
            <w:vAlign w:val="top"/>
          </w:tcPr>
          <w:p>
            <w:pPr>
              <w:spacing w:after="60" w:line="259" w:lineRule="auto"/>
            </w:pPr>
            <w:r>
              <w:rPr>
                <w:rFonts w:ascii="Calibri" w:hAnsi="Calibri"/>
                <w:b w:val="0"/>
                <w:i w:val="0"/>
                <w:color w:val="212121"/>
                <w:sz w:val="19"/>
              </w:rPr>
              <w:t>Emerging evidence links G6PD deficiency to higher atherosclerotic cardiovascular disease (ASCVD) risk, possibly through impaired NADPH-dependent redox balance and endothelial dysfunction.</w:t>
            </w:r>
          </w:p>
          <w:p>
            <w:pPr>
              <w:spacing w:after="40" w:before="60" w:line="259" w:lineRule="auto"/>
            </w:pPr>
            <w:r>
              <w:rPr>
                <w:rFonts w:ascii="Calibri" w:hAnsi="Calibri"/>
                <w:b w:val="0"/>
                <w:i w:val="0"/>
                <w:color w:val="212121"/>
                <w:sz w:val="19"/>
              </w:rPr>
              <w:t>G6PD-deficient cohorts showed ~40% (US Armed Forces) to ~71% (Mediterranean cohort) higher adjusted ASCVD risk.</w:t>
            </w:r>
          </w:p>
          <w:p>
            <w:pPr>
              <w:spacing w:after="40" w:line="252" w:lineRule="auto"/>
            </w:pPr>
            <w:hyperlink r:id="rId18">
              <w:r>
                <w:rPr>
                  <w:rFonts w:ascii="Calibri" w:hAnsi="Calibri" w:cs="Calibri"/>
                  <w:sz w:val="18"/>
                  <w:color w:val="1155CC"/>
                  <w:u w:val="single"/>
                </w:rPr>
                <w:t xml:space="preserve">nature.com — G6PD deficiency &amp; cardiovascular disease</w:t>
              </w:r>
            </w:hyperlink>
          </w:p>
          <w:p>
            <w:pPr>
              <w:spacing w:before="60" w:after="40"/>
            </w:pPr>
            <w:r>
              <w:rPr>
                <w:rFonts w:ascii="Calibri" w:hAnsi="Calibri"/>
                <w:b w:val="0"/>
                <w:i w:val="0"/>
                <w:color w:val="5A5A5A"/>
                <w:sz w:val="18"/>
              </w:rPr>
              <w:t>#ASCVD  #hypertension  #endothelial  #redox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haemolysis</w:t>
            </w:r>
          </w:p>
        </w:tc>
        <w:tc>
          <w:tcPr>
            <w:tcW w:type="dxa" w:w="2160"/>
            <w:vAlign w:val="top"/>
          </w:tcPr>
          <w:p>
            <w:pPr>
              <w:spacing w:after="40" w:before="0" w:line="259" w:lineRule="auto"/>
            </w:pPr>
            <w:r>
              <w:rPr>
                <w:rFonts w:ascii="Calibri" w:hAnsi="Calibri"/>
                <w:b w:val="0"/>
                <w:i w:val="0"/>
                <w:color w:val="212121"/>
                <w:sz w:val="19"/>
              </w:rPr>
              <w:t>Patients with severe (Class A) variants / CNSHA</w:t>
            </w:r>
          </w:p>
        </w:tc>
        <w:tc>
          <w:tcPr>
            <w:tcW w:type="dxa" w:w="4276"/>
            <w:vAlign w:val="top"/>
          </w:tcPr>
          <w:p>
            <w:pPr>
              <w:spacing w:after="60" w:line="259" w:lineRule="auto"/>
            </w:pPr>
            <w:r>
              <w:rPr>
                <w:rFonts w:ascii="Calibri" w:hAnsi="Calibri"/>
                <w:b w:val="0"/>
                <w:i w:val="0"/>
                <w:color w:val="212121"/>
                <w:sz w:val="19"/>
              </w:rPr>
              <w:t>Class A variants cause chronic non-spherocytic haemolytic anaemia independent of triggers, leading to lifelong anaemia, splenomegaly, pigment gallstones and, with repeated transfusion, iron overload.</w:t>
            </w:r>
          </w:p>
          <w:p>
            <w:pPr>
              <w:spacing w:after="40" w:before="60" w:line="259" w:lineRule="auto"/>
            </w:pPr>
            <w:r>
              <w:rPr>
                <w:rFonts w:ascii="Calibri" w:hAnsi="Calibri"/>
                <w:b w:val="0"/>
                <w:i w:val="0"/>
                <w:color w:val="212121"/>
                <w:sz w:val="19"/>
              </w:rPr>
              <w:t>Class A (median activity &lt; 20%) is defined by chronic non-spherocytic haemolytic anaemia even without a trigger (WHO 2022).</w:t>
            </w:r>
          </w:p>
          <w:p>
            <w:pPr>
              <w:spacing w:after="40" w:line="252" w:lineRule="auto"/>
            </w:pPr>
            <w:hyperlink r:id="rId19">
              <w:r>
                <w:rPr>
                  <w:rFonts w:ascii="Calibri" w:hAnsi="Calibri" w:cs="Calibri"/>
                  <w:sz w:val="18"/>
                  <w:color w:val="1155CC"/>
                  <w:u w:val="single"/>
                </w:rPr>
                <w:t xml:space="preserve">who.int — revised 2022 G6PD variant classification</w:t>
              </w:r>
            </w:hyperlink>
          </w:p>
          <w:p>
            <w:pPr>
              <w:spacing w:before="60" w:after="40"/>
            </w:pPr>
            <w:r>
              <w:rPr>
                <w:rFonts w:ascii="Calibri" w:hAnsi="Calibri"/>
                <w:b w:val="0"/>
                <w:i w:val="0"/>
                <w:color w:val="5A5A5A"/>
                <w:sz w:val="18"/>
              </w:rPr>
              <w:t>#CNSHA  #chronichemolysis  #gallstones  #ironoverload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G6PD deficiency is inherited, not caused by inactivity, and routine exercise is safe. Extreme or exhaustive exertion transiently raises oxidative stress but rarely triggers haemolysis on its own.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Fava (broad) bean ingestion is a classic precipitant of acute haemolysis (favism) via the oxidants divicine and isouramil; quinine-containing tonic water and very high vitamin-C loads can also stress deficient red cells.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of sleep quantity or quality in triggering or preventing G6PD-related haemolysis.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Cigarette smoke adds systemic oxidative load and is a plausible minor contributor to red-cell oxidative stress, but is not a recognised primary trigger of acute haemolysis.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classic trigger, but heavy intake, quinine-containing mixers (tonic water) and alcoholic hepatitis can add oxidative or hepatic stress that may precipitate haemolysis.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does not directly trigger haemolysis; genetic counselling and reassurance help patients manage lifelong trigger-avoidance and anxiety about the condition.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during an acute haemolytic episode is important to maintain renal perfusion and prevent pigment (haemoglobinuria-induced) acute kidney injury.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recognised association between caffeine and haemolysis; note that quinine in tonic water—not caffeine—is the relevant beverage oxidant.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Infections are the single most common precipitant of haemolysis in G6PD deficiency; hand hygiene, safe food/water and vaccination reduce infection-triggered crises.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Oxidant drugs (primaquine, dapsone, sulfonamides, nitrofurantoin, nalidixic acid, methylene blue, rasburicase), fava beans, infections, naphthalene mothballs and henna are the dominant triggers of acute haemolysis.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G6PD enzyme activity (quantitative, spectrophotometric)</w:t>
            </w:r>
          </w:p>
        </w:tc>
        <w:tc>
          <w:tcPr>
            <w:tcW w:type="dxa" w:w="1655"/>
            <w:vAlign w:val="top"/>
          </w:tcPr>
          <w:p>
            <w:pPr>
              <w:spacing w:after="40" w:before="0" w:line="259" w:lineRule="auto"/>
            </w:pPr>
            <w:r>
              <w:rPr>
                <w:rFonts w:ascii="Calibri" w:hAnsi="Calibri"/>
                <w:b w:val="0"/>
                <w:i w:val="0"/>
                <w:color w:val="212121"/>
                <w:sz w:val="19"/>
              </w:rPr>
              <w:t>All at-risk, pre-primaquine patients, neonates</w:t>
            </w:r>
          </w:p>
        </w:tc>
        <w:tc>
          <w:tcPr>
            <w:tcW w:type="dxa" w:w="1512"/>
            <w:vAlign w:val="top"/>
          </w:tcPr>
          <w:p>
            <w:pPr>
              <w:spacing w:after="40" w:before="0" w:line="259" w:lineRule="auto"/>
            </w:pPr>
            <w:r>
              <w:rPr>
                <w:rFonts w:ascii="Calibri" w:hAnsi="Calibri"/>
                <w:b w:val="0"/>
                <w:i w:val="0"/>
                <w:color w:val="212121"/>
                <w:sz w:val="19"/>
              </w:rPr>
              <w:t>Normal (~60-150% of adjusted-male-median; lab-specific U/g Hb)</w:t>
            </w:r>
          </w:p>
        </w:tc>
        <w:tc>
          <w:tcPr>
            <w:tcW w:type="dxa" w:w="1512"/>
            <w:vAlign w:val="top"/>
          </w:tcPr>
          <w:p>
            <w:pPr>
              <w:spacing w:after="40" w:before="0" w:line="259" w:lineRule="auto"/>
            </w:pPr>
            <w:r>
              <w:rPr>
                <w:rFonts w:ascii="Calibri" w:hAnsi="Calibri"/>
                <w:b w:val="0"/>
                <w:i w:val="0"/>
                <w:color w:val="212121"/>
                <w:sz w:val="19"/>
              </w:rPr>
              <w:t>&lt; 30% median (deficient); &lt; 10% (severe)</w:t>
            </w:r>
          </w:p>
        </w:tc>
        <w:tc>
          <w:tcPr>
            <w:tcW w:type="dxa" w:w="1468"/>
            <w:vAlign w:val="top"/>
          </w:tcPr>
          <w:p>
            <w:pPr>
              <w:spacing w:after="60" w:line="259" w:lineRule="auto"/>
            </w:pPr>
            <w:r>
              <w:rPr>
                <w:rFonts w:ascii="Calibri" w:hAnsi="Calibri"/>
                <w:b w:val="0"/>
                <w:i w:val="0"/>
                <w:color w:val="212121"/>
                <w:sz w:val="19"/>
              </w:rPr>
              <w:t>WHO deficiency threshold; test outside acute haemolysis to avoid false-normal</w:t>
            </w:r>
          </w:p>
          <w:p>
            <w:pPr>
              <w:spacing w:after="40" w:line="252" w:lineRule="auto"/>
            </w:pPr>
            <w:hyperlink r:id="rId19">
              <w:r>
                <w:rPr>
                  <w:rFonts w:ascii="Calibri" w:hAnsi="Calibri" w:cs="Calibri"/>
                  <w:sz w:val="18"/>
                  <w:color w:val="1155CC"/>
                  <w:u w:val="single"/>
                </w:rPr>
                <w:t xml:space="preserve">https://cdn.who.int/media/docs/default-source/malaria/mpac-documentation/mpag-mar2022-session2-technical-consultation-g6pd-classification.pdf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Fluorescent spot screening test</w:t>
            </w:r>
          </w:p>
        </w:tc>
        <w:tc>
          <w:tcPr>
            <w:tcW w:type="dxa" w:w="1655"/>
            <w:vAlign w:val="top"/>
          </w:tcPr>
          <w:p>
            <w:pPr>
              <w:spacing w:after="40" w:before="0" w:line="259" w:lineRule="auto"/>
            </w:pPr>
            <w:r>
              <w:rPr>
                <w:rFonts w:ascii="Calibri" w:hAnsi="Calibri"/>
                <w:b w:val="0"/>
                <w:i w:val="0"/>
                <w:color w:val="212121"/>
                <w:sz w:val="19"/>
              </w:rPr>
              <w:t>Newborns, high-risk adults</w:t>
            </w:r>
          </w:p>
        </w:tc>
        <w:tc>
          <w:tcPr>
            <w:tcW w:type="dxa" w:w="1512"/>
            <w:vAlign w:val="top"/>
          </w:tcPr>
          <w:p>
            <w:pPr>
              <w:spacing w:after="40" w:before="0" w:line="259" w:lineRule="auto"/>
            </w:pPr>
            <w:r>
              <w:rPr>
                <w:rFonts w:ascii="Calibri" w:hAnsi="Calibri"/>
                <w:b w:val="0"/>
                <w:i w:val="0"/>
                <w:color w:val="212121"/>
                <w:sz w:val="19"/>
              </w:rPr>
              <w:t>Fluoresces under UV (normal)</w:t>
            </w:r>
          </w:p>
        </w:tc>
        <w:tc>
          <w:tcPr>
            <w:tcW w:type="dxa" w:w="1512"/>
            <w:vAlign w:val="top"/>
          </w:tcPr>
          <w:p>
            <w:pPr>
              <w:spacing w:after="40" w:before="0" w:line="259" w:lineRule="auto"/>
            </w:pPr>
            <w:r>
              <w:rPr>
                <w:rFonts w:ascii="Calibri" w:hAnsi="Calibri"/>
                <w:b w:val="0"/>
                <w:i w:val="0"/>
                <w:color w:val="212121"/>
                <w:sz w:val="19"/>
              </w:rPr>
              <w:t>No/absent fluorescence (deficient)</w:t>
            </w:r>
          </w:p>
        </w:tc>
        <w:tc>
          <w:tcPr>
            <w:tcW w:type="dxa" w:w="1468"/>
            <w:vAlign w:val="top"/>
          </w:tcPr>
          <w:p>
            <w:pPr>
              <w:spacing w:after="60" w:line="259" w:lineRule="auto"/>
            </w:pPr>
            <w:r>
              <w:rPr>
                <w:rFonts w:ascii="Calibri" w:hAnsi="Calibri"/>
                <w:b w:val="0"/>
                <w:i w:val="0"/>
                <w:color w:val="212121"/>
                <w:sz w:val="19"/>
              </w:rPr>
              <w:t>Rapid qualitative screen; may miss heterozygous females</w:t>
            </w:r>
          </w:p>
          <w:p>
            <w:pPr>
              <w:spacing w:after="40" w:line="252" w:lineRule="auto"/>
            </w:pPr>
            <w:hyperlink r:id="rId11">
              <w:r>
                <w:rPr>
                  <w:rFonts w:ascii="Calibri" w:hAnsi="Calibri" w:cs="Calibri"/>
                  <w:sz w:val="18"/>
                  <w:color w:val="1155CC"/>
                  <w:u w:val="single"/>
                </w:rPr>
                <w:t xml:space="preserve">https://www.aafp.org/afp/2005/1001/p1277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Oxidant-drug exposures</w:t>
            </w:r>
          </w:p>
        </w:tc>
        <w:tc>
          <w:tcPr>
            <w:tcW w:type="dxa" w:w="1655"/>
            <w:vAlign w:val="top"/>
          </w:tcPr>
          <w:p>
            <w:pPr>
              <w:spacing w:after="40" w:before="0" w:line="259" w:lineRule="auto"/>
            </w:pPr>
            <w:r>
              <w:rPr>
                <w:rFonts w:ascii="Calibri" w:hAnsi="Calibri"/>
                <w:b w:val="0"/>
                <w:i w:val="0"/>
                <w:color w:val="212121"/>
                <w:sz w:val="19"/>
              </w:rPr>
              <w:t>Deficient adults &amp; children</w:t>
            </w:r>
          </w:p>
        </w:tc>
        <w:tc>
          <w:tcPr>
            <w:tcW w:type="dxa" w:w="1512"/>
            <w:vAlign w:val="top"/>
          </w:tcPr>
          <w:p>
            <w:pPr>
              <w:spacing w:after="40" w:before="0" w:line="259" w:lineRule="auto"/>
            </w:pPr>
            <w:r>
              <w:rPr>
                <w:rFonts w:ascii="Calibri" w:hAnsi="Calibri"/>
                <w:b w:val="0"/>
                <w:i w:val="0"/>
                <w:color w:val="212121"/>
                <w:sz w:val="19"/>
              </w:rPr>
              <w:t>0 (avoid primaquine, dapsone, sulfa, nitrofurantoin, rasburicase)</w:t>
            </w:r>
          </w:p>
        </w:tc>
        <w:tc>
          <w:tcPr>
            <w:tcW w:type="dxa" w:w="1512"/>
            <w:vAlign w:val="top"/>
          </w:tcPr>
          <w:p>
            <w:pPr>
              <w:spacing w:after="40" w:before="0" w:line="259" w:lineRule="auto"/>
            </w:pPr>
            <w:r>
              <w:rPr>
                <w:rFonts w:ascii="Calibri" w:hAnsi="Calibri"/>
                <w:b w:val="0"/>
                <w:i w:val="0"/>
                <w:color w:val="212121"/>
                <w:sz w:val="19"/>
              </w:rPr>
              <w:t>Any high-risk oxidant drug</w:t>
            </w:r>
          </w:p>
        </w:tc>
        <w:tc>
          <w:tcPr>
            <w:tcW w:type="dxa" w:w="1468"/>
            <w:vAlign w:val="top"/>
          </w:tcPr>
          <w:p>
            <w:pPr>
              <w:spacing w:after="60" w:line="259" w:lineRule="auto"/>
            </w:pPr>
            <w:r>
              <w:rPr>
                <w:rFonts w:ascii="Calibri" w:hAnsi="Calibri"/>
                <w:b w:val="0"/>
                <w:i w:val="0"/>
                <w:color w:val="212121"/>
                <w:sz w:val="19"/>
              </w:rPr>
              <w:t>Rasburicase &amp; standard-dose primaquine are high-risk (CPIC)</w:t>
            </w:r>
          </w:p>
          <w:p>
            <w:pPr>
              <w:spacing w:after="40" w:line="252" w:lineRule="auto"/>
            </w:pPr>
            <w:hyperlink r:id="rId15">
              <w:r>
                <w:rPr>
                  <w:rFonts w:ascii="Calibri" w:hAnsi="Calibri" w:cs="Calibri"/>
                  <w:sz w:val="18"/>
                  <w:color w:val="1155CC"/>
                  <w:u w:val="single"/>
                </w:rPr>
                <w:t xml:space="preserve">https://files.cpicpgx.org/data/guideline/publication/G6PD/2022/36049896.pdf</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Fava (broad) bean intake</w:t>
            </w:r>
          </w:p>
        </w:tc>
        <w:tc>
          <w:tcPr>
            <w:tcW w:type="dxa" w:w="1655"/>
            <w:vAlign w:val="top"/>
          </w:tcPr>
          <w:p>
            <w:pPr>
              <w:spacing w:after="40" w:before="0" w:line="259" w:lineRule="auto"/>
            </w:pPr>
            <w:r>
              <w:rPr>
                <w:rFonts w:ascii="Calibri" w:hAnsi="Calibri"/>
                <w:b w:val="0"/>
                <w:i w:val="0"/>
                <w:color w:val="212121"/>
                <w:sz w:val="19"/>
              </w:rPr>
              <w:t>Deficient individuals, especially Mediterranean variant</w:t>
            </w:r>
          </w:p>
        </w:tc>
        <w:tc>
          <w:tcPr>
            <w:tcW w:type="dxa" w:w="1512"/>
            <w:vAlign w:val="top"/>
          </w:tcPr>
          <w:p>
            <w:pPr>
              <w:spacing w:after="40" w:before="0" w:line="259" w:lineRule="auto"/>
            </w:pPr>
            <w:r>
              <w:rPr>
                <w:rFonts w:ascii="Calibri" w:hAnsi="Calibri"/>
                <w:b w:val="0"/>
                <w:i w:val="0"/>
                <w:color w:val="212121"/>
                <w:sz w:val="19"/>
              </w:rPr>
              <w:t>0 servings</w:t>
            </w:r>
          </w:p>
        </w:tc>
        <w:tc>
          <w:tcPr>
            <w:tcW w:type="dxa" w:w="1512"/>
            <w:vAlign w:val="top"/>
          </w:tcPr>
          <w:p>
            <w:pPr>
              <w:spacing w:after="40" w:before="0" w:line="259" w:lineRule="auto"/>
            </w:pPr>
            <w:r>
              <w:rPr>
                <w:rFonts w:ascii="Calibri" w:hAnsi="Calibri"/>
                <w:b w:val="0"/>
                <w:i w:val="0"/>
                <w:color w:val="212121"/>
                <w:sz w:val="19"/>
              </w:rPr>
              <w:t>Any ingestion of fava beans/products</w:t>
            </w:r>
          </w:p>
        </w:tc>
        <w:tc>
          <w:tcPr>
            <w:tcW w:type="dxa" w:w="1468"/>
            <w:vAlign w:val="top"/>
          </w:tcPr>
          <w:p>
            <w:pPr>
              <w:spacing w:after="40" w:before="0" w:line="259" w:lineRule="auto"/>
            </w:pPr>
            <w:r>
              <w:rPr>
                <w:rFonts w:ascii="Calibri" w:hAnsi="Calibri"/>
                <w:b w:val="0"/>
                <w:i w:val="0"/>
                <w:color w:val="212121"/>
                <w:sz w:val="19"/>
              </w:rPr>
              <w:t>Favism can be severe; also relevant via breast milk in neonates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 (during suspected haemolysis)</w:t>
            </w:r>
          </w:p>
        </w:tc>
        <w:tc>
          <w:tcPr>
            <w:tcW w:type="dxa" w:w="1655"/>
            <w:vAlign w:val="top"/>
          </w:tcPr>
          <w:p>
            <w:pPr>
              <w:spacing w:after="40" w:before="0" w:line="259" w:lineRule="auto"/>
            </w:pPr>
            <w:r>
              <w:rPr>
                <w:rFonts w:ascii="Calibri" w:hAnsi="Calibri"/>
                <w:b w:val="0"/>
                <w:i w:val="0"/>
                <w:color w:val="212121"/>
                <w:sz w:val="19"/>
              </w:rPr>
              <w:t>Patients with acute episode</w:t>
            </w:r>
          </w:p>
        </w:tc>
        <w:tc>
          <w:tcPr>
            <w:tcW w:type="dxa" w:w="1512"/>
            <w:vAlign w:val="top"/>
          </w:tcPr>
          <w:p>
            <w:pPr>
              <w:spacing w:after="40" w:before="0" w:line="259" w:lineRule="auto"/>
            </w:pPr>
            <w:r>
              <w:rPr>
                <w:rFonts w:ascii="Calibri" w:hAnsi="Calibri"/>
                <w:b w:val="0"/>
                <w:i w:val="0"/>
                <w:color w:val="212121"/>
                <w:sz w:val="19"/>
              </w:rPr>
              <w:t>M 13-17 g/dL; F 12-15 g/dL</w:t>
            </w:r>
          </w:p>
        </w:tc>
        <w:tc>
          <w:tcPr>
            <w:tcW w:type="dxa" w:w="1512"/>
            <w:vAlign w:val="top"/>
          </w:tcPr>
          <w:p>
            <w:pPr>
              <w:spacing w:after="40" w:before="0" w:line="259" w:lineRule="auto"/>
            </w:pPr>
            <w:r>
              <w:rPr>
                <w:rFonts w:ascii="Calibri" w:hAnsi="Calibri"/>
                <w:b w:val="0"/>
                <w:i w:val="0"/>
                <w:color w:val="212121"/>
                <w:sz w:val="19"/>
              </w:rPr>
              <w:t>Acute fall (often &gt; 2-3 g/dL)</w:t>
            </w:r>
          </w:p>
        </w:tc>
        <w:tc>
          <w:tcPr>
            <w:tcW w:type="dxa" w:w="1468"/>
            <w:vAlign w:val="top"/>
          </w:tcPr>
          <w:p>
            <w:pPr>
              <w:spacing w:after="40" w:before="0" w:line="259" w:lineRule="auto"/>
            </w:pPr>
            <w:r>
              <w:rPr>
                <w:rFonts w:ascii="Calibri" w:hAnsi="Calibri"/>
                <w:b w:val="0"/>
                <w:i w:val="0"/>
                <w:color w:val="212121"/>
                <w:sz w:val="19"/>
              </w:rPr>
              <w:t>Monitors severity; transfuse if severe/symptomatic</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Reticulocyte percentage</w:t>
            </w:r>
          </w:p>
        </w:tc>
        <w:tc>
          <w:tcPr>
            <w:tcW w:type="dxa" w:w="1655"/>
            <w:vAlign w:val="top"/>
          </w:tcPr>
          <w:p>
            <w:pPr>
              <w:spacing w:after="40" w:before="0" w:line="259" w:lineRule="auto"/>
            </w:pPr>
            <w:r>
              <w:rPr>
                <w:rFonts w:ascii="Calibri" w:hAnsi="Calibri"/>
                <w:b w:val="0"/>
                <w:i w:val="0"/>
                <w:color w:val="212121"/>
                <w:sz w:val="19"/>
              </w:rPr>
              <w:t>Patients with haemolysis</w:t>
            </w:r>
          </w:p>
        </w:tc>
        <w:tc>
          <w:tcPr>
            <w:tcW w:type="dxa" w:w="1512"/>
            <w:vAlign w:val="top"/>
          </w:tcPr>
          <w:p>
            <w:pPr>
              <w:spacing w:after="40" w:before="0" w:line="259" w:lineRule="auto"/>
            </w:pPr>
            <w:r>
              <w:rPr>
                <w:rFonts w:ascii="Calibri" w:hAnsi="Calibri"/>
                <w:b w:val="0"/>
                <w:i w:val="0"/>
                <w:color w:val="212121"/>
                <w:sz w:val="19"/>
              </w:rPr>
              <w:t>0.5-2.5%</w:t>
            </w:r>
          </w:p>
        </w:tc>
        <w:tc>
          <w:tcPr>
            <w:tcW w:type="dxa" w:w="1512"/>
            <w:vAlign w:val="top"/>
          </w:tcPr>
          <w:p>
            <w:pPr>
              <w:spacing w:after="40" w:before="0" w:line="259" w:lineRule="auto"/>
            </w:pPr>
            <w:r>
              <w:rPr>
                <w:rFonts w:ascii="Calibri" w:hAnsi="Calibri"/>
                <w:b w:val="0"/>
                <w:i w:val="0"/>
                <w:color w:val="212121"/>
                <w:sz w:val="19"/>
              </w:rPr>
              <w:t>Rises (compensatory), peaks 4-7 days post-haemolysis</w:t>
            </w:r>
          </w:p>
        </w:tc>
        <w:tc>
          <w:tcPr>
            <w:tcW w:type="dxa" w:w="1468"/>
            <w:vAlign w:val="top"/>
          </w:tcPr>
          <w:p>
            <w:pPr>
              <w:spacing w:after="60" w:line="259" w:lineRule="auto"/>
            </w:pPr>
            <w:r>
              <w:rPr>
                <w:rFonts w:ascii="Calibri" w:hAnsi="Calibri"/>
                <w:b w:val="0"/>
                <w:i w:val="0"/>
                <w:color w:val="212121"/>
                <w:sz w:val="19"/>
              </w:rPr>
              <w:t>Reticulocytosis can mask deficiency on enzyme assay</w:t>
            </w:r>
          </w:p>
          <w:p>
            <w:pPr>
              <w:spacing w:after="40" w:line="252" w:lineRule="auto"/>
            </w:pPr>
            <w:hyperlink r:id="rId11">
              <w:r>
                <w:rPr>
                  <w:rFonts w:ascii="Calibri" w:hAnsi="Calibri" w:cs="Calibri"/>
                  <w:sz w:val="18"/>
                  <w:color w:val="1155CC"/>
                  <w:u w:val="single"/>
                </w:rPr>
                <w:t xml:space="preserve">https://www.aafp.org/afp/2005/1001/p1277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indirect (unconjugated) bilirubin</w:t>
            </w:r>
          </w:p>
        </w:tc>
        <w:tc>
          <w:tcPr>
            <w:tcW w:type="dxa" w:w="1655"/>
            <w:vAlign w:val="top"/>
          </w:tcPr>
          <w:p>
            <w:pPr>
              <w:spacing w:after="40" w:before="0" w:line="259" w:lineRule="auto"/>
            </w:pPr>
            <w:r>
              <w:rPr>
                <w:rFonts w:ascii="Calibri" w:hAnsi="Calibri"/>
                <w:b w:val="0"/>
                <w:i w:val="0"/>
                <w:color w:val="212121"/>
                <w:sz w:val="19"/>
              </w:rPr>
              <w:t>Neonates &amp; adults with haemolysis</w:t>
            </w:r>
          </w:p>
        </w:tc>
        <w:tc>
          <w:tcPr>
            <w:tcW w:type="dxa" w:w="1512"/>
            <w:vAlign w:val="top"/>
          </w:tcPr>
          <w:p>
            <w:pPr>
              <w:spacing w:after="40" w:before="0" w:line="259" w:lineRule="auto"/>
            </w:pPr>
            <w:r>
              <w:rPr>
                <w:rFonts w:ascii="Calibri" w:hAnsi="Calibri"/>
                <w:b w:val="0"/>
                <w:i w:val="0"/>
                <w:color w:val="212121"/>
                <w:sz w:val="19"/>
              </w:rPr>
              <w:t>&lt; 0.8 mg/dL (adult)</w:t>
            </w:r>
          </w:p>
        </w:tc>
        <w:tc>
          <w:tcPr>
            <w:tcW w:type="dxa" w:w="1512"/>
            <w:vAlign w:val="top"/>
          </w:tcPr>
          <w:p>
            <w:pPr>
              <w:spacing w:after="40" w:before="0" w:line="259" w:lineRule="auto"/>
            </w:pPr>
            <w:r>
              <w:rPr>
                <w:rFonts w:ascii="Calibri" w:hAnsi="Calibri"/>
                <w:b w:val="0"/>
                <w:i w:val="0"/>
                <w:color w:val="212121"/>
                <w:sz w:val="19"/>
              </w:rPr>
              <w:t>Elevated (neonatal: above phototherapy threshold)</w:t>
            </w:r>
          </w:p>
        </w:tc>
        <w:tc>
          <w:tcPr>
            <w:tcW w:type="dxa" w:w="1468"/>
            <w:vAlign w:val="top"/>
          </w:tcPr>
          <w:p>
            <w:pPr>
              <w:spacing w:after="40" w:before="0" w:line="259" w:lineRule="auto"/>
            </w:pPr>
            <w:r>
              <w:rPr>
                <w:rFonts w:ascii="Calibri" w:hAnsi="Calibri"/>
                <w:b w:val="0"/>
                <w:i w:val="0"/>
                <w:color w:val="212121"/>
                <w:sz w:val="19"/>
              </w:rPr>
              <w:t>Neonatal rise risks kernicterus—act early</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Urine output during haemolytic crisis</w:t>
            </w:r>
          </w:p>
        </w:tc>
        <w:tc>
          <w:tcPr>
            <w:tcW w:type="dxa" w:w="1655"/>
            <w:vAlign w:val="top"/>
          </w:tcPr>
          <w:p>
            <w:pPr>
              <w:spacing w:after="40" w:before="0" w:line="259" w:lineRule="auto"/>
            </w:pPr>
            <w:r>
              <w:rPr>
                <w:rFonts w:ascii="Calibri" w:hAnsi="Calibri"/>
                <w:b w:val="0"/>
                <w:i w:val="0"/>
                <w:color w:val="212121"/>
                <w:sz w:val="19"/>
              </w:rPr>
              <w:t>Patients with haemoglobinuria</w:t>
            </w:r>
          </w:p>
        </w:tc>
        <w:tc>
          <w:tcPr>
            <w:tcW w:type="dxa" w:w="1512"/>
            <w:vAlign w:val="top"/>
          </w:tcPr>
          <w:p>
            <w:pPr>
              <w:spacing w:after="40" w:before="0" w:line="259" w:lineRule="auto"/>
            </w:pPr>
            <w:r>
              <w:rPr>
                <w:rFonts w:ascii="Calibri" w:hAnsi="Calibri"/>
                <w:b w:val="0"/>
                <w:i w:val="0"/>
                <w:color w:val="212121"/>
                <w:sz w:val="19"/>
              </w:rPr>
              <w:t>&gt; 0.5-1 mL/kg/h</w:t>
            </w:r>
          </w:p>
        </w:tc>
        <w:tc>
          <w:tcPr>
            <w:tcW w:type="dxa" w:w="1512"/>
            <w:vAlign w:val="top"/>
          </w:tcPr>
          <w:p>
            <w:pPr>
              <w:spacing w:after="40" w:before="0" w:line="259" w:lineRule="auto"/>
            </w:pPr>
            <w:r>
              <w:rPr>
                <w:rFonts w:ascii="Calibri" w:hAnsi="Calibri"/>
                <w:b w:val="0"/>
                <w:i w:val="0"/>
                <w:color w:val="212121"/>
                <w:sz w:val="19"/>
              </w:rPr>
              <w:t>Oliguria / dark (cola-coloured) urine</w:t>
            </w:r>
          </w:p>
        </w:tc>
        <w:tc>
          <w:tcPr>
            <w:tcW w:type="dxa" w:w="1468"/>
            <w:vAlign w:val="top"/>
          </w:tcPr>
          <w:p>
            <w:pPr>
              <w:spacing w:after="40" w:before="0" w:line="259" w:lineRule="auto"/>
            </w:pPr>
            <w:r>
              <w:rPr>
                <w:rFonts w:ascii="Calibri" w:hAnsi="Calibri"/>
                <w:b w:val="0"/>
                <w:i w:val="0"/>
                <w:color w:val="212121"/>
                <w:sz w:val="19"/>
              </w:rPr>
              <w:t>Maintain hydration to prevent pigment acute kidney injury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Febrile infection episodes</w:t>
            </w:r>
          </w:p>
        </w:tc>
        <w:tc>
          <w:tcPr>
            <w:tcW w:type="dxa" w:w="1655"/>
            <w:vAlign w:val="top"/>
          </w:tcPr>
          <w:p>
            <w:pPr>
              <w:spacing w:after="40" w:before="0" w:line="259" w:lineRule="auto"/>
            </w:pPr>
            <w:r>
              <w:rPr>
                <w:rFonts w:ascii="Calibri" w:hAnsi="Calibri"/>
                <w:b w:val="0"/>
                <w:i w:val="0"/>
                <w:color w:val="212121"/>
                <w:sz w:val="19"/>
              </w:rPr>
              <w:t>Deficient children &amp; adults</w:t>
            </w:r>
          </w:p>
        </w:tc>
        <w:tc>
          <w:tcPr>
            <w:tcW w:type="dxa" w:w="1512"/>
            <w:vAlign w:val="top"/>
          </w:tcPr>
          <w:p>
            <w:pPr>
              <w:spacing w:after="40" w:before="0" w:line="259" w:lineRule="auto"/>
            </w:pPr>
            <w:r>
              <w:rPr>
                <w:rFonts w:ascii="Calibri" w:hAnsi="Calibri"/>
                <w:b w:val="0"/>
                <w:i w:val="0"/>
                <w:color w:val="212121"/>
                <w:sz w:val="19"/>
              </w:rPr>
              <w:t>Minimised via hygiene &amp; vaccination</w:t>
            </w:r>
          </w:p>
        </w:tc>
        <w:tc>
          <w:tcPr>
            <w:tcW w:type="dxa" w:w="1512"/>
            <w:vAlign w:val="top"/>
          </w:tcPr>
          <w:p>
            <w:pPr>
              <w:spacing w:after="40" w:before="0" w:line="259" w:lineRule="auto"/>
            </w:pPr>
            <w:r>
              <w:rPr>
                <w:rFonts w:ascii="Calibri" w:hAnsi="Calibri"/>
                <w:b w:val="0"/>
                <w:i w:val="0"/>
                <w:color w:val="212121"/>
                <w:sz w:val="19"/>
              </w:rPr>
              <w:t>Acute infection (commonest real-world trigger)</w:t>
            </w:r>
          </w:p>
        </w:tc>
        <w:tc>
          <w:tcPr>
            <w:tcW w:type="dxa" w:w="1468"/>
            <w:vAlign w:val="top"/>
          </w:tcPr>
          <w:p>
            <w:pPr>
              <w:spacing w:after="40" w:before="0" w:line="259" w:lineRule="auto"/>
            </w:pPr>
            <w:r>
              <w:rPr>
                <w:rFonts w:ascii="Calibri" w:hAnsi="Calibri"/>
                <w:b w:val="0"/>
                <w:i w:val="0"/>
                <w:color w:val="212121"/>
                <w:sz w:val="19"/>
              </w:rPr>
              <w:t>Treat infection promptly; avoid oxidant antimicrobials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(enzyme)</w:t>
            </w:r>
          </w:p>
        </w:tc>
        <w:tc>
          <w:tcPr>
            <w:tcW w:type="dxa" w:w="1036"/>
            <w:vAlign w:val="top"/>
          </w:tcPr>
          <w:p>
            <w:pPr>
              <w:spacing w:after="40" w:before="0" w:line="259" w:lineRule="auto"/>
            </w:pPr>
            <w:r>
              <w:rPr>
                <w:rFonts w:ascii="Calibri" w:hAnsi="Calibri"/>
                <w:b w:val="0"/>
                <w:i w:val="0"/>
                <w:color w:val="212121"/>
                <w:sz w:val="16"/>
              </w:rPr>
              <w:t>G6PD enzyme activity</w:t>
            </w:r>
          </w:p>
        </w:tc>
        <w:tc>
          <w:tcPr>
            <w:tcW w:type="dxa" w:w="892"/>
            <w:vAlign w:val="top"/>
          </w:tcPr>
          <w:p>
            <w:pPr>
              <w:spacing w:after="40" w:before="0" w:line="259" w:lineRule="auto"/>
            </w:pPr>
            <w:r>
              <w:rPr>
                <w:rFonts w:ascii="Calibri" w:hAnsi="Calibri"/>
                <w:b w:val="0"/>
                <w:i w:val="0"/>
                <w:color w:val="212121"/>
                <w:sz w:val="16"/>
              </w:rPr>
              <w:t>Quantitative spectrophotometric assay</w:t>
            </w:r>
          </w:p>
        </w:tc>
        <w:tc>
          <w:tcPr>
            <w:tcW w:type="dxa" w:w="950"/>
            <w:vAlign w:val="top"/>
          </w:tcPr>
          <w:p>
            <w:pPr>
              <w:spacing w:after="40" w:before="0" w:line="259" w:lineRule="auto"/>
            </w:pPr>
            <w:r>
              <w:rPr>
                <w:rFonts w:ascii="Calibri" w:hAnsi="Calibri"/>
                <w:b w:val="0"/>
                <w:i w:val="0"/>
                <w:color w:val="212121"/>
                <w:sz w:val="16"/>
              </w:rPr>
              <w:t>Within lab reference (~60-150% median; U/g Hb)</w:t>
            </w:r>
          </w:p>
        </w:tc>
        <w:tc>
          <w:tcPr>
            <w:tcW w:type="dxa" w:w="950"/>
            <w:vAlign w:val="top"/>
          </w:tcPr>
          <w:p>
            <w:pPr>
              <w:spacing w:after="40" w:before="0" w:line="259" w:lineRule="auto"/>
            </w:pPr>
            <w:r>
              <w:rPr>
                <w:rFonts w:ascii="Calibri" w:hAnsi="Calibri"/>
                <w:b w:val="0"/>
                <w:i w:val="0"/>
                <w:color w:val="212121"/>
                <w:sz w:val="16"/>
              </w:rPr>
              <w:t>&lt; 30% median (deficient); &lt; 10% (severe)</w:t>
            </w:r>
          </w:p>
        </w:tc>
        <w:tc>
          <w:tcPr>
            <w:tcW w:type="dxa" w:w="1036"/>
            <w:vAlign w:val="top"/>
          </w:tcPr>
          <w:p>
            <w:pPr>
              <w:spacing w:after="40" w:before="0" w:line="259" w:lineRule="auto"/>
            </w:pPr>
            <w:r>
              <w:rPr>
                <w:rFonts w:ascii="Calibri" w:hAnsi="Calibri"/>
                <w:b w:val="0"/>
                <w:i w:val="0"/>
                <w:color w:val="212121"/>
                <w:sz w:val="16"/>
              </w:rPr>
              <w:t>Confirms and grades deficiency; reference standard</w:t>
            </w:r>
          </w:p>
        </w:tc>
        <w:tc>
          <w:tcPr>
            <w:tcW w:type="dxa" w:w="1036"/>
            <w:vAlign w:val="top"/>
          </w:tcPr>
          <w:p>
            <w:pPr>
              <w:spacing w:after="40" w:before="0" w:line="259" w:lineRule="auto"/>
            </w:pPr>
            <w:r>
              <w:rPr>
                <w:rFonts w:ascii="Calibri" w:hAnsi="Calibri"/>
                <w:b w:val="0"/>
                <w:i w:val="0"/>
                <w:color w:val="212121"/>
                <w:sz w:val="16"/>
              </w:rPr>
              <w:t>Pre-primaquine patients, neonates, high-risk adults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Test when not acutely haemolysing (reticulocytes raise activity)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(screen)</w:t>
            </w:r>
          </w:p>
        </w:tc>
        <w:tc>
          <w:tcPr>
            <w:tcW w:type="dxa" w:w="1036"/>
            <w:vAlign w:val="top"/>
          </w:tcPr>
          <w:p>
            <w:pPr>
              <w:spacing w:after="40" w:before="0" w:line="259" w:lineRule="auto"/>
            </w:pPr>
            <w:r>
              <w:rPr>
                <w:rFonts w:ascii="Calibri" w:hAnsi="Calibri"/>
                <w:b w:val="0"/>
                <w:i w:val="0"/>
                <w:color w:val="212121"/>
                <w:sz w:val="16"/>
              </w:rPr>
              <w:t>NADPH fluorescence</w:t>
            </w:r>
          </w:p>
        </w:tc>
        <w:tc>
          <w:tcPr>
            <w:tcW w:type="dxa" w:w="892"/>
            <w:vAlign w:val="top"/>
          </w:tcPr>
          <w:p>
            <w:pPr>
              <w:spacing w:after="40" w:before="0" w:line="259" w:lineRule="auto"/>
            </w:pPr>
            <w:r>
              <w:rPr>
                <w:rFonts w:ascii="Calibri" w:hAnsi="Calibri"/>
                <w:b w:val="0"/>
                <w:i w:val="0"/>
                <w:color w:val="212121"/>
                <w:sz w:val="16"/>
              </w:rPr>
              <w:t>Fluorescent spot test</w:t>
            </w:r>
          </w:p>
        </w:tc>
        <w:tc>
          <w:tcPr>
            <w:tcW w:type="dxa" w:w="950"/>
            <w:vAlign w:val="top"/>
          </w:tcPr>
          <w:p>
            <w:pPr>
              <w:spacing w:after="40" w:before="0" w:line="259" w:lineRule="auto"/>
            </w:pPr>
            <w:r>
              <w:rPr>
                <w:rFonts w:ascii="Calibri" w:hAnsi="Calibri"/>
                <w:b w:val="0"/>
                <w:i w:val="0"/>
                <w:color w:val="212121"/>
                <w:sz w:val="16"/>
              </w:rPr>
              <w:t>Fluoresces under UV</w:t>
            </w:r>
          </w:p>
        </w:tc>
        <w:tc>
          <w:tcPr>
            <w:tcW w:type="dxa" w:w="950"/>
            <w:vAlign w:val="top"/>
          </w:tcPr>
          <w:p>
            <w:pPr>
              <w:spacing w:after="40" w:before="0" w:line="259" w:lineRule="auto"/>
            </w:pPr>
            <w:r>
              <w:rPr>
                <w:rFonts w:ascii="Calibri" w:hAnsi="Calibri"/>
                <w:b w:val="0"/>
                <w:i w:val="0"/>
                <w:color w:val="212121"/>
                <w:sz w:val="16"/>
              </w:rPr>
              <w:t>Absent fluorescence</w:t>
            </w:r>
          </w:p>
        </w:tc>
        <w:tc>
          <w:tcPr>
            <w:tcW w:type="dxa" w:w="1036"/>
            <w:vAlign w:val="top"/>
          </w:tcPr>
          <w:p>
            <w:pPr>
              <w:spacing w:after="40" w:before="0" w:line="259" w:lineRule="auto"/>
            </w:pPr>
            <w:r>
              <w:rPr>
                <w:rFonts w:ascii="Calibri" w:hAnsi="Calibri"/>
                <w:b w:val="0"/>
                <w:i w:val="0"/>
                <w:color w:val="212121"/>
                <w:sz w:val="16"/>
              </w:rPr>
              <w:t>Rapid qualitative screen for deficiency</w:t>
            </w:r>
          </w:p>
        </w:tc>
        <w:tc>
          <w:tcPr>
            <w:tcW w:type="dxa" w:w="1036"/>
            <w:vAlign w:val="top"/>
          </w:tcPr>
          <w:p>
            <w:pPr>
              <w:spacing w:after="40" w:before="0" w:line="259" w:lineRule="auto"/>
            </w:pPr>
            <w:r>
              <w:rPr>
                <w:rFonts w:ascii="Calibri" w:hAnsi="Calibri"/>
                <w:b w:val="0"/>
                <w:i w:val="0"/>
                <w:color w:val="212121"/>
                <w:sz w:val="16"/>
              </w:rPr>
              <w:t>Newborn screening, symptomatic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miss intermediate heterozygous females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Haematocrit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 13-17; F 12-15 g/dL</w:t>
            </w:r>
          </w:p>
        </w:tc>
        <w:tc>
          <w:tcPr>
            <w:tcW w:type="dxa" w:w="950"/>
            <w:vAlign w:val="top"/>
          </w:tcPr>
          <w:p>
            <w:pPr>
              <w:spacing w:after="40" w:before="0" w:line="259" w:lineRule="auto"/>
            </w:pPr>
            <w:r>
              <w:rPr>
                <w:rFonts w:ascii="Calibri" w:hAnsi="Calibri"/>
                <w:b w:val="0"/>
                <w:i w:val="0"/>
                <w:color w:val="212121"/>
                <w:sz w:val="16"/>
              </w:rPr>
              <w:t>Low (acute drop in crisis)</w:t>
            </w:r>
          </w:p>
        </w:tc>
        <w:tc>
          <w:tcPr>
            <w:tcW w:type="dxa" w:w="1036"/>
            <w:vAlign w:val="top"/>
          </w:tcPr>
          <w:p>
            <w:pPr>
              <w:spacing w:after="40" w:before="0" w:line="259" w:lineRule="auto"/>
            </w:pPr>
            <w:r>
              <w:rPr>
                <w:rFonts w:ascii="Calibri" w:hAnsi="Calibri"/>
                <w:b w:val="0"/>
                <w:i w:val="0"/>
                <w:color w:val="212121"/>
                <w:sz w:val="16"/>
              </w:rPr>
              <w:t>Quantifies anaemia severity</w:t>
            </w:r>
          </w:p>
        </w:tc>
        <w:tc>
          <w:tcPr>
            <w:tcW w:type="dxa" w:w="1036"/>
            <w:vAlign w:val="top"/>
          </w:tcPr>
          <w:p>
            <w:pPr>
              <w:spacing w:after="40" w:before="0" w:line="259" w:lineRule="auto"/>
            </w:pPr>
            <w:r>
              <w:rPr>
                <w:rFonts w:ascii="Calibri" w:hAnsi="Calibri"/>
                <w:b w:val="0"/>
                <w:i w:val="0"/>
                <w:color w:val="212121"/>
                <w:sz w:val="16"/>
              </w:rPr>
              <w:t>Patients with acute haemolysis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transfusion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w:t>
            </w:r>
          </w:p>
        </w:tc>
        <w:tc>
          <w:tcPr>
            <w:tcW w:type="dxa" w:w="892"/>
            <w:vAlign w:val="top"/>
          </w:tcPr>
          <w:p>
            <w:pPr>
              <w:spacing w:after="40" w:before="0" w:line="259" w:lineRule="auto"/>
            </w:pPr>
            <w:r>
              <w:rPr>
                <w:rFonts w:ascii="Calibri" w:hAnsi="Calibri"/>
                <w:b w:val="0"/>
                <w:i w:val="0"/>
                <w:color w:val="212121"/>
                <w:sz w:val="16"/>
              </w:rPr>
              <w:t>Reticulocyte assay</w:t>
            </w:r>
          </w:p>
        </w:tc>
        <w:tc>
          <w:tcPr>
            <w:tcW w:type="dxa" w:w="950"/>
            <w:vAlign w:val="top"/>
          </w:tcPr>
          <w:p>
            <w:pPr>
              <w:spacing w:after="40" w:before="0" w:line="259" w:lineRule="auto"/>
            </w:pPr>
            <w:r>
              <w:rPr>
                <w:rFonts w:ascii="Calibri" w:hAnsi="Calibri"/>
                <w:b w:val="0"/>
                <w:i w:val="0"/>
                <w:color w:val="212121"/>
                <w:sz w:val="16"/>
              </w:rPr>
              <w:t>0.5-2.5%</w:t>
            </w:r>
          </w:p>
        </w:tc>
        <w:tc>
          <w:tcPr>
            <w:tcW w:type="dxa" w:w="950"/>
            <w:vAlign w:val="top"/>
          </w:tcPr>
          <w:p>
            <w:pPr>
              <w:spacing w:after="40" w:before="0" w:line="259" w:lineRule="auto"/>
            </w:pPr>
            <w:r>
              <w:rPr>
                <w:rFonts w:ascii="Calibri" w:hAnsi="Calibri"/>
                <w:b w:val="0"/>
                <w:i w:val="0"/>
                <w:color w:val="212121"/>
                <w:sz w:val="16"/>
              </w:rPr>
              <w:t>Elevated (compensatory)</w:t>
            </w:r>
          </w:p>
        </w:tc>
        <w:tc>
          <w:tcPr>
            <w:tcW w:type="dxa" w:w="1036"/>
            <w:vAlign w:val="top"/>
          </w:tcPr>
          <w:p>
            <w:pPr>
              <w:spacing w:after="40" w:before="0" w:line="259" w:lineRule="auto"/>
            </w:pPr>
            <w:r>
              <w:rPr>
                <w:rFonts w:ascii="Calibri" w:hAnsi="Calibri"/>
                <w:b w:val="0"/>
                <w:i w:val="0"/>
                <w:color w:val="212121"/>
                <w:sz w:val="16"/>
              </w:rPr>
              <w:t>Indicates marrow response to haemolysis</w:t>
            </w:r>
          </w:p>
        </w:tc>
        <w:tc>
          <w:tcPr>
            <w:tcW w:type="dxa" w:w="1036"/>
            <w:vAlign w:val="top"/>
          </w:tcPr>
          <w:p>
            <w:pPr>
              <w:spacing w:after="40" w:before="0" w:line="259" w:lineRule="auto"/>
            </w:pPr>
            <w:r>
              <w:rPr>
                <w:rFonts w:ascii="Calibri" w:hAnsi="Calibri"/>
                <w:b w:val="0"/>
                <w:i w:val="0"/>
                <w:color w:val="212121"/>
                <w:sz w:val="16"/>
              </w:rPr>
              <w:t>Haemolysing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Rises 4-7 days after the episode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Indirect (unconjugated) bilirubin</w:t>
            </w:r>
          </w:p>
        </w:tc>
        <w:tc>
          <w:tcPr>
            <w:tcW w:type="dxa" w:w="892"/>
            <w:vAlign w:val="top"/>
          </w:tcPr>
          <w:p>
            <w:pPr>
              <w:spacing w:after="40" w:before="0" w:line="259" w:lineRule="auto"/>
            </w:pPr>
            <w:r>
              <w:rPr>
                <w:rFonts w:ascii="Calibri" w:hAnsi="Calibri"/>
                <w:b w:val="0"/>
                <w:i w:val="0"/>
                <w:color w:val="212121"/>
                <w:sz w:val="16"/>
              </w:rPr>
              <w:t>Serum bilirubin</w:t>
            </w:r>
          </w:p>
        </w:tc>
        <w:tc>
          <w:tcPr>
            <w:tcW w:type="dxa" w:w="950"/>
            <w:vAlign w:val="top"/>
          </w:tcPr>
          <w:p>
            <w:pPr>
              <w:spacing w:after="40" w:before="0" w:line="259" w:lineRule="auto"/>
            </w:pPr>
            <w:r>
              <w:rPr>
                <w:rFonts w:ascii="Calibri" w:hAnsi="Calibri"/>
                <w:b w:val="0"/>
                <w:i w:val="0"/>
                <w:color w:val="212121"/>
                <w:sz w:val="16"/>
              </w:rPr>
              <w:t>&lt; 0.8 mg/dL (adult)</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Marker of haemolysis; neonatal risk of kernicterus</w:t>
            </w:r>
          </w:p>
        </w:tc>
        <w:tc>
          <w:tcPr>
            <w:tcW w:type="dxa" w:w="1036"/>
            <w:vAlign w:val="top"/>
          </w:tcPr>
          <w:p>
            <w:pPr>
              <w:spacing w:after="40" w:before="0" w:line="259" w:lineRule="auto"/>
            </w:pPr>
            <w:r>
              <w:rPr>
                <w:rFonts w:ascii="Calibri" w:hAnsi="Calibri"/>
                <w:b w:val="0"/>
                <w:i w:val="0"/>
                <w:color w:val="212121"/>
                <w:sz w:val="16"/>
              </w:rPr>
              <w:t>Neonates, haemolysing adults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Neonatal levels guide phototherapy/exchange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Lactate dehydrogenase (LDH)</w:t>
            </w:r>
          </w:p>
        </w:tc>
        <w:tc>
          <w:tcPr>
            <w:tcW w:type="dxa" w:w="892"/>
            <w:vAlign w:val="top"/>
          </w:tcPr>
          <w:p>
            <w:pPr>
              <w:spacing w:after="40" w:before="0" w:line="259" w:lineRule="auto"/>
            </w:pPr>
            <w:r>
              <w:rPr>
                <w:rFonts w:ascii="Calibri" w:hAnsi="Calibri"/>
                <w:b w:val="0"/>
                <w:i w:val="0"/>
                <w:color w:val="212121"/>
                <w:sz w:val="16"/>
              </w:rPr>
              <w:t>Serum LDH</w:t>
            </w:r>
          </w:p>
        </w:tc>
        <w:tc>
          <w:tcPr>
            <w:tcW w:type="dxa" w:w="950"/>
            <w:vAlign w:val="top"/>
          </w:tcPr>
          <w:p>
            <w:pPr>
              <w:spacing w:after="40" w:before="0" w:line="259" w:lineRule="auto"/>
            </w:pPr>
            <w:r>
              <w:rPr>
                <w:rFonts w:ascii="Calibri" w:hAnsi="Calibri"/>
                <w:b w:val="0"/>
                <w:i w:val="0"/>
                <w:color w:val="212121"/>
                <w:sz w:val="16"/>
              </w:rPr>
              <w:t>~140-280 U/L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Reflects red-cell breakdown</w:t>
            </w:r>
          </w:p>
        </w:tc>
        <w:tc>
          <w:tcPr>
            <w:tcW w:type="dxa" w:w="1036"/>
            <w:vAlign w:val="top"/>
          </w:tcPr>
          <w:p>
            <w:pPr>
              <w:spacing w:after="40" w:before="0" w:line="259" w:lineRule="auto"/>
            </w:pPr>
            <w:r>
              <w:rPr>
                <w:rFonts w:ascii="Calibri" w:hAnsi="Calibri"/>
                <w:b w:val="0"/>
                <w:i w:val="0"/>
                <w:color w:val="212121"/>
                <w:sz w:val="16"/>
              </w:rPr>
              <w:t>Patients with haemolysis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other markers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Haptoglobin</w:t>
            </w:r>
          </w:p>
        </w:tc>
        <w:tc>
          <w:tcPr>
            <w:tcW w:type="dxa" w:w="892"/>
            <w:vAlign w:val="top"/>
          </w:tcPr>
          <w:p>
            <w:pPr>
              <w:spacing w:after="40" w:before="0" w:line="259" w:lineRule="auto"/>
            </w:pPr>
            <w:r>
              <w:rPr>
                <w:rFonts w:ascii="Calibri" w:hAnsi="Calibri"/>
                <w:b w:val="0"/>
                <w:i w:val="0"/>
                <w:color w:val="212121"/>
                <w:sz w:val="16"/>
              </w:rPr>
              <w:t>Serum haptoglobin</w:t>
            </w:r>
          </w:p>
        </w:tc>
        <w:tc>
          <w:tcPr>
            <w:tcW w:type="dxa" w:w="950"/>
            <w:vAlign w:val="top"/>
          </w:tcPr>
          <w:p>
            <w:pPr>
              <w:spacing w:after="40" w:before="0" w:line="259" w:lineRule="auto"/>
            </w:pPr>
            <w:r>
              <w:rPr>
                <w:rFonts w:ascii="Calibri" w:hAnsi="Calibri"/>
                <w:b w:val="0"/>
                <w:i w:val="0"/>
                <w:color w:val="212121"/>
                <w:sz w:val="16"/>
              </w:rPr>
              <w:t>30-200 mg/dL</w:t>
            </w:r>
          </w:p>
        </w:tc>
        <w:tc>
          <w:tcPr>
            <w:tcW w:type="dxa" w:w="950"/>
            <w:vAlign w:val="top"/>
          </w:tcPr>
          <w:p>
            <w:pPr>
              <w:spacing w:after="40" w:before="0" w:line="259" w:lineRule="auto"/>
            </w:pPr>
            <w:r>
              <w:rPr>
                <w:rFonts w:ascii="Calibri" w:hAnsi="Calibri"/>
                <w:b w:val="0"/>
                <w:i w:val="0"/>
                <w:color w:val="212121"/>
                <w:sz w:val="16"/>
              </w:rPr>
              <w:t>Decreased/undetectable</w:t>
            </w:r>
          </w:p>
        </w:tc>
        <w:tc>
          <w:tcPr>
            <w:tcW w:type="dxa" w:w="1036"/>
            <w:vAlign w:val="top"/>
          </w:tcPr>
          <w:p>
            <w:pPr>
              <w:spacing w:after="40" w:before="0" w:line="259" w:lineRule="auto"/>
            </w:pPr>
            <w:r>
              <w:rPr>
                <w:rFonts w:ascii="Calibri" w:hAnsi="Calibri"/>
                <w:b w:val="0"/>
                <w:i w:val="0"/>
                <w:color w:val="212121"/>
                <w:sz w:val="16"/>
              </w:rPr>
              <w:t>Consumed by free haemoglobin—confirms intravascular haemolysis</w:t>
            </w:r>
          </w:p>
        </w:tc>
        <w:tc>
          <w:tcPr>
            <w:tcW w:type="dxa" w:w="1036"/>
            <w:vAlign w:val="top"/>
          </w:tcPr>
          <w:p>
            <w:pPr>
              <w:spacing w:after="40" w:before="0" w:line="259" w:lineRule="auto"/>
            </w:pPr>
            <w:r>
              <w:rPr>
                <w:rFonts w:ascii="Calibri" w:hAnsi="Calibri"/>
                <w:b w:val="0"/>
                <w:i w:val="0"/>
                <w:color w:val="212121"/>
                <w:sz w:val="16"/>
              </w:rPr>
              <w:t>Patients with acute haemolysis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Low in intravascular haemolysis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Urine haemoglobin</w:t>
            </w:r>
          </w:p>
        </w:tc>
        <w:tc>
          <w:tcPr>
            <w:tcW w:type="dxa" w:w="892"/>
            <w:vAlign w:val="top"/>
          </w:tcPr>
          <w:p>
            <w:pPr>
              <w:spacing w:after="40" w:before="0" w:line="259" w:lineRule="auto"/>
            </w:pPr>
            <w:r>
              <w:rPr>
                <w:rFonts w:ascii="Calibri" w:hAnsi="Calibri"/>
                <w:b w:val="0"/>
                <w:i w:val="0"/>
                <w:color w:val="212121"/>
                <w:sz w:val="16"/>
              </w:rPr>
              <w:t>Urinalysis / dipstick</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Haemoglobinuria (dark urine, dipstick blood without RBCs)</w:t>
            </w:r>
          </w:p>
        </w:tc>
        <w:tc>
          <w:tcPr>
            <w:tcW w:type="dxa" w:w="1036"/>
            <w:vAlign w:val="top"/>
          </w:tcPr>
          <w:p>
            <w:pPr>
              <w:spacing w:after="40" w:before="0" w:line="259" w:lineRule="auto"/>
            </w:pPr>
            <w:r>
              <w:rPr>
                <w:rFonts w:ascii="Calibri" w:hAnsi="Calibri"/>
                <w:b w:val="0"/>
                <w:i w:val="0"/>
                <w:color w:val="212121"/>
                <w:sz w:val="16"/>
              </w:rPr>
              <w:t>Confirms intravascular haemolysis; flags AKI risk</w:t>
            </w:r>
          </w:p>
        </w:tc>
        <w:tc>
          <w:tcPr>
            <w:tcW w:type="dxa" w:w="1036"/>
            <w:vAlign w:val="top"/>
          </w:tcPr>
          <w:p>
            <w:pPr>
              <w:spacing w:after="40" w:before="0" w:line="259" w:lineRule="auto"/>
            </w:pPr>
            <w:r>
              <w:rPr>
                <w:rFonts w:ascii="Calibri" w:hAnsi="Calibri"/>
                <w:b w:val="0"/>
                <w:i w:val="0"/>
                <w:color w:val="212121"/>
                <w:sz w:val="16"/>
              </w:rPr>
              <w:t>Patients with cola-coloured urine</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Ensure hydration to protect kidneys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exposure history</w:t>
            </w:r>
          </w:p>
        </w:tc>
        <w:tc>
          <w:tcPr>
            <w:tcW w:type="dxa" w:w="979"/>
            <w:vAlign w:val="top"/>
          </w:tcPr>
          <w:p>
            <w:pPr>
              <w:spacing w:after="40" w:before="0" w:line="259" w:lineRule="auto"/>
            </w:pPr>
            <w:r>
              <w:rPr>
                <w:rFonts w:ascii="Calibri" w:hAnsi="Calibri"/>
                <w:b w:val="0"/>
                <w:i w:val="0"/>
                <w:color w:val="212121"/>
                <w:sz w:val="16"/>
              </w:rPr>
              <w:t>Recent drug/fava bean/infection/naphthalene exposure</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Identifiable oxidant trigger</w:t>
            </w:r>
          </w:p>
        </w:tc>
        <w:tc>
          <w:tcPr>
            <w:tcW w:type="dxa" w:w="1036"/>
            <w:vAlign w:val="top"/>
          </w:tcPr>
          <w:p>
            <w:pPr>
              <w:spacing w:after="40" w:before="0" w:line="259" w:lineRule="auto"/>
            </w:pPr>
            <w:r>
              <w:rPr>
                <w:rFonts w:ascii="Calibri" w:hAnsi="Calibri"/>
                <w:b w:val="0"/>
                <w:i w:val="0"/>
                <w:color w:val="212121"/>
                <w:sz w:val="16"/>
              </w:rPr>
              <w:t>Links episode to a precipitant; guides avoidance</w:t>
            </w:r>
          </w:p>
        </w:tc>
        <w:tc>
          <w:tcPr>
            <w:tcW w:type="dxa" w:w="1036"/>
            <w:vAlign w:val="top"/>
          </w:tcPr>
          <w:p>
            <w:pPr>
              <w:spacing w:after="40" w:before="0" w:line="259" w:lineRule="auto"/>
            </w:pPr>
            <w:r>
              <w:rPr>
                <w:rFonts w:ascii="Calibri" w:hAnsi="Calibri"/>
                <w:b w:val="0"/>
                <w:i w:val="0"/>
                <w:color w:val="212121"/>
                <w:sz w:val="16"/>
              </w:rPr>
              <w:t>Adults &amp; children with acute anaemia/jaundice</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primaquine, sulfa, mothballs, henna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ethnic history</w:t>
            </w:r>
          </w:p>
        </w:tc>
        <w:tc>
          <w:tcPr>
            <w:tcW w:type="dxa" w:w="979"/>
            <w:vAlign w:val="top"/>
          </w:tcPr>
          <w:p>
            <w:pPr>
              <w:spacing w:after="40" w:before="0" w:line="259" w:lineRule="auto"/>
            </w:pPr>
            <w:r>
              <w:rPr>
                <w:rFonts w:ascii="Calibri" w:hAnsi="Calibri"/>
                <w:b w:val="0"/>
                <w:i w:val="0"/>
                <w:color w:val="212121"/>
                <w:sz w:val="16"/>
              </w:rPr>
              <w:t>Neonatal jaundice/anaemia in male relatives; tribal/malaria-endemic origin</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Affected male relatives / carrier mother</w:t>
            </w:r>
          </w:p>
        </w:tc>
        <w:tc>
          <w:tcPr>
            <w:tcW w:type="dxa" w:w="1036"/>
            <w:vAlign w:val="top"/>
          </w:tcPr>
          <w:p>
            <w:pPr>
              <w:spacing w:after="40" w:before="0" w:line="259" w:lineRule="auto"/>
            </w:pPr>
            <w:r>
              <w:rPr>
                <w:rFonts w:ascii="Calibri" w:hAnsi="Calibri"/>
                <w:b w:val="0"/>
                <w:i w:val="0"/>
                <w:color w:val="212121"/>
                <w:sz w:val="16"/>
              </w:rPr>
              <w:t>Supports X-linked inheritance</w:t>
            </w:r>
          </w:p>
        </w:tc>
        <w:tc>
          <w:tcPr>
            <w:tcW w:type="dxa" w:w="1036"/>
            <w:vAlign w:val="top"/>
          </w:tcPr>
          <w:p>
            <w:pPr>
              <w:spacing w:after="40" w:before="0" w:line="259" w:lineRule="auto"/>
            </w:pPr>
            <w:r>
              <w:rPr>
                <w:rFonts w:ascii="Calibri" w:hAnsi="Calibri"/>
                <w:b w:val="0"/>
                <w:i w:val="0"/>
                <w:color w:val="212121"/>
                <w:sz w:val="16"/>
              </w:rPr>
              <w:t>Relatives of affected males, tribal populations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consanguinity and neonatal deaths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inspection</w:t>
            </w:r>
          </w:p>
        </w:tc>
        <w:tc>
          <w:tcPr>
            <w:tcW w:type="dxa" w:w="979"/>
            <w:vAlign w:val="top"/>
          </w:tcPr>
          <w:p>
            <w:pPr>
              <w:spacing w:after="40" w:before="0" w:line="259" w:lineRule="auto"/>
            </w:pPr>
            <w:r>
              <w:rPr>
                <w:rFonts w:ascii="Calibri" w:hAnsi="Calibri"/>
                <w:b w:val="0"/>
                <w:i w:val="0"/>
                <w:color w:val="212121"/>
                <w:sz w:val="16"/>
              </w:rPr>
              <w:t>Pallor, scleral icterus, jaundice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during/after haemolysis</w:t>
            </w:r>
          </w:p>
        </w:tc>
        <w:tc>
          <w:tcPr>
            <w:tcW w:type="dxa" w:w="1036"/>
            <w:vAlign w:val="top"/>
          </w:tcPr>
          <w:p>
            <w:pPr>
              <w:spacing w:after="40" w:before="0" w:line="259" w:lineRule="auto"/>
            </w:pPr>
            <w:r>
              <w:rPr>
                <w:rFonts w:ascii="Calibri" w:hAnsi="Calibri"/>
                <w:b w:val="0"/>
                <w:i w:val="0"/>
                <w:color w:val="212121"/>
                <w:sz w:val="16"/>
              </w:rPr>
              <w:t>Signs of anaemia and hyperbilirubinaemia</w:t>
            </w:r>
          </w:p>
        </w:tc>
        <w:tc>
          <w:tcPr>
            <w:tcW w:type="dxa" w:w="1036"/>
            <w:vAlign w:val="top"/>
          </w:tcPr>
          <w:p>
            <w:pPr>
              <w:spacing w:after="40" w:before="0" w:line="259" w:lineRule="auto"/>
            </w:pPr>
            <w:r>
              <w:rPr>
                <w:rFonts w:ascii="Calibri" w:hAnsi="Calibri"/>
                <w:b w:val="0"/>
                <w:i w:val="0"/>
                <w:color w:val="212121"/>
                <w:sz w:val="16"/>
              </w:rPr>
              <w:t>Patients in acute crisis, jaundiced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Assess neonatal jaundice depth (cephalocaudal)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exam</w:t>
            </w:r>
          </w:p>
        </w:tc>
        <w:tc>
          <w:tcPr>
            <w:tcW w:type="dxa" w:w="979"/>
            <w:vAlign w:val="top"/>
          </w:tcPr>
          <w:p>
            <w:pPr>
              <w:spacing w:after="40" w:before="0" w:line="259" w:lineRule="auto"/>
            </w:pPr>
            <w:r>
              <w:rPr>
                <w:rFonts w:ascii="Calibri" w:hAnsi="Calibri"/>
                <w:b w:val="0"/>
                <w:i w:val="0"/>
                <w:color w:val="212121"/>
                <w:sz w:val="16"/>
              </w:rPr>
              <w:t>Splenomegaly / hepatomegaly</w:t>
            </w:r>
          </w:p>
        </w:tc>
        <w:tc>
          <w:tcPr>
            <w:tcW w:type="dxa" w:w="950"/>
            <w:vAlign w:val="top"/>
          </w:tcPr>
          <w:p>
            <w:pPr>
              <w:spacing w:after="40" w:before="0" w:line="259" w:lineRule="auto"/>
            </w:pPr>
            <w:r>
              <w:rPr>
                <w:rFonts w:ascii="Calibri" w:hAnsi="Calibri"/>
                <w:b w:val="0"/>
                <w:i w:val="0"/>
                <w:color w:val="212121"/>
                <w:sz w:val="16"/>
              </w:rPr>
              <w:t>No organomegaly</w:t>
            </w:r>
          </w:p>
        </w:tc>
        <w:tc>
          <w:tcPr>
            <w:tcW w:type="dxa" w:w="950"/>
            <w:vAlign w:val="top"/>
          </w:tcPr>
          <w:p>
            <w:pPr>
              <w:spacing w:after="40" w:before="0" w:line="259" w:lineRule="auto"/>
            </w:pPr>
            <w:r>
              <w:rPr>
                <w:rFonts w:ascii="Calibri" w:hAnsi="Calibri"/>
                <w:b w:val="0"/>
                <w:i w:val="0"/>
                <w:color w:val="212121"/>
                <w:sz w:val="16"/>
              </w:rPr>
              <w:t>Mild splenomegaly (chronic/severe variants)</w:t>
            </w:r>
          </w:p>
        </w:tc>
        <w:tc>
          <w:tcPr>
            <w:tcW w:type="dxa" w:w="1036"/>
            <w:vAlign w:val="top"/>
          </w:tcPr>
          <w:p>
            <w:pPr>
              <w:spacing w:after="40" w:before="0" w:line="259" w:lineRule="auto"/>
            </w:pPr>
            <w:r>
              <w:rPr>
                <w:rFonts w:ascii="Calibri" w:hAnsi="Calibri"/>
                <w:b w:val="0"/>
                <w:i w:val="0"/>
                <w:color w:val="212121"/>
                <w:sz w:val="16"/>
              </w:rPr>
              <w:t>Suggests ongoing/chronic haemolysis</w:t>
            </w:r>
          </w:p>
        </w:tc>
        <w:tc>
          <w:tcPr>
            <w:tcW w:type="dxa" w:w="1036"/>
            <w:vAlign w:val="top"/>
          </w:tcPr>
          <w:p>
            <w:pPr>
              <w:spacing w:after="40" w:before="0" w:line="259" w:lineRule="auto"/>
            </w:pPr>
            <w:r>
              <w:rPr>
                <w:rFonts w:ascii="Calibri" w:hAnsi="Calibri"/>
                <w:b w:val="0"/>
                <w:i w:val="0"/>
                <w:color w:val="212121"/>
                <w:sz w:val="16"/>
              </w:rPr>
              <w:t>Class A / CNSHA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Usually mild; marked in chronic haemolysis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Peripheral smear</w:t>
            </w:r>
          </w:p>
        </w:tc>
        <w:tc>
          <w:tcPr>
            <w:tcW w:type="dxa" w:w="950"/>
            <w:vAlign w:val="top"/>
          </w:tcPr>
          <w:p>
            <w:pPr>
              <w:spacing w:after="40" w:before="0" w:line="259" w:lineRule="auto"/>
            </w:pPr>
            <w:r>
              <w:rPr>
                <w:rFonts w:ascii="Calibri" w:hAnsi="Calibri"/>
                <w:b w:val="0"/>
                <w:i w:val="0"/>
                <w:color w:val="212121"/>
                <w:sz w:val="16"/>
              </w:rPr>
              <w:t>Morphology (supravital stain)</w:t>
            </w:r>
          </w:p>
        </w:tc>
        <w:tc>
          <w:tcPr>
            <w:tcW w:type="dxa" w:w="979"/>
            <w:vAlign w:val="top"/>
          </w:tcPr>
          <w:p>
            <w:pPr>
              <w:spacing w:after="40" w:before="0" w:line="259" w:lineRule="auto"/>
            </w:pPr>
            <w:r>
              <w:rPr>
                <w:rFonts w:ascii="Calibri" w:hAnsi="Calibri"/>
                <w:b w:val="0"/>
                <w:i w:val="0"/>
                <w:color w:val="212121"/>
                <w:sz w:val="16"/>
              </w:rPr>
              <w:t>Bite cells, blister cells, Heinz bodies</w:t>
            </w:r>
          </w:p>
        </w:tc>
        <w:tc>
          <w:tcPr>
            <w:tcW w:type="dxa" w:w="950"/>
            <w:vAlign w:val="top"/>
          </w:tcPr>
          <w:p>
            <w:pPr>
              <w:spacing w:after="40" w:before="0" w:line="259" w:lineRule="auto"/>
            </w:pPr>
            <w:r>
              <w:rPr>
                <w:rFonts w:ascii="Calibri" w:hAnsi="Calibri"/>
                <w:b w:val="0"/>
                <w:i w:val="0"/>
                <w:color w:val="212121"/>
                <w:sz w:val="16"/>
              </w:rPr>
              <w:t>Normal morphology</w:t>
            </w:r>
          </w:p>
        </w:tc>
        <w:tc>
          <w:tcPr>
            <w:tcW w:type="dxa" w:w="950"/>
            <w:vAlign w:val="top"/>
          </w:tcPr>
          <w:p>
            <w:pPr>
              <w:spacing w:after="40" w:before="0" w:line="259" w:lineRule="auto"/>
            </w:pPr>
            <w:r>
              <w:rPr>
                <w:rFonts w:ascii="Calibri" w:hAnsi="Calibri"/>
                <w:b w:val="0"/>
                <w:i w:val="0"/>
                <w:color w:val="212121"/>
                <w:sz w:val="16"/>
              </w:rPr>
              <w:t>Bite/blister cells; Heinz bodies on supravital stain</w:t>
            </w:r>
          </w:p>
        </w:tc>
        <w:tc>
          <w:tcPr>
            <w:tcW w:type="dxa" w:w="1036"/>
            <w:vAlign w:val="top"/>
          </w:tcPr>
          <w:p>
            <w:pPr>
              <w:spacing w:after="40" w:before="0" w:line="259" w:lineRule="auto"/>
            </w:pPr>
            <w:r>
              <w:rPr>
                <w:rFonts w:ascii="Calibri" w:hAnsi="Calibri"/>
                <w:b w:val="0"/>
                <w:i w:val="0"/>
                <w:color w:val="212121"/>
                <w:sz w:val="16"/>
              </w:rPr>
              <w:t>Hallmark of oxidative red-cell injury</w:t>
            </w:r>
          </w:p>
        </w:tc>
        <w:tc>
          <w:tcPr>
            <w:tcW w:type="dxa" w:w="1036"/>
            <w:vAlign w:val="top"/>
          </w:tcPr>
          <w:p>
            <w:pPr>
              <w:spacing w:after="40" w:before="0" w:line="259" w:lineRule="auto"/>
            </w:pPr>
            <w:r>
              <w:rPr>
                <w:rFonts w:ascii="Calibri" w:hAnsi="Calibri"/>
                <w:b w:val="0"/>
                <w:i w:val="0"/>
                <w:color w:val="212121"/>
                <w:sz w:val="16"/>
              </w:rPr>
              <w:t>Patients during acute haemolysis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Heinz bodies cleared by spleen after a few days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Immunohaematology</w:t>
            </w:r>
          </w:p>
        </w:tc>
        <w:tc>
          <w:tcPr>
            <w:tcW w:type="dxa" w:w="950"/>
            <w:vAlign w:val="top"/>
          </w:tcPr>
          <w:p>
            <w:pPr>
              <w:spacing w:after="40" w:before="0" w:line="259" w:lineRule="auto"/>
            </w:pPr>
            <w:r>
              <w:rPr>
                <w:rFonts w:ascii="Calibri" w:hAnsi="Calibri"/>
                <w:b w:val="0"/>
                <w:i w:val="0"/>
                <w:color w:val="212121"/>
                <w:sz w:val="16"/>
              </w:rPr>
              <w:t>Direct antiglobulin test</w:t>
            </w:r>
          </w:p>
        </w:tc>
        <w:tc>
          <w:tcPr>
            <w:tcW w:type="dxa" w:w="979"/>
            <w:vAlign w:val="top"/>
          </w:tcPr>
          <w:p>
            <w:pPr>
              <w:spacing w:after="40" w:before="0" w:line="259" w:lineRule="auto"/>
            </w:pPr>
            <w:r>
              <w:rPr>
                <w:rFonts w:ascii="Calibri" w:hAnsi="Calibri"/>
                <w:b w:val="0"/>
                <w:i w:val="0"/>
                <w:color w:val="212121"/>
                <w:sz w:val="16"/>
              </w:rPr>
              <w:t>Coombs (DAT)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Negative (in G6PD haemolysis)</w:t>
            </w:r>
          </w:p>
        </w:tc>
        <w:tc>
          <w:tcPr>
            <w:tcW w:type="dxa" w:w="1036"/>
            <w:vAlign w:val="top"/>
          </w:tcPr>
          <w:p>
            <w:pPr>
              <w:spacing w:after="40" w:before="0" w:line="259" w:lineRule="auto"/>
            </w:pPr>
            <w:r>
              <w:rPr>
                <w:rFonts w:ascii="Calibri" w:hAnsi="Calibri"/>
                <w:b w:val="0"/>
                <w:i w:val="0"/>
                <w:color w:val="212121"/>
                <w:sz w:val="16"/>
              </w:rPr>
              <w:t>Excludes autoimmune haemolysis; supports non-immune cause</w:t>
            </w:r>
          </w:p>
        </w:tc>
        <w:tc>
          <w:tcPr>
            <w:tcW w:type="dxa" w:w="1036"/>
            <w:vAlign w:val="top"/>
          </w:tcPr>
          <w:p>
            <w:pPr>
              <w:spacing w:after="40" w:before="0" w:line="259" w:lineRule="auto"/>
            </w:pPr>
            <w:r>
              <w:rPr>
                <w:rFonts w:ascii="Calibri" w:hAnsi="Calibri"/>
                <w:b w:val="0"/>
                <w:i w:val="0"/>
                <w:color w:val="212121"/>
                <w:sz w:val="16"/>
              </w:rPr>
              <w:t>Any acute haemolytic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negative DAT with haemolysis points away from AIHA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 of anaemia from red-cell destruction during a haemolytic episode.</w:t>
            </w:r>
          </w:p>
        </w:tc>
      </w:tr>
      <w:tr>
        <w:trPr>
          <w:cantSplit/>
        </w:trPr>
        <w:tc>
          <w:tcPr>
            <w:tcW w:type="dxa" w:w="2304"/>
            <w:vAlign w:val="top"/>
          </w:tcPr>
          <w:p>
            <w:pPr>
              <w:spacing w:after="40" w:before="0" w:line="259" w:lineRule="auto"/>
            </w:pPr>
            <w:r>
              <w:rPr>
                <w:rFonts w:ascii="Calibri" w:hAnsi="Calibri"/>
                <w:b/>
                <w:i w:val="0"/>
                <w:color w:val="212121"/>
                <w:sz w:val="19"/>
              </w:rPr>
              <w:t>Pallor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haemoglobin gives pale skin, conjunctivae and palms.</w:t>
            </w:r>
          </w:p>
        </w:tc>
      </w:tr>
      <w:tr>
        <w:trPr>
          <w:cantSplit/>
        </w:trPr>
        <w:tc>
          <w:tcPr>
            <w:tcW w:type="dxa" w:w="2304"/>
            <w:vAlign w:val="top"/>
          </w:tcPr>
          <w:p>
            <w:pPr>
              <w:spacing w:after="40" w:before="0" w:line="259" w:lineRule="auto"/>
            </w:pPr>
            <w:r>
              <w:rPr>
                <w:rFonts w:ascii="Calibri" w:hAnsi="Calibri"/>
                <w:b/>
                <w:i w:val="0"/>
                <w:color w:val="212121"/>
                <w:sz w:val="19"/>
              </w:rPr>
              <w:t>Jaundice (yellow skin/eyes)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Unconjugated bilirubin accumulates from rapid haemolysis.</w:t>
            </w:r>
          </w:p>
        </w:tc>
      </w:tr>
      <w:tr>
        <w:trPr>
          <w:cantSplit/>
        </w:trPr>
        <w:tc>
          <w:tcPr>
            <w:tcW w:type="dxa" w:w="2304"/>
            <w:vAlign w:val="top"/>
          </w:tcPr>
          <w:p>
            <w:pPr>
              <w:spacing w:after="40" w:before="0" w:line="259" w:lineRule="auto"/>
            </w:pPr>
            <w:r>
              <w:rPr>
                <w:rFonts w:ascii="Calibri" w:hAnsi="Calibri"/>
                <w:b/>
                <w:i w:val="0"/>
                <w:color w:val="212121"/>
                <w:sz w:val="19"/>
              </w:rPr>
              <w:t>Dark / cola-coloured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Haemoglobinuria from intravascular haemolysis; warns of possible kidney injury.</w:t>
            </w:r>
          </w:p>
        </w:tc>
      </w:tr>
      <w:tr>
        <w:trPr>
          <w:cantSplit/>
        </w:trPr>
        <w:tc>
          <w:tcPr>
            <w:tcW w:type="dxa" w:w="2304"/>
            <w:vAlign w:val="top"/>
          </w:tcPr>
          <w:p>
            <w:pPr>
              <w:spacing w:after="40" w:before="0" w:line="259" w:lineRule="auto"/>
            </w:pPr>
            <w:r>
              <w:rPr>
                <w:rFonts w:ascii="Calibri" w:hAnsi="Calibri"/>
                <w:b/>
                <w:i w:val="0"/>
                <w:color w:val="212121"/>
                <w:sz w:val="19"/>
              </w:rPr>
              <w:t>Shortness of breath / 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response to acute anaemia.</w:t>
            </w:r>
          </w:p>
        </w:tc>
      </w:tr>
      <w:tr>
        <w:trPr>
          <w:cantSplit/>
        </w:trPr>
        <w:tc>
          <w:tcPr>
            <w:tcW w:type="dxa" w:w="2304"/>
            <w:vAlign w:val="top"/>
          </w:tcPr>
          <w:p>
            <w:pPr>
              <w:spacing w:after="40" w:before="0" w:line="259" w:lineRule="auto"/>
            </w:pPr>
            <w:r>
              <w:rPr>
                <w:rFonts w:ascii="Calibri" w:hAnsi="Calibri"/>
                <w:b/>
                <w:i w:val="0"/>
                <w:color w:val="212121"/>
                <w:sz w:val="19"/>
              </w:rPr>
              <w:t>Neonatal 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within 24-72 h of birth in deficient newborns; risk of kernicterus if untreated.</w:t>
            </w:r>
          </w:p>
        </w:tc>
      </w:tr>
      <w:tr>
        <w:trPr>
          <w:cantSplit/>
        </w:trPr>
        <w:tc>
          <w:tcPr>
            <w:tcW w:type="dxa" w:w="2304"/>
            <w:vAlign w:val="top"/>
          </w:tcPr>
          <w:p>
            <w:pPr>
              <w:spacing w:after="40" w:before="0" w:line="259" w:lineRule="auto"/>
            </w:pPr>
            <w:r>
              <w:rPr>
                <w:rFonts w:ascii="Calibri" w:hAnsi="Calibri"/>
                <w:b/>
                <w:i w:val="0"/>
                <w:color w:val="212121"/>
                <w:sz w:val="19"/>
              </w:rPr>
              <w:t>Fever / symptoms of infection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Infection is frequently the trigger and may dominate the presentation.</w:t>
            </w:r>
          </w:p>
        </w:tc>
      </w:tr>
      <w:tr>
        <w:trPr>
          <w:cantSplit/>
        </w:trPr>
        <w:tc>
          <w:tcPr>
            <w:tcW w:type="dxa" w:w="2304"/>
            <w:vAlign w:val="top"/>
          </w:tcPr>
          <w:p>
            <w:pPr>
              <w:spacing w:after="40" w:before="0" w:line="259" w:lineRule="auto"/>
            </w:pPr>
            <w:r>
              <w:rPr>
                <w:rFonts w:ascii="Calibri" w:hAnsi="Calibri"/>
                <w:b/>
                <w:i w:val="0"/>
                <w:color w:val="212121"/>
                <w:sz w:val="19"/>
              </w:rPr>
              <w:t>Back, flank or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acute intravascular haemolysis (favism, drug-induced).</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sudden drop in haemoglobin and reduced oxygen delivery.</w:t>
            </w:r>
          </w:p>
        </w:tc>
      </w:tr>
      <w:tr>
        <w:trPr>
          <w:cantSplit/>
        </w:trPr>
        <w:tc>
          <w:tcPr>
            <w:tcW w:type="dxa" w:w="2304"/>
            <w:vAlign w:val="top"/>
          </w:tcPr>
          <w:p>
            <w:pPr>
              <w:spacing w:after="40" w:before="0" w:line="259" w:lineRule="auto"/>
            </w:pPr>
            <w:r>
              <w:rPr>
                <w:rFonts w:ascii="Calibri" w:hAnsi="Calibri"/>
                <w:b/>
                <w:i w:val="0"/>
                <w:color w:val="212121"/>
                <w:sz w:val="19"/>
              </w:rPr>
              <w:t>Poor feeding / lethargy in neonates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Signs of significant neonatal hyperbilirubinaemia or anaemia.</w:t>
            </w:r>
          </w:p>
        </w:tc>
      </w:tr>
      <w:tr>
        <w:trPr>
          <w:cantSplit/>
        </w:trPr>
        <w:tc>
          <w:tcPr>
            <w:tcW w:type="dxa" w:w="2304"/>
            <w:vAlign w:val="top"/>
          </w:tcPr>
          <w:p>
            <w:pPr>
              <w:spacing w:after="40" w:before="0" w:line="259" w:lineRule="auto"/>
            </w:pPr>
            <w:r>
              <w:rPr>
                <w:rFonts w:ascii="Calibri" w:hAnsi="Calibri"/>
                <w:b/>
                <w:i w:val="0"/>
                <w:color w:val="212121"/>
                <w:sz w:val="19"/>
              </w:rPr>
              <w:t>Right-upper-quadrant pain (gallstones)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Chronic haemolysis predisposes to pigment gallstones.</w:t>
            </w:r>
          </w:p>
        </w:tc>
      </w:tr>
      <w:tr>
        <w:trPr>
          <w:cantSplit/>
        </w:trPr>
        <w:tc>
          <w:tcPr>
            <w:tcW w:type="dxa" w:w="2304"/>
            <w:vAlign w:val="top"/>
          </w:tcPr>
          <w:p>
            <w:pPr>
              <w:spacing w:after="40" w:before="0" w:line="259" w:lineRule="auto"/>
            </w:pPr>
            <w:r>
              <w:rPr>
                <w:rFonts w:ascii="Calibri" w:hAnsi="Calibri"/>
                <w:b/>
                <w:i w:val="0"/>
                <w:color w:val="212121"/>
                <w:sz w:val="19"/>
              </w:rPr>
              <w:t>Recurrent haemolytic episodes / lifelong anaemia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severe Class A variants causing chronic non-spherocytic haemolytic anaemia.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sign of anaemia during or after a haemolytic episode.</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Yellowing from raised unconjugated bilirubin.</w:t>
            </w:r>
          </w:p>
        </w:tc>
      </w:tr>
      <w:tr>
        <w:trPr>
          <w:cantSplit/>
        </w:trPr>
        <w:tc>
          <w:tcPr>
            <w:tcW w:type="dxa" w:w="3456"/>
            <w:vAlign w:val="top"/>
          </w:tcPr>
          <w:p>
            <w:pPr>
              <w:spacing w:after="40" w:before="0" w:line="259" w:lineRule="auto"/>
            </w:pPr>
            <w:r>
              <w:rPr>
                <w:rFonts w:ascii="Calibri" w:hAnsi="Calibri"/>
                <w:b/>
                <w:i w:val="0"/>
                <w:color w:val="212121"/>
                <w:sz w:val="19"/>
              </w:rPr>
              <w:t>Haemoglobinuria (dark urine)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marker of intravascular haemolysis; dipstick positive for blood without red cells.</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cardiovascular response to acute anaemia.</w:t>
            </w:r>
          </w:p>
        </w:tc>
      </w:tr>
      <w:tr>
        <w:trPr>
          <w:cantSplit/>
        </w:trPr>
        <w:tc>
          <w:tcPr>
            <w:tcW w:type="dxa" w:w="3456"/>
            <w:vAlign w:val="top"/>
          </w:tcPr>
          <w:p>
            <w:pPr>
              <w:spacing w:after="40" w:before="0" w:line="259" w:lineRule="auto"/>
            </w:pPr>
            <w:r>
              <w:rPr>
                <w:rFonts w:ascii="Calibri" w:hAnsi="Calibri"/>
                <w:b/>
                <w:i w:val="0"/>
                <w:color w:val="212121"/>
                <w:sz w:val="19"/>
              </w:rPr>
              <w:t>Bite cells, blister cells &amp; Heinz bodies on smear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Morphological hallmark of oxidative red-cell damage (Heinz bodies need supravital stain).</w:t>
            </w:r>
          </w:p>
        </w:tc>
      </w:tr>
      <w:tr>
        <w:trPr>
          <w:cantSplit/>
        </w:trPr>
        <w:tc>
          <w:tcPr>
            <w:tcW w:type="dxa" w:w="3456"/>
            <w:vAlign w:val="top"/>
          </w:tcPr>
          <w:p>
            <w:pPr>
              <w:spacing w:after="40" w:before="0" w:line="259" w:lineRule="auto"/>
            </w:pPr>
            <w:r>
              <w:rPr>
                <w:rFonts w:ascii="Calibri" w:hAnsi="Calibri"/>
                <w:b/>
                <w:i w:val="0"/>
                <w:color w:val="212121"/>
                <w:sz w:val="19"/>
              </w:rPr>
              <w:t>Neonatal jaundice within 24-72 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G6PD-deficient newborns; requires bilirubin monitoring.</w:t>
            </w:r>
          </w:p>
        </w:tc>
      </w:tr>
      <w:tr>
        <w:trPr>
          <w:cantSplit/>
        </w:trPr>
        <w:tc>
          <w:tcPr>
            <w:tcW w:type="dxa" w:w="3456"/>
            <w:vAlign w:val="top"/>
          </w:tcPr>
          <w:p>
            <w:pPr>
              <w:spacing w:after="40" w:before="0" w:line="259" w:lineRule="auto"/>
            </w:pPr>
            <w:r>
              <w:rPr>
                <w:rFonts w:ascii="Calibri" w:hAnsi="Calibri"/>
                <w:b/>
                <w:i w:val="0"/>
                <w:color w:val="212121"/>
                <w:sz w:val="19"/>
              </w:rPr>
              <w:t>Mild 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extravascular clearance of damaged cells, more in chronic haemolysis.</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accompany chronic haemolysis or severe episodes.</w:t>
            </w:r>
          </w:p>
        </w:tc>
      </w:tr>
      <w:tr>
        <w:trPr>
          <w:cantSplit/>
        </w:trPr>
        <w:tc>
          <w:tcPr>
            <w:tcW w:type="dxa" w:w="3456"/>
            <w:vAlign w:val="top"/>
          </w:tcPr>
          <w:p>
            <w:pPr>
              <w:spacing w:after="40" w:before="0" w:line="259" w:lineRule="auto"/>
            </w:pPr>
            <w:r>
              <w:rPr>
                <w:rFonts w:ascii="Calibri" w:hAnsi="Calibri"/>
                <w:b/>
                <w:i w:val="0"/>
                <w:color w:val="212121"/>
                <w:sz w:val="19"/>
              </w:rPr>
              <w:t>Pigment gallstones on imaging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Consequence of chronic bilirubin turnover.</w:t>
            </w:r>
          </w:p>
        </w:tc>
      </w:tr>
      <w:tr>
        <w:trPr>
          <w:cantSplit/>
        </w:trPr>
        <w:tc>
          <w:tcPr>
            <w:tcW w:type="dxa" w:w="3456"/>
            <w:vAlign w:val="top"/>
          </w:tcPr>
          <w:p>
            <w:pPr>
              <w:spacing w:after="40" w:before="0" w:line="259" w:lineRule="auto"/>
            </w:pPr>
            <w:r>
              <w:rPr>
                <w:rFonts w:ascii="Calibri" w:hAnsi="Calibri"/>
                <w:b/>
                <w:i w:val="0"/>
                <w:color w:val="212121"/>
                <w:sz w:val="19"/>
              </w:rPr>
              <w:t>Kernicterus signs (hypertonia, opisthotonus, abnormal cry)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Bilirubin encephalopathy in untreated severe neonatal jaundice—an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intravascular haemolysis / haemolytic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Favism (fava-bean-induced haemolytic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Drug-induced haemolysis (primaquine, dapsone, sulfa, rasburicase)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Haemoglobinuria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hyperbilirubinaemia (jaundice)</w:t>
            </w:r>
          </w:p>
        </w:tc>
        <w:tc>
          <w:tcPr>
            <w:tcW w:type="dxa" w:w="2980"/>
            <w:vAlign w:val="top"/>
          </w:tcPr>
          <w:p>
            <w:pPr>
              <w:spacing w:after="40" w:before="0" w:line="259" w:lineRule="auto"/>
            </w:pPr>
            <w:r>
              <w:rPr>
                <w:rFonts w:ascii="Calibri" w:hAnsi="Calibri"/>
                <w:b w:val="0"/>
                <w:i w:val="0"/>
                <w:color w:val="212121"/>
                <w:sz w:val="19"/>
              </w:rPr>
              <w:t>Direct consequences of oxidative red-cell destruction when antioxidant defence fails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from pigment (haemoglobinuria)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anaemia requiring blood transfusion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bilirubin encephalopathy (kernicterus) in neonates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Pigment (bilirubin) gallstones / cholelithiasis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Splenomegaly</w:t>
            </w:r>
          </w:p>
        </w:tc>
        <w:tc>
          <w:tcPr>
            <w:tcW w:type="dxa" w:w="2980"/>
            <w:vAlign w:val="top"/>
          </w:tcPr>
          <w:p>
            <w:pPr>
              <w:spacing w:after="40" w:before="0" w:line="259" w:lineRule="auto"/>
            </w:pPr>
            <w:r>
              <w:rPr>
                <w:rFonts w:ascii="Calibri" w:hAnsi="Calibri"/>
                <w:b w:val="0"/>
                <w:i w:val="0"/>
                <w:color w:val="212121"/>
                <w:sz w:val="19"/>
              </w:rPr>
              <w:t>Develop from the severity of haemolysis, from released free haemoglobin/bilirubin, and from chronic red-cell turnover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non-spherocytic haemolytic anaemia (severe Class A variants)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Kernicterus sequelae: cerebral palsy, sensorineural deafness, developmental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 overload from repeated transfusions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Cholecystitis / need for cholecystectomy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massive haemolysis or renal failure (rare, preventable)</w:t>
            </w:r>
          </w:p>
        </w:tc>
        <w:tc>
          <w:tcPr>
            <w:tcW w:type="dxa" w:w="2980"/>
            <w:vAlign w:val="top"/>
          </w:tcPr>
          <w:p>
            <w:pPr>
              <w:spacing w:after="40" w:before="0" w:line="259" w:lineRule="auto"/>
            </w:pPr>
            <w:r>
              <w:rPr>
                <w:rFonts w:ascii="Calibri" w:hAnsi="Calibri"/>
                <w:b w:val="0"/>
                <w:i w:val="0"/>
                <w:color w:val="212121"/>
                <w:sz w:val="19"/>
              </w:rPr>
              <w:t>Irreversible or long-term outcomes of severe or repeated haemolysis and of untreated neonatal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Neonatal hyperbilirubinaemia (jaundice)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G6PD deficiency is a leading cause of severe neonatal jaundice in high-prevalence regions; risk of kernicterus if untreated.</w:t>
            </w:r>
          </w:p>
        </w:tc>
      </w:tr>
      <w:tr>
        <w:trPr>
          <w:cantSplit/>
        </w:trPr>
        <w:tc>
          <w:tcPr>
            <w:tcW w:type="dxa" w:w="2232"/>
            <w:vAlign w:val="top"/>
          </w:tcPr>
          <w:p>
            <w:pPr>
              <w:spacing w:after="40" w:before="0" w:line="259" w:lineRule="auto"/>
            </w:pPr>
            <w:r>
              <w:rPr>
                <w:rFonts w:ascii="Calibri" w:hAnsi="Calibri"/>
                <w:b/>
                <w:i w:val="0"/>
                <w:color w:val="212121"/>
                <w:sz w:val="19"/>
              </w:rPr>
              <w:t>Malaria (P. vivax / P. falciparum)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Deficiency is protective against malaria (evolutionary selection) but makes radical-cure drugs primaquine/tafenoquine hazardous—mandating G6PD testing first.</w:t>
            </w:r>
          </w:p>
        </w:tc>
      </w:tr>
      <w:tr>
        <w:trPr>
          <w:cantSplit/>
        </w:trPr>
        <w:tc>
          <w:tcPr>
            <w:tcW w:type="dxa" w:w="2232"/>
            <w:vAlign w:val="top"/>
          </w:tcPr>
          <w:p>
            <w:pPr>
              <w:spacing w:after="40" w:before="0" w:line="259" w:lineRule="auto"/>
            </w:pPr>
            <w:r>
              <w:rPr>
                <w:rFonts w:ascii="Calibri" w:hAnsi="Calibri"/>
                <w:b/>
                <w:i w:val="0"/>
                <w:color w:val="212121"/>
                <w:sz w:val="19"/>
              </w:rPr>
              <w:t>Acute kidney injury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Massive intravascular haemolysis releases free haemoglobin causing pigment nephropathy; hydration is protective.</w:t>
            </w:r>
          </w:p>
        </w:tc>
      </w:tr>
      <w:tr>
        <w:trPr>
          <w:cantSplit/>
        </w:trPr>
        <w:tc>
          <w:tcPr>
            <w:tcW w:type="dxa" w:w="2232"/>
            <w:vAlign w:val="top"/>
          </w:tcPr>
          <w:p>
            <w:pPr>
              <w:spacing w:after="40" w:before="0" w:line="259" w:lineRule="auto"/>
            </w:pPr>
            <w:r>
              <w:rPr>
                <w:rFonts w:ascii="Calibri" w:hAnsi="Calibri"/>
                <w:b/>
                <w:i w:val="0"/>
                <w:color w:val="212121"/>
                <w:sz w:val="19"/>
              </w:rPr>
              <w:t>Cholelithiasis (pigment gallstones)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bilirubin turnover from ongoing haemolysis promotes pigment stone formation.</w:t>
            </w:r>
          </w:p>
        </w:tc>
      </w:tr>
      <w:tr>
        <w:trPr>
          <w:cantSplit/>
        </w:trPr>
        <w:tc>
          <w:tcPr>
            <w:tcW w:type="dxa" w:w="2232"/>
            <w:vAlign w:val="top"/>
          </w:tcPr>
          <w:p>
            <w:pPr>
              <w:spacing w:after="40" w:before="0" w:line="259" w:lineRule="auto"/>
            </w:pPr>
            <w:r>
              <w:rPr>
                <w:rFonts w:ascii="Calibri" w:hAnsi="Calibri"/>
                <w:b/>
                <w:i w:val="0"/>
                <w:color w:val="212121"/>
                <w:sz w:val="19"/>
              </w:rPr>
              <w:t>Kernicterus / bilirubin encephalopathy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untreated neonatal hyperbilirubinaemia can cause permanent neurological injury.</w:t>
            </w:r>
          </w:p>
        </w:tc>
      </w:tr>
      <w:tr>
        <w:trPr>
          <w:cantSplit/>
        </w:trPr>
        <w:tc>
          <w:tcPr>
            <w:tcW w:type="dxa" w:w="2232"/>
            <w:vAlign w:val="top"/>
          </w:tcPr>
          <w:p>
            <w:pPr>
              <w:spacing w:after="40" w:before="0" w:line="259" w:lineRule="auto"/>
            </w:pPr>
            <w:r>
              <w:rPr>
                <w:rFonts w:ascii="Calibri" w:hAnsi="Calibri"/>
                <w:b/>
                <w:i w:val="0"/>
                <w:color w:val="212121"/>
                <w:sz w:val="19"/>
              </w:rPr>
              <w:t>Atherosclerotic cardiovascular disease (ASCVD)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Deficient cohorts show higher adjusted ASCVD risk, possibly via impaired NADPH-dependent redox control.</w:t>
            </w:r>
          </w:p>
          <w:p>
            <w:pPr>
              <w:spacing w:after="40" w:before="0" w:line="259" w:lineRule="auto"/>
            </w:pPr>
            <w:r>
              <w:rPr>
                <w:rFonts w:ascii="Calibri" w:hAnsi="Calibri"/>
                <w:b/>
                <w:i w:val="0"/>
                <w:color w:val="212121"/>
                <w:sz w:val="19"/>
              </w:rPr>
              <w:t>~40-71% higher risk</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Hyperglycaemia lowers G6PD activity while deficiency may worsen oxidative microvascular damage—mutually aggravating.</w:t>
            </w:r>
          </w:p>
        </w:tc>
      </w:tr>
      <w:tr>
        <w:trPr>
          <w:cantSplit/>
        </w:trPr>
        <w:tc>
          <w:tcPr>
            <w:tcW w:type="dxa" w:w="2232"/>
            <w:vAlign w:val="top"/>
          </w:tcPr>
          <w:p>
            <w:pPr>
              <w:spacing w:after="40" w:before="0" w:line="259" w:lineRule="auto"/>
            </w:pPr>
            <w:r>
              <w:rPr>
                <w:rFonts w:ascii="Calibri" w:hAnsi="Calibri"/>
                <w:b/>
                <w:i w:val="0"/>
                <w:color w:val="212121"/>
                <w:sz w:val="19"/>
              </w:rPr>
              <w:t>Acute infections (hepatitis, typhoid, pneumonia, sepsis)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Infection is the commonest real-world trigger of haemolysis via the phagocyte oxidative burst.</w:t>
            </w:r>
          </w:p>
        </w:tc>
      </w:tr>
      <w:tr>
        <w:trPr>
          <w:cantSplit/>
        </w:trPr>
        <w:tc>
          <w:tcPr>
            <w:tcW w:type="dxa" w:w="2232"/>
            <w:vAlign w:val="top"/>
          </w:tcPr>
          <w:p>
            <w:pPr>
              <w:spacing w:after="40" w:before="0" w:line="259" w:lineRule="auto"/>
            </w:pPr>
            <w:r>
              <w:rPr>
                <w:rFonts w:ascii="Calibri" w:hAnsi="Calibri"/>
                <w:b/>
                <w:i w:val="0"/>
                <w:color w:val="212121"/>
                <w:sz w:val="19"/>
              </w:rPr>
              <w:t>Co-inherited haemoglobinopathies (sickle cell, thalassaemia)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the malaria-endemic distribution and can co-exist, complicating the anaemia picture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a G6PD-deficiency card/alert and inform every doctor, dentist and pharmacist before any prescription.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avoid the trigger list: primaquine, tafenoquine, dapsone, sulfonamides/co-trimoxazole, nitrofurantoin, nalidixic acid, methylene blue and rasburicase.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fava (broad) beans and fava-containing foods, and quinine-containing tonic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naphthalene mothballs/camphor balls and henna away from infants and G6PD-deficient household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signs—pallor, jaundice, dark/cola-coloured urine, back or abdominal pain, breathlessness—and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newborns with a family history are screened and monitored for jaundice in the first week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G6PD-deficient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Tribal / malaria-endemic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starting antimalarials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episode, stop the suspected trigger immediately and seek medical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Most acute haemolysis is self-limited and resolves in 4-7 days once the trigger is removed; supportive care is the mainstay.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anaemia may require blood transfusion; severe neonatal jaundice may need phototherapy or exchange transfusion.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Request G6PD testing (and confirm before primaquine/tafenoquine) rather than relying on symptoms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acute haemolytic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Jaundiced neonates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Malaria patients before radical cure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Strictly avoid fava/broad beans (and their flour/products), the classic cause of favism.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quinine-containing tonic water and bitter-lemon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high-dose vitamin-C supplements; obtain vitamin C from a normal balanced diet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Read labels for menthol/methylene-blue dyes and unfamiliar herbal additives.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an iron- and folate-adequate diet to support red-cell production between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G6PD-deficient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with intermediate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cooking traditional legume dishes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 regular physical activity is safe and encouraged for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exertion during and immediately after an acute haemolytic episode until haemoglobin recovers.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during exercise, especially in hot weather.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G6PD-deficient adults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Water</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generous oral or intravenous hydration during a haemolytic crisis to protect the kidneys from pigment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urine colour and output; dark urine or reduced output warrants urgent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haemoglobinuria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acute haemolysis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to reduce overall oxidative burden on red cells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especially for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G6PD-deficient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affected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avoid heavy binge drinking that can add oxidative and hepatic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quinine-containing mixers (tonic water) with alcoholic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G6PD-deficient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general recovery and immune function (reducing infection-triggered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adequately during and after an acute haemolytic episode.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G6PD-deficient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haemolysis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genetic counselling to understand inheritance, carrier risk and prenatal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reassurance and clear written trigger-avoidance guidance to reduce anxiety about the lifelong condition.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family education so parents can confidently manage a G6PD-deficient child.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newborns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9170901/" TargetMode="External"/><Relationship Id="rId10" Type="http://schemas.openxmlformats.org/officeDocument/2006/relationships/hyperlink" Target="https://pmc.ncbi.nlm.nih.gov/articles/PMC12141281/" TargetMode="External"/><Relationship Id="rId11" Type="http://schemas.openxmlformats.org/officeDocument/2006/relationships/hyperlink" Target="https://www.aafp.org/afp/2005/1001/p1277" TargetMode="External"/><Relationship Id="rId12" Type="http://schemas.openxmlformats.org/officeDocument/2006/relationships/hyperlink" Target="https://ijmr.org.in/glucose-6-phosphate-dehydrogenase-g6pd-deficiency-among-tribal-populations-of-india-country-scenario/" TargetMode="External"/><Relationship Id="rId13" Type="http://schemas.openxmlformats.org/officeDocument/2006/relationships/hyperlink" Target="https://www.scirp.org/journal/paperinformation?paperid=87439" TargetMode="External"/><Relationship Id="rId14" Type="http://schemas.openxmlformats.org/officeDocument/2006/relationships/hyperlink" Target="https://www.who.int/publications/i/item/WHO-HTM-GMP-2016.9" TargetMode="External"/><Relationship Id="rId15" Type="http://schemas.openxmlformats.org/officeDocument/2006/relationships/hyperlink" Target="https://files.cpicpgx.org/data/guideline/publication/G6PD/2022/36049896.pdf" TargetMode="External"/><Relationship Id="rId16" Type="http://schemas.openxmlformats.org/officeDocument/2006/relationships/hyperlink" Target="https://rarediseases.org/rare-diseases/glucose-6-phosphate-dehydrogenase-deficiency/" TargetMode="External"/><Relationship Id="rId17" Type="http://schemas.openxmlformats.org/officeDocument/2006/relationships/hyperlink" Target="https://emedicine.medscape.com/article/200390-overview" TargetMode="External"/><Relationship Id="rId18" Type="http://schemas.openxmlformats.org/officeDocument/2006/relationships/hyperlink" Target="https://www.nature.com/articles/s44324-025-00061-6" TargetMode="External"/><Relationship Id="rId19" Type="http://schemas.openxmlformats.org/officeDocument/2006/relationships/hyperlink" Target="https://cdn.who.int/media/docs/default-source/malaria/mpac-documentation/mpag-mar2022-session2-technical-consultation-g6pd-classifi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