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Alcohol use</w:t>
      </w:r>
    </w:p>
    <w:p>
      <w:pPr>
        <w:spacing w:before="0" w:after="160"/>
      </w:pPr>
      <w:r>
        <w:rPr>
          <w:rFonts w:ascii="Calibri" w:hAnsi="Calibri"/>
          <w:b/>
          <w:i w:val="0"/>
          <w:color w:val="212121"/>
          <w:sz w:val="22"/>
        </w:rPr>
        <w:t xml:space="preserve">AKA </w:t>
      </w:r>
      <w:r>
        <w:rPr>
          <w:rFonts w:ascii="Calibri" w:hAnsi="Calibri"/>
          <w:b w:val="0"/>
          <w:i w:val="0"/>
          <w:color w:val="212121"/>
          <w:sz w:val="22"/>
        </w:rPr>
        <w:t>i.e., Alcohol consumption, Drinking (ethanol use); clinical spectrum: hazardous drinking, harmful use, binge drinking, alcohol dependence / alcohol use disorder (AUD), alcoholism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Alcohol use refers to the consumption of beverages containing ethyl alcohol (ethanol), spanning a spectrum from occasional low-quantity drinking through hazardous use, harmful use and binge drinking to alcohol dependence (alcohol use disorder). Ethanol is a psychoactive, dependence-producing substance classified by IARC as a Group 1 carcinogen, and WHO states that no level of consumption is safe for health. Alcohol is causally implicated in more than 200 disease and injury conditions — including liver disease, cancers, cardiovascular disease, mental disorders, tuberculosis and road-traffic injuries — making it one of the most important modifiable lifestyle risk factors tracked in an Indian health profile.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NFHS-5 (2019–21) found that roughly one in five Indian men (~19%) and about 1% of women aged 15 years and above consume alcohol; among men aged 15–49 the figure is about 22%, highest in Goa, Arunachal Pradesh, Telangana and the North-Eastern states. The national AIIMS 'Magnitude of Substance Use in India' survey (2019) estimated that 14.6% of Indians aged 10–75 years — about 16 crore people — are current alcohol users, prevalence being ~17 times higher in men than women, and that 5.2% of the population (more than 5.7 crore people) show harmful or dependent use. India's per-capita consumption (4.9 litres of pure alcohol in 2019) is projected by WHO to rise to about 6.7 litres by 2030, and alcohol already accounts for an estimated 38.5 deaths per 100,000 population in India (63.0 in 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Alcohol use is quantified and risk-stratified by history; harmful use and dependence are diagnosed clinically using validated screening tools and standard criteria: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 WHO AUDIT (Alcohol Use Disorders Identification Test), a 10-question tool: score ≥ 8 indicates hazardous/harmful drinking and ≥ 20 suggests possible dependence needing diagnostic evaluation; shorter AUDIT-C and CAGE (≥ 2 positive answers) are practical in busy OPDs;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DSM-5 alcohol use disorder — ≥ 2 of 11 criteria (impaired control, craving, tolerance, withdrawal, role failure, hazardous use, continued use despite harm, etc.) within a 12-month period; severity mild (2–3), moderate (4–5) or severe (≥ 6 criteria);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ICD-10 — harmful use (F10.1): a pattern of use already causing physical or psychological damage without dependence; dependence syndrome (F10.2): ≥ 3 of 6 features (strong compulsion, impaired control, withdrawal, tolerance, salience over other interests, persistence despite harm) together during the previous year;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Quantification — intake recorded in standard drinks (≈ 10 g ethanol; roughly one 30 ml peg of spirits, 100 ml of wine or 285 ml of beer). NIAAA defines heavy use as ≥ 5 drinks/day or ≥ 15/week (men) and ≥ 4 drinks/day or ≥ 8/week (women), and binge drinking as a pattern raising blood alcohol to ≥ 0.08 g/dL (about 5 drinks for men / 4 for women within ~2 hours);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laboratory markers (not diagnostic alone) — elevated GGT, AST:ALT ratio &gt; 2, macrocytosis (raised MCV) and carbohydrate-deficient transferrin (CDT) corroborate chronic heavy drinking and help monitor abstinence.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By pattern and consequences, alcohol use is classified along a clinical spectrum:</w:t>
      </w:r>
    </w:p>
    <w:p>
      <w:pPr>
        <w:spacing w:before="0" w:after="80"/>
      </w:pPr>
      <w:r>
        <w:rPr>
          <w:rFonts w:ascii="Calibri" w:hAnsi="Calibri"/>
          <w:b w:val="0"/>
          <w:i w:val="0"/>
          <w:color w:val="212121"/>
          <w:sz w:val="21"/>
        </w:rPr>
        <w:t>(1) Low-risk / social use — infrequent, low-quantity drinking without intoxication-related harm; WHO nevertheless emphasizes that no amount is risk-free, since even light drinking contributes to cancer risk (alcohol is an IARC Group 1 carcinogen);</w:t>
      </w:r>
    </w:p>
    <w:p>
      <w:pPr>
        <w:spacing w:before="0" w:after="80"/>
      </w:pPr>
      <w:r>
        <w:rPr>
          <w:rFonts w:ascii="Calibri" w:hAnsi="Calibri"/>
          <w:b w:val="0"/>
          <w:i w:val="0"/>
          <w:color w:val="212121"/>
          <w:sz w:val="21"/>
        </w:rPr>
        <w:t>(2) Hazardous use — a quantity or pattern (e.g., heavy episodic/binge drinking) that places the user at risk of future physical, mental or social harm, although damage has not yet occurred;</w:t>
      </w:r>
    </w:p>
    <w:p>
      <w:pPr>
        <w:spacing w:before="0" w:after="80"/>
      </w:pPr>
      <w:r>
        <w:rPr>
          <w:rFonts w:ascii="Calibri" w:hAnsi="Calibri"/>
          <w:b w:val="0"/>
          <w:i w:val="0"/>
          <w:color w:val="212121"/>
          <w:sz w:val="21"/>
        </w:rPr>
        <w:t>(3) Harmful use (ICD-10 F10.1) — alcohol use already causing documented physical damage (gastritis, fatty liver, injury) or psychological damage (depressive episodes) without meeting dependence criteria;</w:t>
      </w:r>
    </w:p>
    <w:p>
      <w:pPr>
        <w:spacing w:before="0" w:after="80"/>
      </w:pPr>
      <w:r>
        <w:rPr>
          <w:rFonts w:ascii="Calibri" w:hAnsi="Calibri"/>
          <w:b w:val="0"/>
          <w:i w:val="0"/>
          <w:color w:val="212121"/>
          <w:sz w:val="21"/>
        </w:rPr>
        <w:t>(4) Alcohol dependence / alcohol use disorder (F10.2) — a cluster of compulsive use, craving, tolerance, withdrawal and continued use despite harm; the most severe, chronic-relapsing form, requiring structured treatment; and</w:t>
      </w:r>
    </w:p>
    <w:p>
      <w:pPr>
        <w:spacing w:before="0" w:after="80"/>
      </w:pPr>
      <w:r>
        <w:rPr>
          <w:rFonts w:ascii="Calibri" w:hAnsi="Calibri"/>
          <w:b w:val="0"/>
          <w:i w:val="0"/>
          <w:color w:val="212121"/>
          <w:sz w:val="21"/>
        </w:rPr>
        <w:t>(5) Withdrawal states — uncomplicated withdrawal (tremor, sweating, anxiety 6–24 h after the last drink), withdrawal seizures (12–48 h) and delirium tremens (48–96 h: confusion, hallucinations, autonomic storm — a medical emergency); alcohol-induced psychotic disorder and Wernicke–Korsakoff syndrome are related organic complications.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Twin and adoption studies estimate ~49% heritability of alcohol use disorder; variants of alcohol-metabolizing enzymes (ADH1B, ALDH2) and reward-pathway genes modify risk — the flushing ALDH2*2 variant is relatively protective, while its absence permits heavy drinking.</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Neurobiological adaptation: Repeated ethanol exposure sensitizes mesolimbic dopamine reward circuits and down-regulates GABA / up-regulates NMDA signalling, producing tolerance, craving and a withdrawal state that perpetuates drinking.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Early initiation and social learning: Starting alcohol in adolescence, parental and peer modelling, and normalization of drinking in family, community or festival settings strongly predict later dependence.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Psychological factors: Depression, anxiety, chronic stress, trauma and insomnia drive 'self-medication' drinking; about one-third of dependent drinkers in Indian studies have a comorbid psychiatric disorder.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Availability, marketing and price: Easy access to cheap country liquor, expanding retail outlets, surrogate advertising and rising social acceptability push population-level consumption; country liquor and IMFL spirits each account for about 30% of Indian consumption.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Socioeconomic and occupational stressors: Manual labour, daily-wage work, financial distress and low education cluster with heavy drinking and concentrate its harms in poorer households.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(25–49 years)</w:t>
            </w:r>
          </w:p>
        </w:tc>
        <w:tc>
          <w:tcPr>
            <w:tcW w:type="dxa" w:w="4276"/>
            <w:vAlign w:val="top"/>
          </w:tcPr>
          <w:p>
            <w:pPr>
              <w:spacing w:after="60" w:line="259" w:lineRule="auto"/>
            </w:pPr>
            <w:r>
              <w:rPr>
                <w:rFonts w:ascii="Calibri" w:hAnsi="Calibri"/>
                <w:b w:val="0"/>
                <w:i w:val="0"/>
                <w:color w:val="212121"/>
                <w:sz w:val="19"/>
              </w:rPr>
              <w:t>Peak consumption occurs in the working years; cumulative exposure through the 30s and 40s drives dependence, liver disease and injury risk, while occupational stress and social drinking norms sustain intake.</w:t>
            </w:r>
          </w:p>
          <w:p>
            <w:pPr>
              <w:spacing w:after="40" w:before="60" w:line="259" w:lineRule="auto"/>
            </w:pPr>
            <w:r>
              <w:rPr>
                <w:rFonts w:ascii="Calibri" w:hAnsi="Calibri"/>
                <w:b w:val="0"/>
                <w:i w:val="0"/>
                <w:color w:val="212121"/>
                <w:sz w:val="19"/>
              </w:rPr>
              <w:t>AIIMS national survey (2019): 14.6% of Indians aged 10–75 years — about 16 crore people — are current alcohol users, concentrated among adult men.</w:t>
            </w:r>
          </w:p>
          <w:p>
            <w:pPr>
              <w:spacing w:after="40" w:line="252" w:lineRule="auto"/>
            </w:pPr>
            <w:hyperlink r:id="rId9">
              <w:r>
                <w:rPr>
                  <w:rFonts w:ascii="Calibri" w:hAnsi="Calibri" w:cs="Calibri"/>
                  <w:sz w:val="18"/>
                  <w:color w:val="1155CC"/>
                  <w:u w:val="single"/>
                </w:rPr>
                <w:t xml:space="preserve">pib.gov.in — Magnitude of Substance Use in India (AIIMS/MoSJE)</w:t>
              </w:r>
            </w:hyperlink>
          </w:p>
          <w:p>
            <w:pPr>
              <w:spacing w:before="60" w:after="40"/>
            </w:pPr>
            <w:r>
              <w:rPr>
                <w:rFonts w:ascii="Calibri" w:hAnsi="Calibri"/>
                <w:b w:val="0"/>
                <w:i w:val="0"/>
                <w:color w:val="5A5A5A"/>
                <w:sz w:val="18"/>
              </w:rPr>
              <w:t>#workingage  #cumulativeexposure  #dependence  #socialdrinking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Early initiation interacts with the still-maturing brain and roughly doubles the likelihood of later dependence; intoxication-related injury is the dominant alcohol harm at this age.</w:t>
            </w:r>
          </w:p>
          <w:p>
            <w:pPr>
              <w:spacing w:after="40" w:before="60" w:line="259" w:lineRule="auto"/>
            </w:pPr>
            <w:r>
              <w:rPr>
                <w:rFonts w:ascii="Calibri" w:hAnsi="Calibri"/>
                <w:b w:val="0"/>
                <w:i w:val="0"/>
                <w:color w:val="212121"/>
                <w:sz w:val="19"/>
              </w:rPr>
              <w:t>WHO: 13% of all alcohol-attributable deaths worldwide occur in people aged 20–39 years.</w:t>
            </w:r>
          </w:p>
          <w:p>
            <w:pPr>
              <w:spacing w:after="40" w:line="252" w:lineRule="auto"/>
            </w:pPr>
            <w:hyperlink r:id="rId10">
              <w:r>
                <w:rPr>
                  <w:rFonts w:ascii="Calibri" w:hAnsi="Calibri" w:cs="Calibri"/>
                  <w:sz w:val="18"/>
                  <w:color w:val="1155CC"/>
                  <w:u w:val="single"/>
                </w:rPr>
                <w:t xml:space="preserve">who.int — alcohol fact sheet</w:t>
              </w:r>
            </w:hyperlink>
          </w:p>
          <w:p>
            <w:pPr>
              <w:spacing w:before="60" w:after="40"/>
            </w:pPr>
            <w:r>
              <w:rPr>
                <w:rFonts w:ascii="Calibri" w:hAnsi="Calibri"/>
                <w:b w:val="0"/>
                <w:i w:val="0"/>
                <w:color w:val="5A5A5A"/>
                <w:sz w:val="18"/>
              </w:rPr>
              <w:t>#earlyinitiation  #youthrisk  #bingeculture  #injury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Drinking is culturally patterned as a male behaviour in India; men drink more often and in larger quantities, develop dependence far more frequently, and bear most alcohol-attributable deaths.</w:t>
            </w:r>
          </w:p>
          <w:p>
            <w:pPr>
              <w:spacing w:after="40" w:before="60" w:line="259" w:lineRule="auto"/>
            </w:pPr>
            <w:r>
              <w:rPr>
                <w:rFonts w:ascii="Calibri" w:hAnsi="Calibri"/>
                <w:b w:val="0"/>
                <w:i w:val="0"/>
                <w:color w:val="212121"/>
                <w:sz w:val="19"/>
              </w:rPr>
              <w:t>NFHS-5: about 22% of men vs 1% of women aged 15–49 drink alcohol; among men who drink, 15% drink almost every day and 43% about once a week.</w:t>
            </w:r>
          </w:p>
          <w:p>
            <w:pPr>
              <w:spacing w:after="40" w:line="252" w:lineRule="auto"/>
            </w:pPr>
            <w:hyperlink r:id="rId11">
              <w:r>
                <w:rPr>
                  <w:rFonts w:ascii="Calibri" w:hAnsi="Calibri" w:cs="Calibri"/>
                  <w:sz w:val="18"/>
                  <w:color w:val="1155CC"/>
                  <w:u w:val="single"/>
                </w:rPr>
                <w:t xml:space="preserve">theprint.in — NFHS-5 alcohol findings</w:t>
              </w:r>
            </w:hyperlink>
          </w:p>
          <w:p>
            <w:pPr>
              <w:spacing w:before="60" w:after="40"/>
            </w:pPr>
            <w:r>
              <w:rPr>
                <w:rFonts w:ascii="Calibri" w:hAnsi="Calibri"/>
                <w:b w:val="0"/>
                <w:i w:val="0"/>
                <w:color w:val="5A5A5A"/>
                <w:sz w:val="18"/>
              </w:rPr>
              <w:t>#maledrinking  #gendergap  #dailydrinking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Daily-wage, manual &amp; lower-income workers</w:t>
            </w:r>
          </w:p>
        </w:tc>
        <w:tc>
          <w:tcPr>
            <w:tcW w:type="dxa" w:w="4276"/>
            <w:vAlign w:val="top"/>
          </w:tcPr>
          <w:p>
            <w:pPr>
              <w:spacing w:after="60" w:line="259" w:lineRule="auto"/>
            </w:pPr>
            <w:r>
              <w:rPr>
                <w:rFonts w:ascii="Calibri" w:hAnsi="Calibri"/>
                <w:b w:val="0"/>
                <w:i w:val="0"/>
                <w:color w:val="212121"/>
                <w:sz w:val="19"/>
              </w:rPr>
              <w:t>Cheap country liquor, occupational fatigue and financial stress promote heavy episodic drinking; alcohol spending diverts household income, deepening poverty and family deprivation.</w:t>
            </w:r>
          </w:p>
          <w:p>
            <w:pPr>
              <w:spacing w:after="40" w:before="60" w:line="259" w:lineRule="auto"/>
            </w:pPr>
            <w:r>
              <w:rPr>
                <w:rFonts w:ascii="Calibri" w:hAnsi="Calibri"/>
                <w:b w:val="0"/>
                <w:i w:val="0"/>
                <w:color w:val="212121"/>
                <w:sz w:val="19"/>
              </w:rPr>
              <w:t>Country liquor ('desi', about 30% of all consumption) is the beverage of lower-income and rural consumers; prevalence of use is ~17 times higher among men (AIIMS 2019).</w:t>
            </w:r>
          </w:p>
          <w:p>
            <w:pPr>
              <w:spacing w:after="40" w:line="252" w:lineRule="auto"/>
            </w:pPr>
            <w:hyperlink r:id="rId9">
              <w:r>
                <w:rPr>
                  <w:rFonts w:ascii="Calibri" w:hAnsi="Calibri" w:cs="Calibri"/>
                  <w:sz w:val="18"/>
                  <w:color w:val="1155CC"/>
                  <w:u w:val="single"/>
                </w:rPr>
                <w:t xml:space="preserve">pib.gov.in — Magnitude of Substance Use in India</w:t>
              </w:r>
            </w:hyperlink>
          </w:p>
          <w:p>
            <w:pPr>
              <w:spacing w:before="60" w:after="40"/>
            </w:pPr>
            <w:r>
              <w:rPr>
                <w:rFonts w:ascii="Calibri" w:hAnsi="Calibri"/>
                <w:b w:val="0"/>
                <w:i w:val="0"/>
                <w:color w:val="5A5A5A"/>
                <w:sz w:val="18"/>
              </w:rPr>
              <w:t>#countryliquor  #dailywage  #povertycycle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North-East India &amp; tribal belts</w:t>
            </w:r>
          </w:p>
        </w:tc>
        <w:tc>
          <w:tcPr>
            <w:tcW w:type="dxa" w:w="4276"/>
            <w:vAlign w:val="top"/>
          </w:tcPr>
          <w:p>
            <w:pPr>
              <w:spacing w:after="60" w:line="259" w:lineRule="auto"/>
            </w:pPr>
            <w:r>
              <w:rPr>
                <w:rFonts w:ascii="Calibri" w:hAnsi="Calibri"/>
                <w:b w:val="0"/>
                <w:i w:val="0"/>
                <w:color w:val="212121"/>
                <w:sz w:val="19"/>
              </w:rPr>
              <w:t>Traditional home-brewed rice beers and locally distilled spirits are culturally embedded; both sexes drink, and female use here is the highest in the country.</w:t>
            </w:r>
          </w:p>
          <w:p>
            <w:pPr>
              <w:spacing w:after="40" w:before="60" w:line="259" w:lineRule="auto"/>
            </w:pPr>
            <w:r>
              <w:rPr>
                <w:rFonts w:ascii="Calibri" w:hAnsi="Calibri"/>
                <w:b w:val="0"/>
                <w:i w:val="0"/>
                <w:color w:val="212121"/>
                <w:sz w:val="19"/>
              </w:rPr>
              <w:t>NFHS-5: Arunachal Pradesh records the country's highest use — 52.6% of men and 24.2% of women consume alcohol.</w:t>
            </w:r>
          </w:p>
          <w:p>
            <w:pPr>
              <w:spacing w:after="40" w:line="252" w:lineRule="auto"/>
            </w:pPr>
            <w:hyperlink r:id="rId12">
              <w:r>
                <w:rPr>
                  <w:rFonts w:ascii="Calibri" w:hAnsi="Calibri" w:cs="Calibri"/>
                  <w:sz w:val="18"/>
                  <w:color w:val="1155CC"/>
                  <w:u w:val="single"/>
                </w:rPr>
                <w:t xml:space="preserve">tribuneindia.com — NFHS state alcohol chart</w:t>
              </w:r>
            </w:hyperlink>
          </w:p>
          <w:p>
            <w:pPr>
              <w:spacing w:before="60" w:after="40"/>
            </w:pPr>
            <w:r>
              <w:rPr>
                <w:rFonts w:ascii="Calibri" w:hAnsi="Calibri"/>
                <w:b w:val="0"/>
                <w:i w:val="0"/>
                <w:color w:val="5A5A5A"/>
                <w:sz w:val="18"/>
              </w:rPr>
              <w:t>#northeast  #tribal  #homebrew  #ricebeer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High-prevalence states (Goa, Telangana, Punjab, Chhattisgarh, Tripura)</w:t>
            </w:r>
          </w:p>
        </w:tc>
        <w:tc>
          <w:tcPr>
            <w:tcW w:type="dxa" w:w="4276"/>
            <w:vAlign w:val="top"/>
          </w:tcPr>
          <w:p>
            <w:pPr>
              <w:spacing w:after="60" w:line="259" w:lineRule="auto"/>
            </w:pPr>
            <w:r>
              <w:rPr>
                <w:rFonts w:ascii="Calibri" w:hAnsi="Calibri"/>
                <w:b w:val="0"/>
                <w:i w:val="0"/>
                <w:color w:val="212121"/>
                <w:sz w:val="19"/>
              </w:rPr>
              <w:t>Liberal availability, entrenched drinking culture and local brews (toddy, mahua, arrack) push state prevalence far above the national average.</w:t>
            </w:r>
          </w:p>
          <w:p>
            <w:pPr>
              <w:spacing w:after="40" w:before="60" w:line="259" w:lineRule="auto"/>
            </w:pPr>
            <w:r>
              <w:rPr>
                <w:rFonts w:ascii="Calibri" w:hAnsi="Calibri"/>
                <w:b w:val="0"/>
                <w:i w:val="0"/>
                <w:color w:val="212121"/>
                <w:sz w:val="19"/>
              </w:rPr>
              <w:t>NFHS-5 (men 15–49): Goa 59%, Arunachal Pradesh 57%, Telangana 50%; AIIMS 2019 lists Chhattisgarh, Tripura, Punjab, Arunachal Pradesh and Goa among the highest-prevalence states.</w:t>
            </w:r>
          </w:p>
          <w:p>
            <w:pPr>
              <w:spacing w:after="40" w:line="252" w:lineRule="auto"/>
            </w:pPr>
            <w:hyperlink r:id="rId11">
              <w:r>
                <w:rPr>
                  <w:rFonts w:ascii="Calibri" w:hAnsi="Calibri" w:cs="Calibri"/>
                  <w:sz w:val="18"/>
                  <w:color w:val="1155CC"/>
                  <w:u w:val="single"/>
                </w:rPr>
                <w:t xml:space="preserve">theprint.in — NFHS-5 state figures</w:t>
              </w:r>
            </w:hyperlink>
          </w:p>
          <w:p>
            <w:pPr>
              <w:spacing w:before="60" w:after="40"/>
            </w:pPr>
            <w:r>
              <w:rPr>
                <w:rFonts w:ascii="Calibri" w:hAnsi="Calibri"/>
                <w:b w:val="0"/>
                <w:i w:val="0"/>
                <w:color w:val="5A5A5A"/>
                <w:sz w:val="18"/>
              </w:rPr>
              <w:t>#stateprevalence  #availability  #toddy  #drinkingculture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Urban–rural</w:t>
            </w:r>
          </w:p>
        </w:tc>
        <w:tc>
          <w:tcPr>
            <w:tcW w:type="dxa" w:w="2160"/>
            <w:vAlign w:val="top"/>
          </w:tcPr>
          <w:p>
            <w:pPr>
              <w:spacing w:after="40" w:before="0" w:line="259" w:lineRule="auto"/>
            </w:pPr>
            <w:r>
              <w:rPr>
                <w:rFonts w:ascii="Calibri" w:hAnsi="Calibri"/>
                <w:b w:val="0"/>
                <w:i w:val="0"/>
                <w:color w:val="212121"/>
                <w:sz w:val="19"/>
              </w:rPr>
              <w:t>Rural consumers of country liquor &amp; illicit brews</w:t>
            </w:r>
          </w:p>
        </w:tc>
        <w:tc>
          <w:tcPr>
            <w:tcW w:type="dxa" w:w="4276"/>
            <w:vAlign w:val="top"/>
          </w:tcPr>
          <w:p>
            <w:pPr>
              <w:spacing w:after="60" w:line="259" w:lineRule="auto"/>
            </w:pPr>
            <w:r>
              <w:rPr>
                <w:rFonts w:ascii="Calibri" w:hAnsi="Calibri"/>
                <w:b w:val="0"/>
                <w:i w:val="0"/>
                <w:color w:val="212121"/>
                <w:sz w:val="19"/>
              </w:rPr>
              <w:t>Unrecorded and illicit alcohol ('hooch') dominates rural consumption; methanol-contaminated batches repeatedly cause mass poisonings with blindness and death, in addition to the higher ethanol harm per litre of crude spirits.</w:t>
            </w:r>
          </w:p>
          <w:p>
            <w:pPr>
              <w:spacing w:after="40" w:before="60" w:line="259" w:lineRule="auto"/>
            </w:pPr>
            <w:r>
              <w:rPr>
                <w:rFonts w:ascii="Calibri" w:hAnsi="Calibri"/>
                <w:b w:val="0"/>
                <w:i w:val="0"/>
                <w:color w:val="212121"/>
                <w:sz w:val="19"/>
              </w:rPr>
              <w:t>Unrecorded country liquor forms a large share of rural Indian consumption; periodic hooch tragedies across states cause clusters of deaths and permanent visual loss.</w:t>
            </w:r>
          </w:p>
          <w:p>
            <w:pPr>
              <w:spacing w:before="60" w:after="40"/>
            </w:pPr>
            <w:r>
              <w:rPr>
                <w:rFonts w:ascii="Calibri" w:hAnsi="Calibri"/>
                <w:b w:val="0"/>
                <w:i w:val="0"/>
                <w:color w:val="5A5A5A"/>
                <w:sz w:val="18"/>
              </w:rPr>
              <w:t>#hooch  #methanol  #unrecordedalcohol  #ruralhealth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users (smoked &amp; smokeless)</w:t>
            </w:r>
          </w:p>
        </w:tc>
        <w:tc>
          <w:tcPr>
            <w:tcW w:type="dxa" w:w="4276"/>
            <w:vAlign w:val="top"/>
          </w:tcPr>
          <w:p>
            <w:pPr>
              <w:spacing w:after="60" w:line="259" w:lineRule="auto"/>
            </w:pPr>
            <w:r>
              <w:rPr>
                <w:rFonts w:ascii="Calibri" w:hAnsi="Calibri"/>
                <w:b w:val="0"/>
                <w:i w:val="0"/>
                <w:color w:val="212121"/>
                <w:sz w:val="19"/>
              </w:rPr>
              <w:t>Nicotine and alcohol co-use is the rule among Indian men who drink; each substance cues the other, and combined exposure multiplies oral, pharyngeal and oesophageal cancer risk.</w:t>
            </w:r>
          </w:p>
          <w:p>
            <w:pPr>
              <w:spacing w:after="40" w:before="60" w:line="259" w:lineRule="auto"/>
            </w:pPr>
            <w:r>
              <w:rPr>
                <w:rFonts w:ascii="Calibri" w:hAnsi="Calibri"/>
                <w:b w:val="0"/>
                <w:i w:val="0"/>
                <w:color w:val="212121"/>
                <w:sz w:val="19"/>
              </w:rPr>
              <w:t>WHO: 4.4% of cancers diagnosed globally and 401,000 cancer deaths in 2019 were attributable to alcohol; risk is multiplied when combined with tobacco.</w:t>
            </w:r>
          </w:p>
          <w:p>
            <w:pPr>
              <w:spacing w:after="40" w:line="252" w:lineRule="auto"/>
            </w:pPr>
            <w:hyperlink r:id="rId10">
              <w:r>
                <w:rPr>
                  <w:rFonts w:ascii="Calibri" w:hAnsi="Calibri" w:cs="Calibri"/>
                  <w:sz w:val="18"/>
                  <w:color w:val="1155CC"/>
                  <w:u w:val="single"/>
                </w:rPr>
                <w:t xml:space="preserve">who.int — alcohol fact sheet</w:t>
              </w:r>
            </w:hyperlink>
          </w:p>
          <w:p>
            <w:pPr>
              <w:spacing w:before="60" w:after="40"/>
            </w:pPr>
            <w:r>
              <w:rPr>
                <w:rFonts w:ascii="Calibri" w:hAnsi="Calibri"/>
                <w:b w:val="0"/>
                <w:i w:val="0"/>
                <w:color w:val="5A5A5A"/>
                <w:sz w:val="18"/>
              </w:rPr>
              <w:t>#tobaccocouse  #oralcancer  #synergy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w:t>
            </w:r>
          </w:p>
        </w:tc>
        <w:tc>
          <w:tcPr>
            <w:tcW w:type="dxa" w:w="2160"/>
            <w:vAlign w:val="top"/>
          </w:tcPr>
          <w:p>
            <w:pPr>
              <w:spacing w:after="40" w:before="0" w:line="259" w:lineRule="auto"/>
            </w:pPr>
            <w:r>
              <w:rPr>
                <w:rFonts w:ascii="Calibri" w:hAnsi="Calibri"/>
                <w:b w:val="0"/>
                <w:i w:val="0"/>
                <w:color w:val="212121"/>
                <w:sz w:val="19"/>
              </w:rPr>
              <w:t>Drivers, transport &amp; unorganized-sector workers</w:t>
            </w:r>
          </w:p>
        </w:tc>
        <w:tc>
          <w:tcPr>
            <w:tcW w:type="dxa" w:w="4276"/>
            <w:vAlign w:val="top"/>
          </w:tcPr>
          <w:p>
            <w:pPr>
              <w:spacing w:after="60" w:line="259" w:lineRule="auto"/>
            </w:pPr>
            <w:r>
              <w:rPr>
                <w:rFonts w:ascii="Calibri" w:hAnsi="Calibri"/>
                <w:b w:val="0"/>
                <w:i w:val="0"/>
                <w:color w:val="212121"/>
                <w:sz w:val="19"/>
              </w:rPr>
              <w:t>Drinking before or during driving is common in this group; alcohol slows reaction time and impairs judgement, causing crashes, fatal injuries and medicolegal consequences.</w:t>
            </w:r>
          </w:p>
          <w:p>
            <w:pPr>
              <w:spacing w:after="40" w:before="60" w:line="259" w:lineRule="auto"/>
            </w:pPr>
            <w:r>
              <w:rPr>
                <w:rFonts w:ascii="Calibri" w:hAnsi="Calibri"/>
                <w:b w:val="0"/>
                <w:i w:val="0"/>
                <w:color w:val="212121"/>
                <w:sz w:val="19"/>
              </w:rPr>
              <w:t>Pondicherry hospital study: 54% of road-traffic-accident victims were alcohol-positive; fatal injuries occurred in 32.8% of alcohol-positive drivers vs 7.9% of alcohol-negative drivers.</w:t>
            </w:r>
          </w:p>
          <w:p>
            <w:pPr>
              <w:spacing w:after="40" w:line="252" w:lineRule="auto"/>
            </w:pPr>
            <w:hyperlink r:id="rId13">
              <w:r>
                <w:rPr>
                  <w:rFonts w:ascii="Calibri" w:hAnsi="Calibri" w:cs="Calibri"/>
                  <w:sz w:val="18"/>
                  <w:color w:val="1155CC"/>
                  <w:u w:val="single"/>
                </w:rPr>
                <w:t xml:space="preserve">nature.com (Sci Rep) — alcohol &amp; road traffic accidents, Pondicherry</w:t>
              </w:r>
            </w:hyperlink>
          </w:p>
          <w:p>
            <w:pPr>
              <w:spacing w:before="60" w:after="40"/>
            </w:pPr>
            <w:r>
              <w:rPr>
                <w:rFonts w:ascii="Calibri" w:hAnsi="Calibri"/>
                <w:b w:val="0"/>
                <w:i w:val="0"/>
                <w:color w:val="5A5A5A"/>
                <w:sz w:val="18"/>
              </w:rPr>
              <w:t>#drunkdriving  #RTA  #roadsafety  #transportworkers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Binge pattern</w:t>
            </w:r>
          </w:p>
        </w:tc>
        <w:tc>
          <w:tcPr>
            <w:tcW w:type="dxa" w:w="2160"/>
            <w:vAlign w:val="top"/>
          </w:tcPr>
          <w:p>
            <w:pPr>
              <w:spacing w:after="40" w:before="0" w:line="259" w:lineRule="auto"/>
            </w:pPr>
            <w:r>
              <w:rPr>
                <w:rFonts w:ascii="Calibri" w:hAnsi="Calibri"/>
                <w:b w:val="0"/>
                <w:i w:val="0"/>
                <w:color w:val="212121"/>
                <w:sz w:val="19"/>
              </w:rPr>
              <w:t>Young urban professionals &amp; students</w:t>
            </w:r>
          </w:p>
        </w:tc>
        <w:tc>
          <w:tcPr>
            <w:tcW w:type="dxa" w:w="4276"/>
            <w:vAlign w:val="top"/>
          </w:tcPr>
          <w:p>
            <w:pPr>
              <w:spacing w:after="60" w:line="259" w:lineRule="auto"/>
            </w:pPr>
            <w:r>
              <w:rPr>
                <w:rFonts w:ascii="Calibri" w:hAnsi="Calibri"/>
                <w:b w:val="0"/>
                <w:i w:val="0"/>
                <w:color w:val="212121"/>
                <w:sz w:val="19"/>
              </w:rPr>
              <w:t>Weekend heavy episodic drinking produces high peak blood-alcohol levels and acute harms — injury, violence, alcohol poisoning, unsafe sex — even when weekly totals appear moderate.</w:t>
            </w:r>
          </w:p>
          <w:p>
            <w:pPr>
              <w:spacing w:after="40" w:before="60" w:line="259" w:lineRule="auto"/>
            </w:pPr>
            <w:r>
              <w:rPr>
                <w:rFonts w:ascii="Calibri" w:hAnsi="Calibri"/>
                <w:b w:val="0"/>
                <w:i w:val="0"/>
                <w:color w:val="212121"/>
                <w:sz w:val="19"/>
              </w:rPr>
              <w:t>NIAAA: binge drinking = a pattern raising blood alcohol to ≥ 0.08 g/dL, typically ≥ 5 drinks (men) or ≥ 4 drinks (women) within about 2 hours.</w:t>
            </w:r>
          </w:p>
          <w:p>
            <w:pPr>
              <w:spacing w:after="40" w:line="252" w:lineRule="auto"/>
            </w:pPr>
            <w:hyperlink r:id="rId14">
              <w:r>
                <w:rPr>
                  <w:rFonts w:ascii="Calibri" w:hAnsi="Calibri" w:cs="Calibri"/>
                  <w:sz w:val="18"/>
                  <w:color w:val="1155CC"/>
                  <w:u w:val="single"/>
                </w:rPr>
                <w:t xml:space="preserve">niaaa.nih.gov — drinking levels defined</w:t>
              </w:r>
            </w:hyperlink>
          </w:p>
          <w:p>
            <w:pPr>
              <w:spacing w:before="60" w:after="40"/>
            </w:pPr>
            <w:r>
              <w:rPr>
                <w:rFonts w:ascii="Calibri" w:hAnsi="Calibri"/>
                <w:b w:val="0"/>
                <w:i w:val="0"/>
                <w:color w:val="5A5A5A"/>
                <w:sz w:val="18"/>
              </w:rPr>
              <w:t>#binge  #weekenddrinking  #alcoholpoisoning  #pubculture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Drinkers with poor diet &amp; skipped meals</w:t>
            </w:r>
          </w:p>
        </w:tc>
        <w:tc>
          <w:tcPr>
            <w:tcW w:type="dxa" w:w="4276"/>
            <w:vAlign w:val="top"/>
          </w:tcPr>
          <w:p>
            <w:pPr>
              <w:spacing w:after="60" w:line="259" w:lineRule="auto"/>
            </w:pPr>
            <w:r>
              <w:rPr>
                <w:rFonts w:ascii="Calibri" w:hAnsi="Calibri"/>
                <w:b w:val="0"/>
                <w:i w:val="0"/>
                <w:color w:val="212121"/>
                <w:sz w:val="19"/>
              </w:rPr>
              <w:t>Drinking on an empty stomach accelerates absorption and gastritis; chronic heavy use displaces food, causing thiamine, folate and protein–calorie malnutrition — the substrate for Wernicke encephalopathy, neuropathy and worse alcoholic liver disease.</w:t>
            </w:r>
          </w:p>
          <w:p>
            <w:pPr>
              <w:spacing w:after="40" w:before="60" w:line="259" w:lineRule="auto"/>
            </w:pPr>
            <w:r>
              <w:rPr>
                <w:rFonts w:ascii="Calibri" w:hAnsi="Calibri"/>
                <w:b w:val="0"/>
                <w:i w:val="0"/>
                <w:color w:val="212121"/>
                <w:sz w:val="19"/>
              </w:rPr>
              <w:t>Alcohol supplies 'empty' calories (7 kcal/g) while impairing absorption of thiamine, folate and other micronutrients — malnutrition is near-universal in late dependence.</w:t>
            </w:r>
          </w:p>
          <w:p>
            <w:pPr>
              <w:spacing w:before="60" w:after="40"/>
            </w:pPr>
            <w:r>
              <w:rPr>
                <w:rFonts w:ascii="Calibri" w:hAnsi="Calibri"/>
                <w:b w:val="0"/>
                <w:i w:val="0"/>
                <w:color w:val="5A5A5A"/>
                <w:sz w:val="18"/>
              </w:rPr>
              <w:t>#thiamine  #malnutrition  #emptystomach  #wernicke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Beverage type</w:t>
            </w:r>
          </w:p>
        </w:tc>
        <w:tc>
          <w:tcPr>
            <w:tcW w:type="dxa" w:w="2160"/>
            <w:vAlign w:val="top"/>
          </w:tcPr>
          <w:p>
            <w:pPr>
              <w:spacing w:after="40" w:before="0" w:line="259" w:lineRule="auto"/>
            </w:pPr>
            <w:r>
              <w:rPr>
                <w:rFonts w:ascii="Calibri" w:hAnsi="Calibri"/>
                <w:b w:val="0"/>
                <w:i w:val="0"/>
                <w:color w:val="212121"/>
                <w:sz w:val="19"/>
              </w:rPr>
              <w:t>Spirits-predominant consumers (country liquor &amp; IMFL)</w:t>
            </w:r>
          </w:p>
        </w:tc>
        <w:tc>
          <w:tcPr>
            <w:tcW w:type="dxa" w:w="4276"/>
            <w:vAlign w:val="top"/>
          </w:tcPr>
          <w:p>
            <w:pPr>
              <w:spacing w:after="60" w:line="259" w:lineRule="auto"/>
            </w:pPr>
            <w:r>
              <w:rPr>
                <w:rFonts w:ascii="Calibri" w:hAnsi="Calibri"/>
                <w:b w:val="0"/>
                <w:i w:val="0"/>
                <w:color w:val="212121"/>
                <w:sz w:val="19"/>
              </w:rPr>
              <w:t>India is a spirits-drinking country: high-ethanol beverages taken rapidly and often without food deliver higher peak blood alcohol and more organ damage per drinking day than equivalent beer or wine volumes.</w:t>
            </w:r>
          </w:p>
          <w:p>
            <w:pPr>
              <w:spacing w:after="40" w:before="60" w:line="259" w:lineRule="auto"/>
            </w:pPr>
            <w:r>
              <w:rPr>
                <w:rFonts w:ascii="Calibri" w:hAnsi="Calibri"/>
                <w:b w:val="0"/>
                <w:i w:val="0"/>
                <w:color w:val="212121"/>
                <w:sz w:val="19"/>
              </w:rPr>
              <w:t>Country liquor (~30%) and IMFL spirits (~30%) are the predominant beverages consumed in India (AIIMS 2019).</w:t>
            </w:r>
          </w:p>
          <w:p>
            <w:pPr>
              <w:spacing w:after="40" w:line="252" w:lineRule="auto"/>
            </w:pPr>
            <w:hyperlink r:id="rId9">
              <w:r>
                <w:rPr>
                  <w:rFonts w:ascii="Calibri" w:hAnsi="Calibri" w:cs="Calibri"/>
                  <w:sz w:val="18"/>
                  <w:color w:val="1155CC"/>
                  <w:u w:val="single"/>
                </w:rPr>
                <w:t xml:space="preserve">pib.gov.in — Magnitude of Substance Use in India</w:t>
              </w:r>
            </w:hyperlink>
          </w:p>
          <w:p>
            <w:pPr>
              <w:spacing w:before="60" w:after="40"/>
            </w:pPr>
            <w:r>
              <w:rPr>
                <w:rFonts w:ascii="Calibri" w:hAnsi="Calibri"/>
                <w:b w:val="0"/>
                <w:i w:val="0"/>
                <w:color w:val="5A5A5A"/>
                <w:sz w:val="18"/>
              </w:rPr>
              <w:t>#spirits  #IMFL  #peakBAC  #desisharab</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dependent drinkers</w:t>
            </w:r>
          </w:p>
        </w:tc>
        <w:tc>
          <w:tcPr>
            <w:tcW w:type="dxa" w:w="4276"/>
            <w:vAlign w:val="top"/>
          </w:tcPr>
          <w:p>
            <w:pPr>
              <w:spacing w:after="60" w:line="259" w:lineRule="auto"/>
            </w:pPr>
            <w:r>
              <w:rPr>
                <w:rFonts w:ascii="Calibri" w:hAnsi="Calibri"/>
                <w:b w:val="0"/>
                <w:i w:val="0"/>
                <w:color w:val="212121"/>
                <w:sz w:val="19"/>
              </w:rPr>
              <w:t>Children and siblings of alcohol-dependent persons carry several-fold higher risk through inherited reward-pathway differences compounded by modelled drinking behaviour at home.</w:t>
            </w:r>
          </w:p>
          <w:p>
            <w:pPr>
              <w:spacing w:after="40" w:before="60" w:line="259" w:lineRule="auto"/>
            </w:pPr>
            <w:r>
              <w:rPr>
                <w:rFonts w:ascii="Calibri" w:hAnsi="Calibri"/>
                <w:b w:val="0"/>
                <w:i w:val="0"/>
                <w:color w:val="212121"/>
                <w:sz w:val="19"/>
              </w:rPr>
              <w:t>Meta-analysis of twin and adoption studies estimates the heritability of alcohol use disorder at approximately 49%.</w:t>
            </w:r>
          </w:p>
          <w:p>
            <w:pPr>
              <w:spacing w:after="40" w:line="252" w:lineRule="auto"/>
            </w:pPr>
            <w:hyperlink r:id="rId15">
              <w:r>
                <w:rPr>
                  <w:rFonts w:ascii="Calibri" w:hAnsi="Calibri" w:cs="Calibri"/>
                  <w:sz w:val="18"/>
                  <w:color w:val="1155CC"/>
                  <w:u w:val="single"/>
                </w:rPr>
                <w:t xml:space="preserve">pubmed.ncbi.nlm.nih.gov/25171596 — heritability of AUD</w:t>
              </w:r>
            </w:hyperlink>
          </w:p>
          <w:p>
            <w:pPr>
              <w:spacing w:before="60" w:after="40"/>
            </w:pPr>
            <w:r>
              <w:rPr>
                <w:rFonts w:ascii="Calibri" w:hAnsi="Calibri"/>
                <w:b w:val="0"/>
                <w:i w:val="0"/>
                <w:color w:val="5A5A5A"/>
                <w:sz w:val="18"/>
              </w:rPr>
              <w:t>#familyhistory  #heritability  #childrenofalcoholics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Metabolizing-enzyme variants</w:t>
            </w:r>
          </w:p>
        </w:tc>
        <w:tc>
          <w:tcPr>
            <w:tcW w:type="dxa" w:w="2160"/>
            <w:vAlign w:val="top"/>
          </w:tcPr>
          <w:p>
            <w:pPr>
              <w:spacing w:after="40" w:before="0" w:line="259" w:lineRule="auto"/>
            </w:pPr>
            <w:r>
              <w:rPr>
                <w:rFonts w:ascii="Calibri" w:hAnsi="Calibri"/>
                <w:b w:val="0"/>
                <w:i w:val="0"/>
                <w:color w:val="212121"/>
                <w:sz w:val="19"/>
              </w:rPr>
              <w:t>ADH1B / ALDH2 variant carriers</w:t>
            </w:r>
          </w:p>
        </w:tc>
        <w:tc>
          <w:tcPr>
            <w:tcW w:type="dxa" w:w="4276"/>
            <w:vAlign w:val="top"/>
          </w:tcPr>
          <w:p>
            <w:pPr>
              <w:spacing w:after="60" w:line="259" w:lineRule="auto"/>
            </w:pPr>
            <w:r>
              <w:rPr>
                <w:rFonts w:ascii="Calibri" w:hAnsi="Calibri"/>
                <w:b w:val="0"/>
                <w:i w:val="0"/>
                <w:color w:val="212121"/>
                <w:sz w:val="19"/>
              </w:rPr>
              <w:t>Fast-ADH/slow-ALDH2 combinations cause acetaldehyde flushing that deters drinking and is relatively protective; individuals lacking protective variants tolerate heavy intake and accumulate acetaldehyde-mediated carcinogenic exposure.</w:t>
            </w:r>
          </w:p>
          <w:p>
            <w:pPr>
              <w:spacing w:after="40" w:before="60" w:line="259" w:lineRule="auto"/>
            </w:pPr>
            <w:r>
              <w:rPr>
                <w:rFonts w:ascii="Calibri" w:hAnsi="Calibri"/>
                <w:b w:val="0"/>
                <w:i w:val="0"/>
                <w:color w:val="212121"/>
                <w:sz w:val="19"/>
              </w:rPr>
              <w:t>Acetaldehyde, the first metabolite of ethanol, is genotoxic — enzyme genotype shifts both drinking behaviour and cancer susceptibility.</w:t>
            </w:r>
          </w:p>
          <w:p>
            <w:pPr>
              <w:spacing w:before="60" w:after="40"/>
            </w:pPr>
            <w:r>
              <w:rPr>
                <w:rFonts w:ascii="Calibri" w:hAnsi="Calibri"/>
                <w:b w:val="0"/>
                <w:i w:val="0"/>
                <w:color w:val="5A5A5A"/>
                <w:sz w:val="18"/>
              </w:rPr>
              <w:t>#ALDH2  #acetaldehyde  #flushing  #pharmacogenetics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 &amp; anxiety</w:t>
            </w:r>
          </w:p>
        </w:tc>
        <w:tc>
          <w:tcPr>
            <w:tcW w:type="dxa" w:w="2160"/>
            <w:vAlign w:val="top"/>
          </w:tcPr>
          <w:p>
            <w:pPr>
              <w:spacing w:after="40" w:before="0" w:line="259" w:lineRule="auto"/>
            </w:pPr>
            <w:r>
              <w:rPr>
                <w:rFonts w:ascii="Calibri" w:hAnsi="Calibri"/>
                <w:b w:val="0"/>
                <w:i w:val="0"/>
                <w:color w:val="212121"/>
                <w:sz w:val="19"/>
              </w:rPr>
              <w:t>Patients with common mental disorders</w:t>
            </w:r>
          </w:p>
        </w:tc>
        <w:tc>
          <w:tcPr>
            <w:tcW w:type="dxa" w:w="4276"/>
            <w:vAlign w:val="top"/>
          </w:tcPr>
          <w:p>
            <w:pPr>
              <w:spacing w:after="60" w:line="259" w:lineRule="auto"/>
            </w:pPr>
            <w:r>
              <w:rPr>
                <w:rFonts w:ascii="Calibri" w:hAnsi="Calibri"/>
                <w:b w:val="0"/>
                <w:i w:val="0"/>
                <w:color w:val="212121"/>
                <w:sz w:val="19"/>
              </w:rPr>
              <w:t>The relationship is bidirectional: alcohol is used to self-medicate low mood and anxiety, while chronic use is itself depressogenic and raises suicide risk; comorbidity predicts greater severity of dependence and relapse.</w:t>
            </w:r>
          </w:p>
          <w:p>
            <w:pPr>
              <w:spacing w:after="40" w:before="60" w:line="259" w:lineRule="auto"/>
            </w:pPr>
            <w:r>
              <w:rPr>
                <w:rFonts w:ascii="Calibri" w:hAnsi="Calibri"/>
                <w:b w:val="0"/>
                <w:i w:val="0"/>
                <w:color w:val="212121"/>
                <w:sz w:val="19"/>
              </w:rPr>
              <w:t>Rural South India study: 33% of alcohol-dependent men had a comorbid psychiatric disorder (mood disorders 18%, anxiety disorders 11%), associated with severity of dependence.</w:t>
            </w:r>
          </w:p>
          <w:p>
            <w:pPr>
              <w:spacing w:after="40" w:line="252" w:lineRule="auto"/>
            </w:pPr>
            <w:hyperlink r:id="rId16">
              <w:r>
                <w:rPr>
                  <w:rFonts w:ascii="Calibri" w:hAnsi="Calibri" w:cs="Calibri"/>
                  <w:sz w:val="18"/>
                  <w:color w:val="1155CC"/>
                  <w:u w:val="single"/>
                </w:rPr>
                <w:t xml:space="preserve">springer.com — psychiatric comorbidity in alcohol dependence, rural South India</w:t>
              </w:r>
            </w:hyperlink>
          </w:p>
          <w:p>
            <w:pPr>
              <w:spacing w:before="60" w:after="40"/>
            </w:pPr>
            <w:r>
              <w:rPr>
                <w:rFonts w:ascii="Calibri" w:hAnsi="Calibri"/>
                <w:b w:val="0"/>
                <w:i w:val="0"/>
                <w:color w:val="5A5A5A"/>
                <w:sz w:val="18"/>
              </w:rPr>
              <w:t>#dualdiagnosis  #selfmedication  #depression  #suiciderisk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TB patients &amp; high-TB-burden communities</w:t>
            </w:r>
          </w:p>
        </w:tc>
        <w:tc>
          <w:tcPr>
            <w:tcW w:type="dxa" w:w="4276"/>
            <w:vAlign w:val="top"/>
          </w:tcPr>
          <w:p>
            <w:pPr>
              <w:spacing w:after="60" w:line="259" w:lineRule="auto"/>
            </w:pPr>
            <w:r>
              <w:rPr>
                <w:rFonts w:ascii="Calibri" w:hAnsi="Calibri"/>
                <w:b w:val="0"/>
                <w:i w:val="0"/>
                <w:color w:val="212121"/>
                <w:sz w:val="19"/>
              </w:rPr>
              <w:t>Alcohol impairs innate and adaptive immunity and undermines treatment adherence, increasing TB infection, severity, relapse and death — critical in India, the world's highest-TB-burden country.</w:t>
            </w:r>
          </w:p>
          <w:p>
            <w:pPr>
              <w:spacing w:after="40" w:before="60" w:line="259" w:lineRule="auto"/>
            </w:pPr>
            <w:r>
              <w:rPr>
                <w:rFonts w:ascii="Calibri" w:hAnsi="Calibri"/>
                <w:b w:val="0"/>
                <w:i w:val="0"/>
                <w:color w:val="212121"/>
                <w:sz w:val="19"/>
              </w:rPr>
              <w:t>Meta-analysis: alcohol use raises TB risk (RR 1.35) and alcohol-related problems raise it further (RR 3.33); alcohol accounts for about 17% of incident TB cases and 15% of TB deaths.</w:t>
            </w:r>
          </w:p>
          <w:p>
            <w:pPr>
              <w:spacing w:after="40" w:line="252" w:lineRule="auto"/>
            </w:pPr>
            <w:hyperlink r:id="rId17">
              <w:r>
                <w:rPr>
                  <w:rFonts w:ascii="Calibri" w:hAnsi="Calibri" w:cs="Calibri"/>
                  <w:sz w:val="18"/>
                  <w:color w:val="1155CC"/>
                  <w:u w:val="single"/>
                </w:rPr>
                <w:t xml:space="preserve">erj.ersjournals.com — alcohol as a risk factor for tuberculosis</w:t>
              </w:r>
            </w:hyperlink>
          </w:p>
          <w:p>
            <w:pPr>
              <w:spacing w:before="60" w:after="40"/>
            </w:pPr>
            <w:r>
              <w:rPr>
                <w:rFonts w:ascii="Calibri" w:hAnsi="Calibri"/>
                <w:b w:val="0"/>
                <w:i w:val="0"/>
                <w:color w:val="5A5A5A"/>
                <w:sz w:val="18"/>
              </w:rPr>
              <w:t>#tuberculosis  #immunosuppression  #adherence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liver disease</w:t>
            </w:r>
          </w:p>
        </w:tc>
        <w:tc>
          <w:tcPr>
            <w:tcW w:type="dxa" w:w="2160"/>
            <w:vAlign w:val="top"/>
          </w:tcPr>
          <w:p>
            <w:pPr>
              <w:spacing w:after="40" w:before="0" w:line="259" w:lineRule="auto"/>
            </w:pPr>
            <w:r>
              <w:rPr>
                <w:rFonts w:ascii="Calibri" w:hAnsi="Calibri"/>
                <w:b w:val="0"/>
                <w:i w:val="0"/>
                <w:color w:val="212121"/>
                <w:sz w:val="19"/>
              </w:rPr>
              <w:t>Patients with fatty liver or viral hepatitis</w:t>
            </w:r>
          </w:p>
        </w:tc>
        <w:tc>
          <w:tcPr>
            <w:tcW w:type="dxa" w:w="4276"/>
            <w:vAlign w:val="top"/>
          </w:tcPr>
          <w:p>
            <w:pPr>
              <w:spacing w:after="60" w:line="259" w:lineRule="auto"/>
            </w:pPr>
            <w:r>
              <w:rPr>
                <w:rFonts w:ascii="Calibri" w:hAnsi="Calibri"/>
                <w:b w:val="0"/>
                <w:i w:val="0"/>
                <w:color w:val="212121"/>
                <w:sz w:val="19"/>
              </w:rPr>
              <w:t>Alcohol synergizes with hepatitis B/C and metabolic fatty liver to accelerate fibrosis; continued drinking is the single strongest driver of progression to cirrhosis and hepatocellular carcinoma.</w:t>
            </w:r>
          </w:p>
          <w:p>
            <w:pPr>
              <w:spacing w:after="40" w:before="60" w:line="259" w:lineRule="auto"/>
            </w:pPr>
            <w:r>
              <w:rPr>
                <w:rFonts w:ascii="Calibri" w:hAnsi="Calibri"/>
                <w:b w:val="0"/>
                <w:i w:val="0"/>
                <w:color w:val="212121"/>
                <w:sz w:val="19"/>
              </w:rPr>
              <w:t>At a North-East India tertiary centre, 72.2% of cirrhosis cases were alcohol-related, presenting at a mean age of only ~45 years.</w:t>
            </w:r>
          </w:p>
          <w:p>
            <w:pPr>
              <w:spacing w:after="40" w:line="252" w:lineRule="auto"/>
            </w:pPr>
            <w:hyperlink r:id="rId18">
              <w:r>
                <w:rPr>
                  <w:rFonts w:ascii="Calibri" w:hAnsi="Calibri" w:cs="Calibri"/>
                  <w:sz w:val="18"/>
                  <w:color w:val="1155CC"/>
                  <w:u w:val="single"/>
                </w:rPr>
                <w:t xml:space="preserve">springer.com — alcohol-related cirrhosis, North-East India</w:t>
              </w:r>
            </w:hyperlink>
          </w:p>
          <w:p>
            <w:pPr>
              <w:spacing w:before="60" w:after="40"/>
            </w:pPr>
            <w:r>
              <w:rPr>
                <w:rFonts w:ascii="Calibri" w:hAnsi="Calibri"/>
                <w:b w:val="0"/>
                <w:i w:val="0"/>
                <w:color w:val="5A5A5A"/>
                <w:sz w:val="18"/>
              </w:rPr>
              <w:t>#cirrhosis  #ALD  #fibrosis  #hepatitis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exercise modestly reduces craving and improves mood, sleep and treatment retention in alcohol use disorder; sedentary lifestyle clusters with heavier drinking. Evidence supports exercise as an adjunct, not a stand-alone treatment.</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Drinking without food produces higher peak blood alcohol; chronic heavy use displaces nutrients, causing thiamine/folate deficiency and protein–calorie malnutrition that underlie Wernicke encephalopathy, neuropathy and worse alcoholic liver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fragments sleep architecture (suppresses REM, causes early-morning waking); insomnia both triggers 'nightcap' drinking and is among the strongest predictors of relapse after cessation.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and alcohol are strongly co-used and cross-cue each other; combined use multiplies oral, pharyngeal, laryngeal and oesophageal cancer risk and lowers quit rates for both substances.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exposure itself: dose–response harm begins with the first drink (WHO — no safe level; IARC Group 1 carcinogen). Heavy use (≥ 5 drinks/day or ≥ 15/week in men; ≥ 4/day or ≥ 8/week in women) and binge patterns carry the steepest risk of dependence and organ damage.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and stress drive self-medication drinking; about 33% of alcohol-dependent Indian patients have a psychiatric comorbidity, and alcohol independently raises suicide and self-harm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reduces hangover symptoms but does not prevent intoxication or organ damage; alternating alcoholic drinks with water modestly slows intake during drinking sessions.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Caffeinated mixers and energy drinks mask perceived intoxication, leading to higher total consumption and risk-taking; coffee itself confers no protection against alcohol-related harm.</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oral hygiene adds to alcohol–tobacco synergy for oral cancers; self-neglect in dependence increases skin and dental sepsis, and deep intoxication raises aspiration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 peer pressure, festivals/celebrations, paydays, easy availability, cheap pricing, surrogate advertising and withdrawal symptoms all provoke drinking episodes; craving is strongly cue-triggered (sight/smell of alcohol, drinking companions, habitual venues).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 (men)</w:t>
            </w:r>
          </w:p>
        </w:tc>
        <w:tc>
          <w:tcPr>
            <w:tcW w:type="dxa" w:w="1655"/>
            <w:vAlign w:val="top"/>
          </w:tcPr>
          <w:p>
            <w:pPr>
              <w:spacing w:after="40" w:before="0" w:line="259" w:lineRule="auto"/>
            </w:pPr>
            <w:r>
              <w:rPr>
                <w:rFonts w:ascii="Calibri" w:hAnsi="Calibri"/>
                <w:b w:val="0"/>
                <w:i w:val="0"/>
                <w:color w:val="212121"/>
                <w:sz w:val="19"/>
              </w:rPr>
              <w:t>Adult men who drink</w:t>
            </w:r>
          </w:p>
        </w:tc>
        <w:tc>
          <w:tcPr>
            <w:tcW w:type="dxa" w:w="1512"/>
            <w:vAlign w:val="top"/>
          </w:tcPr>
          <w:p>
            <w:pPr>
              <w:spacing w:after="40" w:before="0" w:line="259" w:lineRule="auto"/>
            </w:pPr>
            <w:r>
              <w:rPr>
                <w:rFonts w:ascii="Calibri" w:hAnsi="Calibri"/>
                <w:b w:val="0"/>
                <w:i w:val="0"/>
                <w:color w:val="212121"/>
                <w:sz w:val="19"/>
              </w:rPr>
              <w:t>0 (no safe level); if drinking, &lt; 15/week and never ≥ 5 in a day</w:t>
            </w:r>
          </w:p>
        </w:tc>
        <w:tc>
          <w:tcPr>
            <w:tcW w:type="dxa" w:w="1512"/>
            <w:vAlign w:val="top"/>
          </w:tcPr>
          <w:p>
            <w:pPr>
              <w:spacing w:after="40" w:before="0" w:line="259" w:lineRule="auto"/>
            </w:pPr>
            <w:r>
              <w:rPr>
                <w:rFonts w:ascii="Calibri" w:hAnsi="Calibri"/>
                <w:b w:val="0"/>
                <w:i w:val="0"/>
                <w:color w:val="212121"/>
                <w:sz w:val="19"/>
              </w:rPr>
              <w:t>≥ 15 drinks/week or ≥ 5 drinks/day (heavy use)</w:t>
            </w:r>
          </w:p>
        </w:tc>
        <w:tc>
          <w:tcPr>
            <w:tcW w:type="dxa" w:w="1468"/>
            <w:vAlign w:val="top"/>
          </w:tcPr>
          <w:p>
            <w:pPr>
              <w:spacing w:after="60" w:line="259" w:lineRule="auto"/>
            </w:pPr>
            <w:r>
              <w:rPr>
                <w:rFonts w:ascii="Calibri" w:hAnsi="Calibri"/>
                <w:b w:val="0"/>
                <w:i w:val="0"/>
                <w:color w:val="212121"/>
                <w:sz w:val="19"/>
              </w:rPr>
              <w:t>1 standard drink ≈ 10 g ethanol ≈ one 30 ml peg of spirits</w:t>
            </w:r>
          </w:p>
          <w:p>
            <w:pPr>
              <w:spacing w:after="40" w:line="252" w:lineRule="auto"/>
            </w:pPr>
            <w:hyperlink r:id="rId14">
              <w:r>
                <w:rPr>
                  <w:rFonts w:ascii="Calibri" w:hAnsi="Calibri" w:cs="Calibri"/>
                  <w:sz w:val="18"/>
                  <w:color w:val="1155CC"/>
                  <w:u w:val="single"/>
                </w:rPr>
                <w:t xml:space="preserve">https://www.niaaa.nih.gov/alcohol-health/overview-alcohol-consumption/moderate-binge-drinking</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Standard drinks per week (women)</w:t>
            </w:r>
          </w:p>
        </w:tc>
        <w:tc>
          <w:tcPr>
            <w:tcW w:type="dxa" w:w="1655"/>
            <w:vAlign w:val="top"/>
          </w:tcPr>
          <w:p>
            <w:pPr>
              <w:spacing w:after="40" w:before="0" w:line="259" w:lineRule="auto"/>
            </w:pPr>
            <w:r>
              <w:rPr>
                <w:rFonts w:ascii="Calibri" w:hAnsi="Calibri"/>
                <w:b w:val="0"/>
                <w:i w:val="0"/>
                <w:color w:val="212121"/>
                <w:sz w:val="19"/>
              </w:rPr>
              <w:t>Adult women who drink</w:t>
            </w:r>
          </w:p>
        </w:tc>
        <w:tc>
          <w:tcPr>
            <w:tcW w:type="dxa" w:w="1512"/>
            <w:vAlign w:val="top"/>
          </w:tcPr>
          <w:p>
            <w:pPr>
              <w:spacing w:after="40" w:before="0" w:line="259" w:lineRule="auto"/>
            </w:pPr>
            <w:r>
              <w:rPr>
                <w:rFonts w:ascii="Calibri" w:hAnsi="Calibri"/>
                <w:b w:val="0"/>
                <w:i w:val="0"/>
                <w:color w:val="212121"/>
                <w:sz w:val="19"/>
              </w:rPr>
              <w:t>0 (no safe level); if drinking, &lt; 8/week and never ≥ 4 in a day</w:t>
            </w:r>
          </w:p>
        </w:tc>
        <w:tc>
          <w:tcPr>
            <w:tcW w:type="dxa" w:w="1512"/>
            <w:vAlign w:val="top"/>
          </w:tcPr>
          <w:p>
            <w:pPr>
              <w:spacing w:after="40" w:before="0" w:line="259" w:lineRule="auto"/>
            </w:pPr>
            <w:r>
              <w:rPr>
                <w:rFonts w:ascii="Calibri" w:hAnsi="Calibri"/>
                <w:b w:val="0"/>
                <w:i w:val="0"/>
                <w:color w:val="212121"/>
                <w:sz w:val="19"/>
              </w:rPr>
              <w:t>≥ 8 drinks/week or ≥ 4 drinks/day (heavy use)</w:t>
            </w:r>
          </w:p>
        </w:tc>
        <w:tc>
          <w:tcPr>
            <w:tcW w:type="dxa" w:w="1468"/>
            <w:vAlign w:val="top"/>
          </w:tcPr>
          <w:p>
            <w:pPr>
              <w:spacing w:after="60" w:line="259" w:lineRule="auto"/>
            </w:pPr>
            <w:r>
              <w:rPr>
                <w:rFonts w:ascii="Calibri" w:hAnsi="Calibri"/>
                <w:b w:val="0"/>
                <w:i w:val="0"/>
                <w:color w:val="212121"/>
                <w:sz w:val="19"/>
              </w:rPr>
              <w:t>Women reach higher blood alcohol per drink (lower body water, ADH)</w:t>
            </w:r>
          </w:p>
          <w:p>
            <w:pPr>
              <w:spacing w:after="40" w:line="252" w:lineRule="auto"/>
            </w:pPr>
            <w:hyperlink r:id="rId14">
              <w:r>
                <w:rPr>
                  <w:rFonts w:ascii="Calibri" w:hAnsi="Calibri" w:cs="Calibri"/>
                  <w:sz w:val="18"/>
                  <w:color w:val="1155CC"/>
                  <w:u w:val="single"/>
                </w:rPr>
                <w:t xml:space="preserve">https://www.niaaa.nih.gov/alcohol-health/overview-alcohol-consumption/moderate-binge-drinking</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Binge episodes per month</w:t>
            </w:r>
          </w:p>
        </w:tc>
        <w:tc>
          <w:tcPr>
            <w:tcW w:type="dxa" w:w="1655"/>
            <w:vAlign w:val="top"/>
          </w:tcPr>
          <w:p>
            <w:pPr>
              <w:spacing w:after="40" w:before="0" w:line="259" w:lineRule="auto"/>
            </w:pPr>
            <w:r>
              <w:rPr>
                <w:rFonts w:ascii="Calibri" w:hAnsi="Calibri"/>
                <w:b w:val="0"/>
                <w:i w:val="0"/>
                <w:color w:val="212121"/>
                <w:sz w:val="19"/>
              </w:rPr>
              <w:t>Young adults, students, weekend drinkers</w:t>
            </w:r>
          </w:p>
        </w:tc>
        <w:tc>
          <w:tcPr>
            <w:tcW w:type="dxa" w:w="1512"/>
            <w:vAlign w:val="top"/>
          </w:tcPr>
          <w:p>
            <w:pPr>
              <w:spacing w:after="40" w:before="0" w:line="259" w:lineRule="auto"/>
            </w:pPr>
            <w:r>
              <w:rPr>
                <w:rFonts w:ascii="Calibri" w:hAnsi="Calibri"/>
                <w:b w:val="0"/>
                <w:i w:val="0"/>
                <w:color w:val="212121"/>
                <w:sz w:val="19"/>
              </w:rPr>
              <w:t>0 episodes</w:t>
            </w:r>
          </w:p>
        </w:tc>
        <w:tc>
          <w:tcPr>
            <w:tcW w:type="dxa" w:w="1512"/>
            <w:vAlign w:val="top"/>
          </w:tcPr>
          <w:p>
            <w:pPr>
              <w:spacing w:after="40" w:before="0" w:line="259" w:lineRule="auto"/>
            </w:pPr>
            <w:r>
              <w:rPr>
                <w:rFonts w:ascii="Calibri" w:hAnsi="Calibri"/>
                <w:b w:val="0"/>
                <w:i w:val="0"/>
                <w:color w:val="212121"/>
                <w:sz w:val="19"/>
              </w:rPr>
              <w:t>≥ 1 episode (BAC ≥ 0.08 g/dL: ~5 drinks men / 4 women within ~2 h)</w:t>
            </w:r>
          </w:p>
        </w:tc>
        <w:tc>
          <w:tcPr>
            <w:tcW w:type="dxa" w:w="1468"/>
            <w:vAlign w:val="top"/>
          </w:tcPr>
          <w:p>
            <w:pPr>
              <w:spacing w:after="60" w:line="259" w:lineRule="auto"/>
            </w:pPr>
            <w:r>
              <w:rPr>
                <w:rFonts w:ascii="Calibri" w:hAnsi="Calibri"/>
                <w:b w:val="0"/>
                <w:i w:val="0"/>
                <w:color w:val="212121"/>
                <w:sz w:val="19"/>
              </w:rPr>
              <w:t>Binge pattern drives injuries, violence and alcohol poisoning</w:t>
            </w:r>
          </w:p>
          <w:p>
            <w:pPr>
              <w:spacing w:after="40" w:line="252" w:lineRule="auto"/>
            </w:pPr>
            <w:hyperlink r:id="rId14">
              <w:r>
                <w:rPr>
                  <w:rFonts w:ascii="Calibri" w:hAnsi="Calibri" w:cs="Calibri"/>
                  <w:sz w:val="18"/>
                  <w:color w:val="1155CC"/>
                  <w:u w:val="single"/>
                </w:rPr>
                <w:t xml:space="preserve">https://www.niaaa.nih.gov/alcohol-health/overview-alcohol-consumption/moderate-binge-drinking</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AUDIT score</w:t>
            </w:r>
          </w:p>
        </w:tc>
        <w:tc>
          <w:tcPr>
            <w:tcW w:type="dxa" w:w="1655"/>
            <w:vAlign w:val="top"/>
          </w:tcPr>
          <w:p>
            <w:pPr>
              <w:spacing w:after="40" w:before="0" w:line="259" w:lineRule="auto"/>
            </w:pPr>
            <w:r>
              <w:rPr>
                <w:rFonts w:ascii="Calibri" w:hAnsi="Calibri"/>
                <w:b w:val="0"/>
                <w:i w:val="0"/>
                <w:color w:val="212121"/>
                <w:sz w:val="19"/>
              </w:rPr>
              <w:t>All drinkers at OPD / health check</w:t>
            </w:r>
          </w:p>
        </w:tc>
        <w:tc>
          <w:tcPr>
            <w:tcW w:type="dxa" w:w="1512"/>
            <w:vAlign w:val="top"/>
          </w:tcPr>
          <w:p>
            <w:pPr>
              <w:spacing w:after="40" w:before="0" w:line="259" w:lineRule="auto"/>
            </w:pPr>
            <w:r>
              <w:rPr>
                <w:rFonts w:ascii="Calibri" w:hAnsi="Calibri"/>
                <w:b w:val="0"/>
                <w:i w:val="0"/>
                <w:color w:val="212121"/>
                <w:sz w:val="19"/>
              </w:rPr>
              <w:t>&lt; 8</w:t>
            </w:r>
          </w:p>
        </w:tc>
        <w:tc>
          <w:tcPr>
            <w:tcW w:type="dxa" w:w="1512"/>
            <w:vAlign w:val="top"/>
          </w:tcPr>
          <w:p>
            <w:pPr>
              <w:spacing w:after="40" w:before="0" w:line="259" w:lineRule="auto"/>
            </w:pPr>
            <w:r>
              <w:rPr>
                <w:rFonts w:ascii="Calibri" w:hAnsi="Calibri"/>
                <w:b w:val="0"/>
                <w:i w:val="0"/>
                <w:color w:val="212121"/>
                <w:sz w:val="19"/>
              </w:rPr>
              <w:t>≥ 8 (hazardous/harmful); ≥ 20 (possible dependence)</w:t>
            </w:r>
          </w:p>
        </w:tc>
        <w:tc>
          <w:tcPr>
            <w:tcW w:type="dxa" w:w="1468"/>
            <w:vAlign w:val="top"/>
          </w:tcPr>
          <w:p>
            <w:pPr>
              <w:spacing w:after="60" w:line="259" w:lineRule="auto"/>
            </w:pPr>
            <w:r>
              <w:rPr>
                <w:rFonts w:ascii="Calibri" w:hAnsi="Calibri"/>
                <w:b w:val="0"/>
                <w:i w:val="0"/>
                <w:color w:val="212121"/>
                <w:sz w:val="19"/>
              </w:rPr>
              <w:t>WHO 10-item screen; AUDIT-C ≥ 4 (men) / ≥ 3 (women) is a quick positive</w:t>
            </w:r>
          </w:p>
          <w:p>
            <w:pPr>
              <w:spacing w:after="40" w:line="252" w:lineRule="auto"/>
            </w:pPr>
            <w:hyperlink r:id="rId19">
              <w:r>
                <w:rPr>
                  <w:rFonts w:ascii="Calibri" w:hAnsi="Calibri" w:cs="Calibri"/>
                  <w:sz w:val="18"/>
                  <w:color w:val="1155CC"/>
                  <w:u w:val="single"/>
                </w:rPr>
                <w:t xml:space="preserve">https://www.who.int/publications/i/item/WHO-MSD-MSB-01.6a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alcohol concentration before driving</w:t>
            </w:r>
          </w:p>
        </w:tc>
        <w:tc>
          <w:tcPr>
            <w:tcW w:type="dxa" w:w="1655"/>
            <w:vAlign w:val="top"/>
          </w:tcPr>
          <w:p>
            <w:pPr>
              <w:spacing w:after="40" w:before="0" w:line="259" w:lineRule="auto"/>
            </w:pPr>
            <w:r>
              <w:rPr>
                <w:rFonts w:ascii="Calibri" w:hAnsi="Calibri"/>
                <w:b w:val="0"/>
                <w:i w:val="0"/>
                <w:color w:val="212121"/>
                <w:sz w:val="19"/>
              </w:rPr>
              <w:t>Drivers, transport workers</w:t>
            </w:r>
          </w:p>
        </w:tc>
        <w:tc>
          <w:tcPr>
            <w:tcW w:type="dxa" w:w="1512"/>
            <w:vAlign w:val="top"/>
          </w:tcPr>
          <w:p>
            <w:pPr>
              <w:spacing w:after="40" w:before="0" w:line="259" w:lineRule="auto"/>
            </w:pPr>
            <w:r>
              <w:rPr>
                <w:rFonts w:ascii="Calibri" w:hAnsi="Calibri"/>
                <w:b w:val="0"/>
                <w:i w:val="0"/>
                <w:color w:val="212121"/>
                <w:sz w:val="19"/>
              </w:rPr>
              <w:t>0 mg/100 ml</w:t>
            </w:r>
          </w:p>
        </w:tc>
        <w:tc>
          <w:tcPr>
            <w:tcW w:type="dxa" w:w="1512"/>
            <w:vAlign w:val="top"/>
          </w:tcPr>
          <w:p>
            <w:pPr>
              <w:spacing w:after="40" w:before="0" w:line="259" w:lineRule="auto"/>
            </w:pPr>
            <w:r>
              <w:rPr>
                <w:rFonts w:ascii="Calibri" w:hAnsi="Calibri"/>
                <w:b w:val="0"/>
                <w:i w:val="0"/>
                <w:color w:val="212121"/>
                <w:sz w:val="19"/>
              </w:rPr>
              <w:t>&gt; 30 mg/100 ml (0.03%) — punishable under MV Act S.185</w:t>
            </w:r>
          </w:p>
        </w:tc>
        <w:tc>
          <w:tcPr>
            <w:tcW w:type="dxa" w:w="1468"/>
            <w:vAlign w:val="top"/>
          </w:tcPr>
          <w:p>
            <w:pPr>
              <w:spacing w:after="60" w:line="259" w:lineRule="auto"/>
            </w:pPr>
            <w:r>
              <w:rPr>
                <w:rFonts w:ascii="Calibri" w:hAnsi="Calibri"/>
                <w:b w:val="0"/>
                <w:i w:val="0"/>
                <w:color w:val="212121"/>
                <w:sz w:val="19"/>
              </w:rPr>
              <w:t>54% of road-accident victims in a Pondicherry series were alcohol-positive</w:t>
            </w:r>
          </w:p>
          <w:p>
            <w:pPr>
              <w:spacing w:after="40" w:line="252" w:lineRule="auto"/>
            </w:pPr>
            <w:hyperlink r:id="rId13">
              <w:r>
                <w:rPr>
                  <w:rFonts w:ascii="Calibri" w:hAnsi="Calibri" w:cs="Calibri"/>
                  <w:sz w:val="18"/>
                  <w:color w:val="1155CC"/>
                  <w:u w:val="single"/>
                </w:rPr>
                <w:t xml:space="preserve">https://www.nature.com/articles/s41598-026-43509-5</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Drinkers with insomnia</w:t>
            </w:r>
          </w:p>
        </w:tc>
        <w:tc>
          <w:tcPr>
            <w:tcW w:type="dxa" w:w="1512"/>
            <w:vAlign w:val="top"/>
          </w:tcPr>
          <w:p>
            <w:pPr>
              <w:spacing w:after="40" w:before="0" w:line="259" w:lineRule="auto"/>
            </w:pPr>
            <w:r>
              <w:rPr>
                <w:rFonts w:ascii="Calibri" w:hAnsi="Calibri"/>
                <w:b w:val="0"/>
                <w:i w:val="0"/>
                <w:color w:val="212121"/>
                <w:sz w:val="19"/>
              </w:rPr>
              <w:t>7–9 h/night without alcohol as a sleep aid</w:t>
            </w:r>
          </w:p>
        </w:tc>
        <w:tc>
          <w:tcPr>
            <w:tcW w:type="dxa" w:w="1512"/>
            <w:vAlign w:val="top"/>
          </w:tcPr>
          <w:p>
            <w:pPr>
              <w:spacing w:after="40" w:before="0" w:line="259" w:lineRule="auto"/>
            </w:pPr>
            <w:r>
              <w:rPr>
                <w:rFonts w:ascii="Calibri" w:hAnsi="Calibri"/>
                <w:b w:val="0"/>
                <w:i w:val="0"/>
                <w:color w:val="212121"/>
                <w:sz w:val="19"/>
              </w:rPr>
              <w:t>&lt; 6 h, nightcap use, or early-morning waking</w:t>
            </w:r>
          </w:p>
        </w:tc>
        <w:tc>
          <w:tcPr>
            <w:tcW w:type="dxa" w:w="1468"/>
            <w:vAlign w:val="top"/>
          </w:tcPr>
          <w:p>
            <w:pPr>
              <w:spacing w:after="40" w:before="0" w:line="259" w:lineRule="auto"/>
            </w:pPr>
            <w:r>
              <w:rPr>
                <w:rFonts w:ascii="Calibri" w:hAnsi="Calibri"/>
                <w:b w:val="0"/>
                <w:i w:val="0"/>
                <w:color w:val="212121"/>
                <w:sz w:val="19"/>
              </w:rPr>
              <w:t>Alcohol-fragmented sleep perpetuates evening drinking and relapse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Drinkers who also smoke</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 (co-use)</w:t>
            </w:r>
          </w:p>
        </w:tc>
        <w:tc>
          <w:tcPr>
            <w:tcW w:type="dxa" w:w="1468"/>
            <w:vAlign w:val="top"/>
          </w:tcPr>
          <w:p>
            <w:pPr>
              <w:spacing w:after="40" w:before="0" w:line="259" w:lineRule="auto"/>
            </w:pPr>
            <w:r>
              <w:rPr>
                <w:rFonts w:ascii="Calibri" w:hAnsi="Calibri"/>
                <w:b w:val="0"/>
                <w:i w:val="0"/>
                <w:color w:val="212121"/>
                <w:sz w:val="19"/>
              </w:rPr>
              <w:t>Co-use multiplies upper-aerodigestive cancer risk; quit both together</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Hazardous drinkers, patients in recovery</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Exercise supports mood, sleep and craving control during abstinence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Dependent and relapsing drinkers</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 (moderate depression — treat alongside alcohol use)</w:t>
            </w:r>
          </w:p>
        </w:tc>
        <w:tc>
          <w:tcPr>
            <w:tcW w:type="dxa" w:w="1468"/>
            <w:vAlign w:val="top"/>
          </w:tcPr>
          <w:p>
            <w:pPr>
              <w:spacing w:after="60" w:line="259" w:lineRule="auto"/>
            </w:pPr>
            <w:r>
              <w:rPr>
                <w:rFonts w:ascii="Calibri" w:hAnsi="Calibri"/>
                <w:b w:val="0"/>
                <w:i w:val="0"/>
                <w:color w:val="212121"/>
                <w:sz w:val="19"/>
              </w:rPr>
              <w:t>Untreated comorbid depression predicts relapse</w:t>
            </w:r>
          </w:p>
          <w:p>
            <w:pPr>
              <w:spacing w:after="40" w:line="252" w:lineRule="auto"/>
            </w:pPr>
            <w:hyperlink r:id="rId16">
              <w:r>
                <w:rPr>
                  <w:rFonts w:ascii="Calibri" w:hAnsi="Calibri" w:cs="Calibri"/>
                  <w:sz w:val="18"/>
                  <w:color w:val="1155CC"/>
                  <w:u w:val="single"/>
                </w:rPr>
                <w:t xml:space="preserve">https://link.springer.com/article/10.1186/s43045-019-0010-y</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 nutritional status</w:t>
            </w:r>
          </w:p>
        </w:tc>
        <w:tc>
          <w:tcPr>
            <w:tcW w:type="dxa" w:w="1655"/>
            <w:vAlign w:val="top"/>
          </w:tcPr>
          <w:p>
            <w:pPr>
              <w:spacing w:after="40" w:before="0" w:line="259" w:lineRule="auto"/>
            </w:pPr>
            <w:r>
              <w:rPr>
                <w:rFonts w:ascii="Calibri" w:hAnsi="Calibri"/>
                <w:b w:val="0"/>
                <w:i w:val="0"/>
                <w:color w:val="212121"/>
                <w:sz w:val="19"/>
              </w:rPr>
              <w:t>Chronic heavy drinkers</w:t>
            </w:r>
          </w:p>
        </w:tc>
        <w:tc>
          <w:tcPr>
            <w:tcW w:type="dxa" w:w="1512"/>
            <w:vAlign w:val="top"/>
          </w:tcPr>
          <w:p>
            <w:pPr>
              <w:spacing w:after="40" w:before="0" w:line="259" w:lineRule="auto"/>
            </w:pPr>
            <w:r>
              <w:rPr>
                <w:rFonts w:ascii="Calibri" w:hAnsi="Calibri"/>
                <w:b w:val="0"/>
                <w:i w:val="0"/>
                <w:color w:val="212121"/>
                <w:sz w:val="19"/>
              </w:rPr>
              <w:t>18.5–24.9 kg/m² with adequate protein intake</w:t>
            </w:r>
          </w:p>
        </w:tc>
        <w:tc>
          <w:tcPr>
            <w:tcW w:type="dxa" w:w="1512"/>
            <w:vAlign w:val="top"/>
          </w:tcPr>
          <w:p>
            <w:pPr>
              <w:spacing w:after="40" w:before="0" w:line="259" w:lineRule="auto"/>
            </w:pPr>
            <w:r>
              <w:rPr>
                <w:rFonts w:ascii="Calibri" w:hAnsi="Calibri"/>
                <w:b w:val="0"/>
                <w:i w:val="0"/>
                <w:color w:val="212121"/>
                <w:sz w:val="19"/>
              </w:rPr>
              <w:t>BMI &lt; 18.5, unintentional weight loss, or micronutrient deficiency</w:t>
            </w:r>
          </w:p>
        </w:tc>
        <w:tc>
          <w:tcPr>
            <w:tcW w:type="dxa" w:w="1468"/>
            <w:vAlign w:val="top"/>
          </w:tcPr>
          <w:p>
            <w:pPr>
              <w:spacing w:after="40" w:before="0" w:line="259" w:lineRule="auto"/>
            </w:pPr>
            <w:r>
              <w:rPr>
                <w:rFonts w:ascii="Calibri" w:hAnsi="Calibri"/>
                <w:b w:val="0"/>
                <w:i w:val="0"/>
                <w:color w:val="212121"/>
                <w:sz w:val="19"/>
              </w:rPr>
              <w:t>Alcohol displaces nutrient calories; screen thiamine, folate, B12</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alcohol concentration (BAC)</w:t>
            </w:r>
          </w:p>
        </w:tc>
        <w:tc>
          <w:tcPr>
            <w:tcW w:type="dxa" w:w="892"/>
            <w:vAlign w:val="top"/>
          </w:tcPr>
          <w:p>
            <w:pPr>
              <w:spacing w:after="40" w:before="0" w:line="259" w:lineRule="auto"/>
            </w:pPr>
            <w:r>
              <w:rPr>
                <w:rFonts w:ascii="Calibri" w:hAnsi="Calibri"/>
                <w:b w:val="0"/>
                <w:i w:val="0"/>
                <w:color w:val="212121"/>
                <w:sz w:val="16"/>
              </w:rPr>
              <w:t>Breath / blood alcohol test</w:t>
            </w:r>
          </w:p>
        </w:tc>
        <w:tc>
          <w:tcPr>
            <w:tcW w:type="dxa" w:w="950"/>
            <w:vAlign w:val="top"/>
          </w:tcPr>
          <w:p>
            <w:pPr>
              <w:spacing w:after="40" w:before="0" w:line="259" w:lineRule="auto"/>
            </w:pPr>
            <w:r>
              <w:rPr>
                <w:rFonts w:ascii="Calibri" w:hAnsi="Calibri"/>
                <w:b w:val="0"/>
                <w:i w:val="0"/>
                <w:color w:val="212121"/>
                <w:sz w:val="16"/>
              </w:rPr>
              <w:t>0 mg/100 ml (abstinent)</w:t>
            </w:r>
          </w:p>
        </w:tc>
        <w:tc>
          <w:tcPr>
            <w:tcW w:type="dxa" w:w="950"/>
            <w:vAlign w:val="top"/>
          </w:tcPr>
          <w:p>
            <w:pPr>
              <w:spacing w:after="40" w:before="0" w:line="259" w:lineRule="auto"/>
            </w:pPr>
            <w:r>
              <w:rPr>
                <w:rFonts w:ascii="Calibri" w:hAnsi="Calibri"/>
                <w:b w:val="0"/>
                <w:i w:val="0"/>
                <w:color w:val="212121"/>
                <w:sz w:val="16"/>
              </w:rPr>
              <w:t>&gt; 30 mg/100 ml impairs driving (Indian legal limit); ≥ 80 mg/100 ml marked intoxication; &gt; 300–400 mg/100 ml risk of coma/death</w:t>
            </w:r>
          </w:p>
        </w:tc>
        <w:tc>
          <w:tcPr>
            <w:tcW w:type="dxa" w:w="1036"/>
            <w:vAlign w:val="top"/>
          </w:tcPr>
          <w:p>
            <w:pPr>
              <w:spacing w:after="40" w:before="0" w:line="259" w:lineRule="auto"/>
            </w:pPr>
            <w:r>
              <w:rPr>
                <w:rFonts w:ascii="Calibri" w:hAnsi="Calibri"/>
                <w:b w:val="0"/>
                <w:i w:val="0"/>
                <w:color w:val="212121"/>
                <w:sz w:val="16"/>
              </w:rPr>
              <w:t>Confirms and quantifies acute intoxication; medicolegal in road accidents</w:t>
            </w:r>
          </w:p>
        </w:tc>
        <w:tc>
          <w:tcPr>
            <w:tcW w:type="dxa" w:w="1036"/>
            <w:vAlign w:val="top"/>
          </w:tcPr>
          <w:p>
            <w:pPr>
              <w:spacing w:after="40" w:before="0" w:line="259" w:lineRule="auto"/>
            </w:pPr>
            <w:r>
              <w:rPr>
                <w:rFonts w:ascii="Calibri" w:hAnsi="Calibri"/>
                <w:b w:val="0"/>
                <w:i w:val="0"/>
                <w:color w:val="212121"/>
                <w:sz w:val="16"/>
              </w:rPr>
              <w:t>Intoxicated patients, RTA victims, drivers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 (acute)</w:t>
            </w:r>
          </w:p>
        </w:tc>
        <w:tc>
          <w:tcPr>
            <w:tcW w:type="dxa" w:w="720"/>
            <w:vAlign w:val="top"/>
          </w:tcPr>
          <w:p>
            <w:pPr>
              <w:spacing w:after="40" w:before="0" w:line="259" w:lineRule="auto"/>
            </w:pPr>
            <w:r>
              <w:rPr>
                <w:rFonts w:ascii="Calibri" w:hAnsi="Calibri"/>
                <w:b w:val="0"/>
                <w:i w:val="0"/>
                <w:color w:val="212121"/>
                <w:sz w:val="16"/>
              </w:rPr>
              <w:t>Falls ~15–20 mg/100 ml per hour with metabolism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Gamma-glutamyl transferase (GGT)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M ~10–71 U/L; F ~6–42 U/L</w:t>
            </w:r>
          </w:p>
        </w:tc>
        <w:tc>
          <w:tcPr>
            <w:tcW w:type="dxa" w:w="950"/>
            <w:vAlign w:val="top"/>
          </w:tcPr>
          <w:p>
            <w:pPr>
              <w:spacing w:after="40" w:before="0" w:line="259" w:lineRule="auto"/>
            </w:pPr>
            <w:r>
              <w:rPr>
                <w:rFonts w:ascii="Calibri" w:hAnsi="Calibri"/>
                <w:b w:val="0"/>
                <w:i w:val="0"/>
                <w:color w:val="212121"/>
                <w:sz w:val="16"/>
              </w:rPr>
              <w:t>Elevated, often 2–3× upper limit in chronic heavy use</w:t>
            </w:r>
          </w:p>
        </w:tc>
        <w:tc>
          <w:tcPr>
            <w:tcW w:type="dxa" w:w="1036"/>
            <w:vAlign w:val="top"/>
          </w:tcPr>
          <w:p>
            <w:pPr>
              <w:spacing w:after="40" w:before="0" w:line="259" w:lineRule="auto"/>
            </w:pPr>
            <w:r>
              <w:rPr>
                <w:rFonts w:ascii="Calibri" w:hAnsi="Calibri"/>
                <w:b w:val="0"/>
                <w:i w:val="0"/>
                <w:color w:val="212121"/>
                <w:sz w:val="16"/>
              </w:rPr>
              <w:t>Sensitive but non-specific marker of sustained heavy drinking; declines over 2–6 weeks of abstinence</w:t>
            </w:r>
          </w:p>
        </w:tc>
        <w:tc>
          <w:tcPr>
            <w:tcW w:type="dxa" w:w="1036"/>
            <w:vAlign w:val="top"/>
          </w:tcPr>
          <w:p>
            <w:pPr>
              <w:spacing w:after="40" w:before="0" w:line="259" w:lineRule="auto"/>
            </w:pPr>
            <w:r>
              <w:rPr>
                <w:rFonts w:ascii="Calibri" w:hAnsi="Calibri"/>
                <w:b w:val="0"/>
                <w:i w:val="0"/>
                <w:color w:val="212121"/>
                <w:sz w:val="16"/>
              </w:rPr>
              <w:t>Chronic heavy drinkers; abstinence monitoring</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Also raised in NAFLD, cholestasis, enzyme-inducing drugs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AST &amp; ALT with AST:ALT ratio</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AST/ALT ≈ 1; each &lt; 40 U/L</w:t>
            </w:r>
          </w:p>
        </w:tc>
        <w:tc>
          <w:tcPr>
            <w:tcW w:type="dxa" w:w="950"/>
            <w:vAlign w:val="top"/>
          </w:tcPr>
          <w:p>
            <w:pPr>
              <w:spacing w:after="40" w:before="0" w:line="259" w:lineRule="auto"/>
            </w:pPr>
            <w:r>
              <w:rPr>
                <w:rFonts w:ascii="Calibri" w:hAnsi="Calibri"/>
                <w:b w:val="0"/>
                <w:i w:val="0"/>
                <w:color w:val="212121"/>
                <w:sz w:val="16"/>
              </w:rPr>
              <w:t>AST:ALT &gt; 2 with AST usually &lt; 300 U/L</w:t>
            </w:r>
          </w:p>
        </w:tc>
        <w:tc>
          <w:tcPr>
            <w:tcW w:type="dxa" w:w="1036"/>
            <w:vAlign w:val="top"/>
          </w:tcPr>
          <w:p>
            <w:pPr>
              <w:spacing w:after="40" w:before="0" w:line="259" w:lineRule="auto"/>
            </w:pPr>
            <w:r>
              <w:rPr>
                <w:rFonts w:ascii="Calibri" w:hAnsi="Calibri"/>
                <w:b w:val="0"/>
                <w:i w:val="0"/>
                <w:color w:val="212121"/>
                <w:sz w:val="16"/>
              </w:rPr>
              <w:t>Pattern typical of alcohol-related liver injury / alcoholic hepatitis</w:t>
            </w:r>
          </w:p>
        </w:tc>
        <w:tc>
          <w:tcPr>
            <w:tcW w:type="dxa" w:w="1036"/>
            <w:vAlign w:val="top"/>
          </w:tcPr>
          <w:p>
            <w:pPr>
              <w:spacing w:after="40" w:before="0" w:line="259" w:lineRule="auto"/>
            </w:pPr>
            <w:r>
              <w:rPr>
                <w:rFonts w:ascii="Calibri" w:hAnsi="Calibri"/>
                <w:b w:val="0"/>
                <w:i w:val="0"/>
                <w:color w:val="212121"/>
                <w:sz w:val="16"/>
              </w:rPr>
              <w:t>Harmful drinkers, suspected alcoholic liver disease</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Diagnostic (supportive)</w:t>
            </w:r>
          </w:p>
        </w:tc>
        <w:tc>
          <w:tcPr>
            <w:tcW w:type="dxa" w:w="720"/>
            <w:vAlign w:val="top"/>
          </w:tcPr>
          <w:p>
            <w:pPr>
              <w:spacing w:after="40" w:before="0" w:line="259" w:lineRule="auto"/>
            </w:pPr>
            <w:r>
              <w:rPr>
                <w:rFonts w:ascii="Calibri" w:hAnsi="Calibri"/>
                <w:b w:val="0"/>
                <w:i w:val="0"/>
                <w:color w:val="212121"/>
                <w:sz w:val="16"/>
              </w:rPr>
              <w:t>Very high AST (&gt; 500) suggests another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Hematological</w:t>
            </w:r>
          </w:p>
        </w:tc>
        <w:tc>
          <w:tcPr>
            <w:tcW w:type="dxa" w:w="1036"/>
            <w:vAlign w:val="top"/>
          </w:tcPr>
          <w:p>
            <w:pPr>
              <w:spacing w:after="40" w:before="0" w:line="259" w:lineRule="auto"/>
            </w:pPr>
            <w:r>
              <w:rPr>
                <w:rFonts w:ascii="Calibri" w:hAnsi="Calibri"/>
                <w:b w:val="0"/>
                <w:i w:val="0"/>
                <w:color w:val="212121"/>
                <w:sz w:val="16"/>
              </w:rPr>
              <w:t>Mean corpuscular volume (MCV) &amp; platelets</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MCV 80–100 fL; platelets 150–400 ×10⁹/L</w:t>
            </w:r>
          </w:p>
        </w:tc>
        <w:tc>
          <w:tcPr>
            <w:tcW w:type="dxa" w:w="950"/>
            <w:vAlign w:val="top"/>
          </w:tcPr>
          <w:p>
            <w:pPr>
              <w:spacing w:after="40" w:before="0" w:line="259" w:lineRule="auto"/>
            </w:pPr>
            <w:r>
              <w:rPr>
                <w:rFonts w:ascii="Calibri" w:hAnsi="Calibri"/>
                <w:b w:val="0"/>
                <w:i w:val="0"/>
                <w:color w:val="212121"/>
                <w:sz w:val="16"/>
              </w:rPr>
              <w:t>MCV &gt; 100 fL (macrocytosis); thrombocytopenia</w:t>
            </w:r>
          </w:p>
        </w:tc>
        <w:tc>
          <w:tcPr>
            <w:tcW w:type="dxa" w:w="1036"/>
            <w:vAlign w:val="top"/>
          </w:tcPr>
          <w:p>
            <w:pPr>
              <w:spacing w:after="40" w:before="0" w:line="259" w:lineRule="auto"/>
            </w:pPr>
            <w:r>
              <w:rPr>
                <w:rFonts w:ascii="Calibri" w:hAnsi="Calibri"/>
                <w:b w:val="0"/>
                <w:i w:val="0"/>
                <w:color w:val="212121"/>
                <w:sz w:val="16"/>
              </w:rPr>
              <w:t>Marrow toxicity of ethanol ± folate/B12 deficiency; hypersplenism if cirrhotic</w:t>
            </w:r>
          </w:p>
        </w:tc>
        <w:tc>
          <w:tcPr>
            <w:tcW w:type="dxa" w:w="1036"/>
            <w:vAlign w:val="top"/>
          </w:tcPr>
          <w:p>
            <w:pPr>
              <w:spacing w:after="40" w:before="0" w:line="259" w:lineRule="auto"/>
            </w:pPr>
            <w:r>
              <w:rPr>
                <w:rFonts w:ascii="Calibri" w:hAnsi="Calibri"/>
                <w:b w:val="0"/>
                <w:i w:val="0"/>
                <w:color w:val="212121"/>
                <w:sz w:val="16"/>
              </w:rPr>
              <w:t>Chronic heavy drinkers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MCV normalizes slowly (2–4 months) after abstinence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Carbohydrate-deficient transferrin (CDT)</w:t>
            </w:r>
          </w:p>
        </w:tc>
        <w:tc>
          <w:tcPr>
            <w:tcW w:type="dxa" w:w="892"/>
            <w:vAlign w:val="top"/>
          </w:tcPr>
          <w:p>
            <w:pPr>
              <w:spacing w:after="40" w:before="0" w:line="259" w:lineRule="auto"/>
            </w:pPr>
            <w:r>
              <w:rPr>
                <w:rFonts w:ascii="Calibri" w:hAnsi="Calibri"/>
                <w:b w:val="0"/>
                <w:i w:val="0"/>
                <w:color w:val="212121"/>
                <w:sz w:val="16"/>
              </w:rPr>
              <w:t>Specific alcohol biomarker</w:t>
            </w:r>
          </w:p>
        </w:tc>
        <w:tc>
          <w:tcPr>
            <w:tcW w:type="dxa" w:w="950"/>
            <w:vAlign w:val="top"/>
          </w:tcPr>
          <w:p>
            <w:pPr>
              <w:spacing w:after="40" w:before="0" w:line="259" w:lineRule="auto"/>
            </w:pPr>
            <w:r>
              <w:rPr>
                <w:rFonts w:ascii="Calibri" w:hAnsi="Calibri"/>
                <w:b w:val="0"/>
                <w:i w:val="0"/>
                <w:color w:val="212121"/>
                <w:sz w:val="16"/>
              </w:rPr>
              <w:t>&lt; 1.7% disialotransferrin</w:t>
            </w:r>
          </w:p>
        </w:tc>
        <w:tc>
          <w:tcPr>
            <w:tcW w:type="dxa" w:w="950"/>
            <w:vAlign w:val="top"/>
          </w:tcPr>
          <w:p>
            <w:pPr>
              <w:spacing w:after="40" w:before="0" w:line="259" w:lineRule="auto"/>
            </w:pPr>
            <w:r>
              <w:rPr>
                <w:rFonts w:ascii="Calibri" w:hAnsi="Calibri"/>
                <w:b w:val="0"/>
                <w:i w:val="0"/>
                <w:color w:val="212121"/>
                <w:sz w:val="16"/>
              </w:rPr>
              <w:t>≥ 1.7–2%</w:t>
            </w:r>
          </w:p>
        </w:tc>
        <w:tc>
          <w:tcPr>
            <w:tcW w:type="dxa" w:w="1036"/>
            <w:vAlign w:val="top"/>
          </w:tcPr>
          <w:p>
            <w:pPr>
              <w:spacing w:after="40" w:before="0" w:line="259" w:lineRule="auto"/>
            </w:pPr>
            <w:r>
              <w:rPr>
                <w:rFonts w:ascii="Calibri" w:hAnsi="Calibri"/>
                <w:b w:val="0"/>
                <w:i w:val="0"/>
                <w:color w:val="212121"/>
                <w:sz w:val="16"/>
              </w:rPr>
              <w:t>Most specific routine marker of sustained heavy drinking (&gt; ~60 g/day for ≥ 2 weeks)</w:t>
            </w:r>
          </w:p>
        </w:tc>
        <w:tc>
          <w:tcPr>
            <w:tcW w:type="dxa" w:w="1036"/>
            <w:vAlign w:val="top"/>
          </w:tcPr>
          <w:p>
            <w:pPr>
              <w:spacing w:after="40" w:before="0" w:line="259" w:lineRule="auto"/>
            </w:pPr>
            <w:r>
              <w:rPr>
                <w:rFonts w:ascii="Calibri" w:hAnsi="Calibri"/>
                <w:b w:val="0"/>
                <w:i w:val="0"/>
                <w:color w:val="212121"/>
                <w:sz w:val="16"/>
              </w:rPr>
              <w:t>Fitness-for-duty, licensing, transplant work-up</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Limited availability in India; phosphatidylethanol (PEth) is an emerging alternative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Bilirubin, albumin, INR (synthetic function)</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Bilirubin &lt; 1.2 mg/dL; albumin 3.5–5 g/dL; INR ~1.0</w:t>
            </w:r>
          </w:p>
        </w:tc>
        <w:tc>
          <w:tcPr>
            <w:tcW w:type="dxa" w:w="950"/>
            <w:vAlign w:val="top"/>
          </w:tcPr>
          <w:p>
            <w:pPr>
              <w:spacing w:after="40" w:before="0" w:line="259" w:lineRule="auto"/>
            </w:pPr>
            <w:r>
              <w:rPr>
                <w:rFonts w:ascii="Calibri" w:hAnsi="Calibri"/>
                <w:b w:val="0"/>
                <w:i w:val="0"/>
                <w:color w:val="212121"/>
                <w:sz w:val="16"/>
              </w:rPr>
              <w:t>Raised bilirubin/INR, low albumin</w:t>
            </w:r>
          </w:p>
        </w:tc>
        <w:tc>
          <w:tcPr>
            <w:tcW w:type="dxa" w:w="1036"/>
            <w:vAlign w:val="top"/>
          </w:tcPr>
          <w:p>
            <w:pPr>
              <w:spacing w:after="40" w:before="0" w:line="259" w:lineRule="auto"/>
            </w:pPr>
            <w:r>
              <w:rPr>
                <w:rFonts w:ascii="Calibri" w:hAnsi="Calibri"/>
                <w:b w:val="0"/>
                <w:i w:val="0"/>
                <w:color w:val="212121"/>
                <w:sz w:val="16"/>
              </w:rPr>
              <w:t>Signals decompensating alcoholic hepatitis or cirrhosis — compute Maddrey DF / MELD</w:t>
            </w:r>
          </w:p>
        </w:tc>
        <w:tc>
          <w:tcPr>
            <w:tcW w:type="dxa" w:w="1036"/>
            <w:vAlign w:val="top"/>
          </w:tcPr>
          <w:p>
            <w:pPr>
              <w:spacing w:after="40" w:before="0" w:line="259" w:lineRule="auto"/>
            </w:pPr>
            <w:r>
              <w:rPr>
                <w:rFonts w:ascii="Calibri" w:hAnsi="Calibri"/>
                <w:b w:val="0"/>
                <w:i w:val="0"/>
                <w:color w:val="212121"/>
                <w:sz w:val="16"/>
              </w:rPr>
              <w:t>Jaundiced drinkers, suspected cirrhosis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Urgent hepatology referral if decompensated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w:t>
            </w:r>
          </w:p>
        </w:tc>
        <w:tc>
          <w:tcPr>
            <w:tcW w:type="dxa" w:w="1036"/>
            <w:vAlign w:val="top"/>
          </w:tcPr>
          <w:p>
            <w:pPr>
              <w:spacing w:after="40" w:before="0" w:line="259" w:lineRule="auto"/>
            </w:pPr>
            <w:r>
              <w:rPr>
                <w:rFonts w:ascii="Calibri" w:hAnsi="Calibri"/>
                <w:b w:val="0"/>
                <w:i w:val="0"/>
                <w:color w:val="212121"/>
                <w:sz w:val="16"/>
              </w:rPr>
              <w:t>Glucose, triglycerides, uric acid, K⁺/Mg²⁺/PO₄³⁻</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FPG 70–99 mg/dL; TG &lt; 150 mg/dL; normal electrolytes</w:t>
            </w:r>
          </w:p>
        </w:tc>
        <w:tc>
          <w:tcPr>
            <w:tcW w:type="dxa" w:w="950"/>
            <w:vAlign w:val="top"/>
          </w:tcPr>
          <w:p>
            <w:pPr>
              <w:spacing w:after="40" w:before="0" w:line="259" w:lineRule="auto"/>
            </w:pPr>
            <w:r>
              <w:rPr>
                <w:rFonts w:ascii="Calibri" w:hAnsi="Calibri"/>
                <w:b w:val="0"/>
                <w:i w:val="0"/>
                <w:color w:val="212121"/>
                <w:sz w:val="16"/>
              </w:rPr>
              <w:t>Hypoglycemia (intoxication/fasting); high TG and urate; low K/Mg/PO4</w:t>
            </w:r>
          </w:p>
        </w:tc>
        <w:tc>
          <w:tcPr>
            <w:tcW w:type="dxa" w:w="1036"/>
            <w:vAlign w:val="top"/>
          </w:tcPr>
          <w:p>
            <w:pPr>
              <w:spacing w:after="40" w:before="0" w:line="259" w:lineRule="auto"/>
            </w:pPr>
            <w:r>
              <w:rPr>
                <w:rFonts w:ascii="Calibri" w:hAnsi="Calibri"/>
                <w:b w:val="0"/>
                <w:i w:val="0"/>
                <w:color w:val="212121"/>
                <w:sz w:val="16"/>
              </w:rPr>
              <w:t>Ethanol deranges intermediary metabolism; hypomagnesemia/hypokalemia predispose to arrhythmia and worsen withdrawal</w:t>
            </w:r>
          </w:p>
        </w:tc>
        <w:tc>
          <w:tcPr>
            <w:tcW w:type="dxa" w:w="1036"/>
            <w:vAlign w:val="top"/>
          </w:tcPr>
          <w:p>
            <w:pPr>
              <w:spacing w:after="40" w:before="0" w:line="259" w:lineRule="auto"/>
            </w:pPr>
            <w:r>
              <w:rPr>
                <w:rFonts w:ascii="Calibri" w:hAnsi="Calibri"/>
                <w:b w:val="0"/>
                <w:i w:val="0"/>
                <w:color w:val="212121"/>
                <w:sz w:val="16"/>
              </w:rPr>
              <w:t>Binge drinkers, dependent patients in withdrawal</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Management-guiding</w:t>
            </w:r>
          </w:p>
        </w:tc>
        <w:tc>
          <w:tcPr>
            <w:tcW w:type="dxa" w:w="720"/>
            <w:vAlign w:val="top"/>
          </w:tcPr>
          <w:p>
            <w:pPr>
              <w:spacing w:after="40" w:before="0" w:line="259" w:lineRule="auto"/>
            </w:pPr>
            <w:r>
              <w:rPr>
                <w:rFonts w:ascii="Calibri" w:hAnsi="Calibri"/>
                <w:b w:val="0"/>
                <w:i w:val="0"/>
                <w:color w:val="212121"/>
                <w:sz w:val="16"/>
              </w:rPr>
              <w:t>Give thiamine before glucose to avoid precipitating Wernicke encephalopathy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Quantity–frequency &amp; pattern history</w:t>
            </w:r>
          </w:p>
        </w:tc>
        <w:tc>
          <w:tcPr>
            <w:tcW w:type="dxa" w:w="979"/>
            <w:vAlign w:val="top"/>
          </w:tcPr>
          <w:p>
            <w:pPr>
              <w:spacing w:after="40" w:before="0" w:line="259" w:lineRule="auto"/>
            </w:pPr>
            <w:r>
              <w:rPr>
                <w:rFonts w:ascii="Calibri" w:hAnsi="Calibri"/>
                <w:b w:val="0"/>
                <w:i w:val="0"/>
                <w:color w:val="212121"/>
                <w:sz w:val="16"/>
              </w:rPr>
              <w:t>Drinks/day, days/week, beverage type, duration, time of first drink of the day</w:t>
            </w:r>
          </w:p>
        </w:tc>
        <w:tc>
          <w:tcPr>
            <w:tcW w:type="dxa" w:w="950"/>
            <w:vAlign w:val="top"/>
          </w:tcPr>
          <w:p>
            <w:pPr>
              <w:spacing w:after="40" w:before="0" w:line="259" w:lineRule="auto"/>
            </w:pPr>
            <w:r>
              <w:rPr>
                <w:rFonts w:ascii="Calibri" w:hAnsi="Calibri"/>
                <w:b w:val="0"/>
                <w:i w:val="0"/>
                <w:color w:val="212121"/>
                <w:sz w:val="16"/>
              </w:rPr>
              <w:t>No alcohol use</w:t>
            </w:r>
          </w:p>
        </w:tc>
        <w:tc>
          <w:tcPr>
            <w:tcW w:type="dxa" w:w="950"/>
            <w:vAlign w:val="top"/>
          </w:tcPr>
          <w:p>
            <w:pPr>
              <w:spacing w:after="40" w:before="0" w:line="259" w:lineRule="auto"/>
            </w:pPr>
            <w:r>
              <w:rPr>
                <w:rFonts w:ascii="Calibri" w:hAnsi="Calibri"/>
                <w:b w:val="0"/>
                <w:i w:val="0"/>
                <w:color w:val="212121"/>
                <w:sz w:val="16"/>
              </w:rPr>
              <w:t>Daily/heavy or binge pattern; morning 'eye-opener' drinking</w:t>
            </w:r>
          </w:p>
        </w:tc>
        <w:tc>
          <w:tcPr>
            <w:tcW w:type="dxa" w:w="1036"/>
            <w:vAlign w:val="top"/>
          </w:tcPr>
          <w:p>
            <w:pPr>
              <w:spacing w:after="40" w:before="0" w:line="259" w:lineRule="auto"/>
            </w:pPr>
            <w:r>
              <w:rPr>
                <w:rFonts w:ascii="Calibri" w:hAnsi="Calibri"/>
                <w:b w:val="0"/>
                <w:i w:val="0"/>
                <w:color w:val="212121"/>
                <w:sz w:val="16"/>
              </w:rPr>
              <w:t>Establishes exposure level, pattern and dependence features</w:t>
            </w:r>
          </w:p>
        </w:tc>
        <w:tc>
          <w:tcPr>
            <w:tcW w:type="dxa" w:w="1036"/>
            <w:vAlign w:val="top"/>
          </w:tcPr>
          <w:p>
            <w:pPr>
              <w:spacing w:after="40" w:before="0" w:line="259" w:lineRule="auto"/>
            </w:pPr>
            <w:r>
              <w:rPr>
                <w:rFonts w:ascii="Calibri" w:hAnsi="Calibri"/>
                <w:b w:val="0"/>
                <w:i w:val="0"/>
                <w:color w:val="212121"/>
                <w:sz w:val="16"/>
              </w:rPr>
              <w:t>All adult patients (esp. men), high-risk occupations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non-judgmentally; corroborate with family members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AUDIT / AUDIT-C questionnaire</w:t>
            </w:r>
          </w:p>
        </w:tc>
        <w:tc>
          <w:tcPr>
            <w:tcW w:type="dxa" w:w="979"/>
            <w:vAlign w:val="top"/>
          </w:tcPr>
          <w:p>
            <w:pPr>
              <w:spacing w:after="40" w:before="0" w:line="259" w:lineRule="auto"/>
            </w:pPr>
            <w:r>
              <w:rPr>
                <w:rFonts w:ascii="Calibri" w:hAnsi="Calibri"/>
                <w:b w:val="0"/>
                <w:i w:val="0"/>
                <w:color w:val="212121"/>
                <w:sz w:val="16"/>
              </w:rPr>
              <w:t>WHO 10-item score (0–40)</w:t>
            </w:r>
          </w:p>
        </w:tc>
        <w:tc>
          <w:tcPr>
            <w:tcW w:type="dxa" w:w="950"/>
            <w:vAlign w:val="top"/>
          </w:tcPr>
          <w:p>
            <w:pPr>
              <w:spacing w:after="40" w:before="0" w:line="259" w:lineRule="auto"/>
            </w:pPr>
            <w:r>
              <w:rPr>
                <w:rFonts w:ascii="Calibri" w:hAnsi="Calibri"/>
                <w:b w:val="0"/>
                <w:i w:val="0"/>
                <w:color w:val="212121"/>
                <w:sz w:val="16"/>
              </w:rPr>
              <w:t>&lt; 8</w:t>
            </w:r>
          </w:p>
        </w:tc>
        <w:tc>
          <w:tcPr>
            <w:tcW w:type="dxa" w:w="950"/>
            <w:vAlign w:val="top"/>
          </w:tcPr>
          <w:p>
            <w:pPr>
              <w:spacing w:after="40" w:before="0" w:line="259" w:lineRule="auto"/>
            </w:pPr>
            <w:r>
              <w:rPr>
                <w:rFonts w:ascii="Calibri" w:hAnsi="Calibri"/>
                <w:b w:val="0"/>
                <w:i w:val="0"/>
                <w:color w:val="212121"/>
                <w:sz w:val="16"/>
              </w:rPr>
              <w:t>≥ 8 hazardous/harmful; ≥ 20 possible dependence</w:t>
            </w:r>
          </w:p>
        </w:tc>
        <w:tc>
          <w:tcPr>
            <w:tcW w:type="dxa" w:w="1036"/>
            <w:vAlign w:val="top"/>
          </w:tcPr>
          <w:p>
            <w:pPr>
              <w:spacing w:after="40" w:before="0" w:line="259" w:lineRule="auto"/>
            </w:pPr>
            <w:r>
              <w:rPr>
                <w:rFonts w:ascii="Calibri" w:hAnsi="Calibri"/>
                <w:b w:val="0"/>
                <w:i w:val="0"/>
                <w:color w:val="212121"/>
                <w:sz w:val="16"/>
              </w:rPr>
              <w:t>Validated risk stratification feeding screening &amp; brief intervention (SBIRT)</w:t>
            </w:r>
          </w:p>
        </w:tc>
        <w:tc>
          <w:tcPr>
            <w:tcW w:type="dxa" w:w="1036"/>
            <w:vAlign w:val="top"/>
          </w:tcPr>
          <w:p>
            <w:pPr>
              <w:spacing w:after="40" w:before="0" w:line="259" w:lineRule="auto"/>
            </w:pPr>
            <w:r>
              <w:rPr>
                <w:rFonts w:ascii="Calibri" w:hAnsi="Calibri"/>
                <w:b w:val="0"/>
                <w:i w:val="0"/>
                <w:color w:val="212121"/>
                <w:sz w:val="16"/>
              </w:rPr>
              <w:t>OPD attendees, NCD-clinic patients, pre-operative checks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Gold standard screening</w:t>
            </w:r>
          </w:p>
        </w:tc>
        <w:tc>
          <w:tcPr>
            <w:tcW w:type="dxa" w:w="720"/>
            <w:vAlign w:val="top"/>
          </w:tcPr>
          <w:p>
            <w:pPr>
              <w:spacing w:after="40" w:before="0" w:line="259" w:lineRule="auto"/>
            </w:pPr>
            <w:r>
              <w:rPr>
                <w:rFonts w:ascii="Calibri" w:hAnsi="Calibri"/>
                <w:b w:val="0"/>
                <w:i w:val="0"/>
                <w:color w:val="212121"/>
                <w:sz w:val="16"/>
              </w:rPr>
              <w:t>Hindi and regional-language validated versions available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CAGE questions</w:t>
            </w:r>
          </w:p>
        </w:tc>
        <w:tc>
          <w:tcPr>
            <w:tcW w:type="dxa" w:w="979"/>
            <w:vAlign w:val="top"/>
          </w:tcPr>
          <w:p>
            <w:pPr>
              <w:spacing w:after="40" w:before="0" w:line="259" w:lineRule="auto"/>
            </w:pPr>
            <w:r>
              <w:rPr>
                <w:rFonts w:ascii="Calibri" w:hAnsi="Calibri"/>
                <w:b w:val="0"/>
                <w:i w:val="0"/>
                <w:color w:val="212121"/>
                <w:sz w:val="16"/>
              </w:rPr>
              <w:t>Cut down / Annoyed / Guilty / Eye-opener</w:t>
            </w:r>
          </w:p>
        </w:tc>
        <w:tc>
          <w:tcPr>
            <w:tcW w:type="dxa" w:w="950"/>
            <w:vAlign w:val="top"/>
          </w:tcPr>
          <w:p>
            <w:pPr>
              <w:spacing w:after="40" w:before="0" w:line="259" w:lineRule="auto"/>
            </w:pPr>
            <w:r>
              <w:rPr>
                <w:rFonts w:ascii="Calibri" w:hAnsi="Calibri"/>
                <w:b w:val="0"/>
                <w:i w:val="0"/>
                <w:color w:val="212121"/>
                <w:sz w:val="16"/>
              </w:rPr>
              <w:t>0–1 positive</w:t>
            </w:r>
          </w:p>
        </w:tc>
        <w:tc>
          <w:tcPr>
            <w:tcW w:type="dxa" w:w="950"/>
            <w:vAlign w:val="top"/>
          </w:tcPr>
          <w:p>
            <w:pPr>
              <w:spacing w:after="40" w:before="0" w:line="259" w:lineRule="auto"/>
            </w:pPr>
            <w:r>
              <w:rPr>
                <w:rFonts w:ascii="Calibri" w:hAnsi="Calibri"/>
                <w:b w:val="0"/>
                <w:i w:val="0"/>
                <w:color w:val="212121"/>
                <w:sz w:val="16"/>
              </w:rPr>
              <w:t>≥ 2 positive answers</w:t>
            </w:r>
          </w:p>
        </w:tc>
        <w:tc>
          <w:tcPr>
            <w:tcW w:type="dxa" w:w="1036"/>
            <w:vAlign w:val="top"/>
          </w:tcPr>
          <w:p>
            <w:pPr>
              <w:spacing w:after="40" w:before="0" w:line="259" w:lineRule="auto"/>
            </w:pPr>
            <w:r>
              <w:rPr>
                <w:rFonts w:ascii="Calibri" w:hAnsi="Calibri"/>
                <w:b w:val="0"/>
                <w:i w:val="0"/>
                <w:color w:val="212121"/>
                <w:sz w:val="16"/>
              </w:rPr>
              <w:t>Suggests dependence — proceed to full diagnostic interview (DSM-5/ICD-10)</w:t>
            </w:r>
          </w:p>
        </w:tc>
        <w:tc>
          <w:tcPr>
            <w:tcW w:type="dxa" w:w="1036"/>
            <w:vAlign w:val="top"/>
          </w:tcPr>
          <w:p>
            <w:pPr>
              <w:spacing w:after="40" w:before="0" w:line="259" w:lineRule="auto"/>
            </w:pPr>
            <w:r>
              <w:rPr>
                <w:rFonts w:ascii="Calibri" w:hAnsi="Calibri"/>
                <w:b w:val="0"/>
                <w:i w:val="0"/>
                <w:color w:val="212121"/>
                <w:sz w:val="16"/>
              </w:rPr>
              <w:t>Busy OPD and primary-care settings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Rapid screen</w:t>
            </w:r>
          </w:p>
        </w:tc>
        <w:tc>
          <w:tcPr>
            <w:tcW w:type="dxa" w:w="720"/>
            <w:vAlign w:val="top"/>
          </w:tcPr>
          <w:p>
            <w:pPr>
              <w:spacing w:after="40" w:before="0" w:line="259" w:lineRule="auto"/>
            </w:pPr>
            <w:r>
              <w:rPr>
                <w:rFonts w:ascii="Calibri" w:hAnsi="Calibri"/>
                <w:b w:val="0"/>
                <w:i w:val="0"/>
                <w:color w:val="212121"/>
                <w:sz w:val="16"/>
              </w:rPr>
              <w:t>Insensitive for early hazardous drinking; pair with quantity questions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Withdrawal &amp; complication history</w:t>
            </w:r>
          </w:p>
        </w:tc>
        <w:tc>
          <w:tcPr>
            <w:tcW w:type="dxa" w:w="979"/>
            <w:vAlign w:val="top"/>
          </w:tcPr>
          <w:p>
            <w:pPr>
              <w:spacing w:after="40" w:before="0" w:line="259" w:lineRule="auto"/>
            </w:pPr>
            <w:r>
              <w:rPr>
                <w:rFonts w:ascii="Calibri" w:hAnsi="Calibri"/>
                <w:b w:val="0"/>
                <w:i w:val="0"/>
                <w:color w:val="212121"/>
                <w:sz w:val="16"/>
              </w:rPr>
              <w:t>Morning tremor/sweats, seizures, blackouts, delirium episodes, injuries, absenteeism</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Marks physiological dependence; predicts severe withdrawal requiring supervised detoxification</w:t>
            </w:r>
          </w:p>
        </w:tc>
        <w:tc>
          <w:tcPr>
            <w:tcW w:type="dxa" w:w="1036"/>
            <w:vAlign w:val="top"/>
          </w:tcPr>
          <w:p>
            <w:pPr>
              <w:spacing w:after="40" w:before="0" w:line="259" w:lineRule="auto"/>
            </w:pPr>
            <w:r>
              <w:rPr>
                <w:rFonts w:ascii="Calibri" w:hAnsi="Calibri"/>
                <w:b w:val="0"/>
                <w:i w:val="0"/>
                <w:color w:val="212121"/>
                <w:sz w:val="16"/>
              </w:rPr>
              <w:t>Dependent drinkers, pre-operative patients</w:t>
            </w:r>
          </w:p>
        </w:tc>
        <w:tc>
          <w:tcPr>
            <w:tcW w:type="dxa" w:w="720"/>
            <w:vAlign w:val="top"/>
          </w:tcPr>
          <w:p>
            <w:pPr>
              <w:spacing w:after="40" w:before="0" w:line="259" w:lineRule="auto"/>
            </w:pPr>
            <w:r>
              <w:rPr>
                <w:rFonts w:ascii="Calibri" w:hAnsi="Calibri"/>
                <w:b w:val="0"/>
                <w:i w:val="0"/>
                <w:color w:val="212121"/>
                <w:sz w:val="16"/>
              </w:rPr>
              <w:t>Alcohol; 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Grade active withdrawal with CIWA-Ar score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General &amp; abdominal examination</w:t>
            </w:r>
          </w:p>
        </w:tc>
        <w:tc>
          <w:tcPr>
            <w:tcW w:type="dxa" w:w="979"/>
            <w:vAlign w:val="top"/>
          </w:tcPr>
          <w:p>
            <w:pPr>
              <w:spacing w:after="40" w:before="0" w:line="259" w:lineRule="auto"/>
            </w:pPr>
            <w:r>
              <w:rPr>
                <w:rFonts w:ascii="Calibri" w:hAnsi="Calibri"/>
                <w:b w:val="0"/>
                <w:i w:val="0"/>
                <w:color w:val="212121"/>
                <w:sz w:val="16"/>
              </w:rPr>
              <w:t>Alcohol odour, tremor, parotid swelling, blood pressure, hepatomegaly, stigmata of chronic liver disease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Spider naevi, palmar erythema, gynecomastia, firm liver, ascites</w:t>
            </w:r>
          </w:p>
        </w:tc>
        <w:tc>
          <w:tcPr>
            <w:tcW w:type="dxa" w:w="1036"/>
            <w:vAlign w:val="top"/>
          </w:tcPr>
          <w:p>
            <w:pPr>
              <w:spacing w:after="40" w:before="0" w:line="259" w:lineRule="auto"/>
            </w:pPr>
            <w:r>
              <w:rPr>
                <w:rFonts w:ascii="Calibri" w:hAnsi="Calibri"/>
                <w:b w:val="0"/>
                <w:i w:val="0"/>
                <w:color w:val="212121"/>
                <w:sz w:val="16"/>
              </w:rPr>
              <w:t>Points to established alcohol-related organ damage</w:t>
            </w:r>
          </w:p>
        </w:tc>
        <w:tc>
          <w:tcPr>
            <w:tcW w:type="dxa" w:w="1036"/>
            <w:vAlign w:val="top"/>
          </w:tcPr>
          <w:p>
            <w:pPr>
              <w:spacing w:after="40" w:before="0" w:line="259" w:lineRule="auto"/>
            </w:pPr>
            <w:r>
              <w:rPr>
                <w:rFonts w:ascii="Calibri" w:hAnsi="Calibri"/>
                <w:b w:val="0"/>
                <w:i w:val="0"/>
                <w:color w:val="212121"/>
                <w:sz w:val="16"/>
              </w:rPr>
              <w:t>Chronic heavy drinkers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 (supportive)</w:t>
            </w:r>
          </w:p>
        </w:tc>
        <w:tc>
          <w:tcPr>
            <w:tcW w:type="dxa" w:w="720"/>
            <w:vAlign w:val="top"/>
          </w:tcPr>
          <w:p>
            <w:pPr>
              <w:spacing w:after="40" w:before="0" w:line="259" w:lineRule="auto"/>
            </w:pPr>
            <w:r>
              <w:rPr>
                <w:rFonts w:ascii="Calibri" w:hAnsi="Calibri"/>
                <w:b w:val="0"/>
                <w:i w:val="0"/>
                <w:color w:val="212121"/>
                <w:sz w:val="16"/>
              </w:rPr>
              <w:t>Check BP — alcohol is a common reversible cause of resistant hypertension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 &amp; neurological exam</w:t>
            </w:r>
          </w:p>
        </w:tc>
        <w:tc>
          <w:tcPr>
            <w:tcW w:type="dxa" w:w="950"/>
            <w:vAlign w:val="top"/>
          </w:tcPr>
          <w:p>
            <w:pPr>
              <w:spacing w:after="40" w:before="0" w:line="259" w:lineRule="auto"/>
            </w:pPr>
            <w:r>
              <w:rPr>
                <w:rFonts w:ascii="Calibri" w:hAnsi="Calibri"/>
                <w:b w:val="0"/>
                <w:i w:val="0"/>
                <w:color w:val="212121"/>
                <w:sz w:val="16"/>
              </w:rPr>
              <w:t>Cognition, mood, cerebellar &amp; nerve function</w:t>
            </w:r>
          </w:p>
        </w:tc>
        <w:tc>
          <w:tcPr>
            <w:tcW w:type="dxa" w:w="979"/>
            <w:vAlign w:val="top"/>
          </w:tcPr>
          <w:p>
            <w:pPr>
              <w:spacing w:after="40" w:before="0" w:line="259" w:lineRule="auto"/>
            </w:pPr>
            <w:r>
              <w:rPr>
                <w:rFonts w:ascii="Calibri" w:hAnsi="Calibri"/>
                <w:b w:val="0"/>
                <w:i w:val="0"/>
                <w:color w:val="212121"/>
                <w:sz w:val="16"/>
              </w:rPr>
              <w:t>Orientation, memory, mood/suicidality, nystagmus, ataxia, distal sensation</w:t>
            </w:r>
          </w:p>
        </w:tc>
        <w:tc>
          <w:tcPr>
            <w:tcW w:type="dxa" w:w="950"/>
            <w:vAlign w:val="top"/>
          </w:tcPr>
          <w:p>
            <w:pPr>
              <w:spacing w:after="40" w:before="0" w:line="259" w:lineRule="auto"/>
            </w:pPr>
            <w:r>
              <w:rPr>
                <w:rFonts w:ascii="Calibri" w:hAnsi="Calibri"/>
                <w:b w:val="0"/>
                <w:i w:val="0"/>
                <w:color w:val="212121"/>
                <w:sz w:val="16"/>
              </w:rPr>
              <w:t>Intact</w:t>
            </w:r>
          </w:p>
        </w:tc>
        <w:tc>
          <w:tcPr>
            <w:tcW w:type="dxa" w:w="950"/>
            <w:vAlign w:val="top"/>
          </w:tcPr>
          <w:p>
            <w:pPr>
              <w:spacing w:after="40" w:before="0" w:line="259" w:lineRule="auto"/>
            </w:pPr>
            <w:r>
              <w:rPr>
                <w:rFonts w:ascii="Calibri" w:hAnsi="Calibri"/>
                <w:b w:val="0"/>
                <w:i w:val="0"/>
                <w:color w:val="212121"/>
                <w:sz w:val="16"/>
              </w:rPr>
              <w:t>Confusion + ophthalmoplegia + ataxia (Wernicke); confabulation (Korsakoff); glove-and-stocking sensory loss</w:t>
            </w:r>
          </w:p>
        </w:tc>
        <w:tc>
          <w:tcPr>
            <w:tcW w:type="dxa" w:w="1036"/>
            <w:vAlign w:val="top"/>
          </w:tcPr>
          <w:p>
            <w:pPr>
              <w:spacing w:after="40" w:before="0" w:line="259" w:lineRule="auto"/>
            </w:pPr>
            <w:r>
              <w:rPr>
                <w:rFonts w:ascii="Calibri" w:hAnsi="Calibri"/>
                <w:b w:val="0"/>
                <w:i w:val="0"/>
                <w:color w:val="212121"/>
                <w:sz w:val="16"/>
              </w:rPr>
              <w:t>Detects thiamine-deficiency emergencies, alcohol-related brain damage and comorbid depression</w:t>
            </w:r>
          </w:p>
        </w:tc>
        <w:tc>
          <w:tcPr>
            <w:tcW w:type="dxa" w:w="1036"/>
            <w:vAlign w:val="top"/>
          </w:tcPr>
          <w:p>
            <w:pPr>
              <w:spacing w:after="40" w:before="0" w:line="259" w:lineRule="auto"/>
            </w:pPr>
            <w:r>
              <w:rPr>
                <w:rFonts w:ascii="Calibri" w:hAnsi="Calibri"/>
                <w:b w:val="0"/>
                <w:i w:val="0"/>
                <w:color w:val="212121"/>
                <w:sz w:val="16"/>
              </w:rPr>
              <w:t>Malnourished dependent drinkers, elderly drinkers</w:t>
            </w:r>
          </w:p>
        </w:tc>
        <w:tc>
          <w:tcPr>
            <w:tcW w:type="dxa" w:w="720"/>
            <w:vAlign w:val="top"/>
          </w:tcPr>
          <w:p>
            <w:pPr>
              <w:spacing w:after="40" w:before="0" w:line="259" w:lineRule="auto"/>
            </w:pPr>
            <w:r>
              <w:rPr>
                <w:rFonts w:ascii="Calibri" w:hAnsi="Calibri"/>
                <w:b w:val="0"/>
                <w:i w:val="0"/>
                <w:color w:val="212121"/>
                <w:sz w:val="16"/>
              </w:rPr>
              <w:t>Food; Alcohol; Mental health</w:t>
            </w:r>
          </w:p>
        </w:tc>
        <w:tc>
          <w:tcPr>
            <w:tcW w:type="dxa" w:w="720"/>
            <w:vAlign w:val="top"/>
          </w:tcPr>
          <w:p>
            <w:pPr>
              <w:spacing w:after="40" w:before="0" w:line="259" w:lineRule="auto"/>
            </w:pPr>
            <w:r>
              <w:rPr>
                <w:rFonts w:ascii="Calibri" w:hAnsi="Calibri"/>
                <w:b w:val="0"/>
                <w:i w:val="0"/>
                <w:color w:val="212121"/>
                <w:sz w:val="16"/>
              </w:rPr>
              <w:t>Emergency detection</w:t>
            </w:r>
          </w:p>
        </w:tc>
        <w:tc>
          <w:tcPr>
            <w:tcW w:type="dxa" w:w="720"/>
            <w:vAlign w:val="top"/>
          </w:tcPr>
          <w:p>
            <w:pPr>
              <w:spacing w:after="40" w:before="0" w:line="259" w:lineRule="auto"/>
            </w:pPr>
            <w:r>
              <w:rPr>
                <w:rFonts w:ascii="Calibri" w:hAnsi="Calibri"/>
                <w:b w:val="0"/>
                <w:i w:val="0"/>
                <w:color w:val="212121"/>
                <w:sz w:val="16"/>
              </w:rPr>
              <w:t>Treat suspected Wernicke immediately with parenteral thiamine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Craving / strong urge to drink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Central feature of dependence; cue-triggered by stress, drinking company, festivals and paydays.</w:t>
            </w:r>
          </w:p>
        </w:tc>
      </w:tr>
      <w:tr>
        <w:trPr>
          <w:cantSplit/>
        </w:trPr>
        <w:tc>
          <w:tcPr>
            <w:tcW w:type="dxa" w:w="2304"/>
            <w:vAlign w:val="top"/>
          </w:tcPr>
          <w:p>
            <w:pPr>
              <w:spacing w:after="40" w:before="0" w:line="259" w:lineRule="auto"/>
            </w:pPr>
            <w:r>
              <w:rPr>
                <w:rFonts w:ascii="Calibri" w:hAnsi="Calibri"/>
                <w:b/>
                <w:i w:val="0"/>
                <w:color w:val="212121"/>
                <w:sz w:val="19"/>
              </w:rPr>
              <w:t>Loss of control over amount or timing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Drinking more or longer than intended; repeated failed attempts to cut down.</w:t>
            </w:r>
          </w:p>
        </w:tc>
      </w:tr>
      <w:tr>
        <w:trPr>
          <w:cantSplit/>
        </w:trPr>
        <w:tc>
          <w:tcPr>
            <w:tcW w:type="dxa" w:w="2304"/>
            <w:vAlign w:val="top"/>
          </w:tcPr>
          <w:p>
            <w:pPr>
              <w:spacing w:after="40" w:before="0" w:line="259" w:lineRule="auto"/>
            </w:pPr>
            <w:r>
              <w:rPr>
                <w:rFonts w:ascii="Calibri" w:hAnsi="Calibri"/>
                <w:b/>
                <w:i w:val="0"/>
                <w:color w:val="212121"/>
                <w:sz w:val="19"/>
              </w:rPr>
              <w:t>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Progressively larger amounts needed for the same effect — a core dependence criterion.</w:t>
            </w:r>
          </w:p>
        </w:tc>
      </w:tr>
      <w:tr>
        <w:trPr>
          <w:cantSplit/>
        </w:trPr>
        <w:tc>
          <w:tcPr>
            <w:tcW w:type="dxa" w:w="2304"/>
            <w:vAlign w:val="top"/>
          </w:tcPr>
          <w:p>
            <w:pPr>
              <w:spacing w:after="40" w:before="0" w:line="259" w:lineRule="auto"/>
            </w:pPr>
            <w:r>
              <w:rPr>
                <w:rFonts w:ascii="Calibri" w:hAnsi="Calibri"/>
                <w:b/>
                <w:i w:val="0"/>
                <w:color w:val="212121"/>
                <w:sz w:val="19"/>
              </w:rPr>
              <w:t>Morning shakiness and sweating relieved by drinking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withdrawal; 'eye-opener' drinking strongly signals physiological dependence.</w:t>
            </w:r>
          </w:p>
        </w:tc>
      </w:tr>
      <w:tr>
        <w:trPr>
          <w:cantSplit/>
        </w:trPr>
        <w:tc>
          <w:tcPr>
            <w:tcW w:type="dxa" w:w="2304"/>
            <w:vAlign w:val="top"/>
          </w:tcPr>
          <w:p>
            <w:pPr>
              <w:spacing w:after="40" w:before="0" w:line="259" w:lineRule="auto"/>
            </w:pPr>
            <w:r>
              <w:rPr>
                <w:rFonts w:ascii="Calibri" w:hAnsi="Calibri"/>
                <w:b/>
                <w:i w:val="0"/>
                <w:color w:val="212121"/>
                <w:sz w:val="19"/>
              </w:rPr>
              <w:t>Blackouts / memory lapses for drinking episodes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Anterograde amnesia after rapid high blood-alcohol peaks, typical of binge/spirits drinking.</w:t>
            </w:r>
          </w:p>
        </w:tc>
      </w:tr>
      <w:tr>
        <w:trPr>
          <w:cantSplit/>
        </w:trPr>
        <w:tc>
          <w:tcPr>
            <w:tcW w:type="dxa" w:w="2304"/>
            <w:vAlign w:val="top"/>
          </w:tcPr>
          <w:p>
            <w:pPr>
              <w:spacing w:after="40" w:before="0" w:line="259" w:lineRule="auto"/>
            </w:pPr>
            <w:r>
              <w:rPr>
                <w:rFonts w:ascii="Calibri" w:hAnsi="Calibri"/>
                <w:b/>
                <w:i w:val="0"/>
                <w:color w:val="212121"/>
                <w:sz w:val="19"/>
              </w:rPr>
              <w:t>Dyspepsia, nausea, morning retching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Alcohol-related gastritis and esophagitis; may herald GI bleeding.</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Fragmented sleep and early waking; nightcap use perpetuates the cycle and predicts relapse.</w:t>
            </w:r>
          </w:p>
        </w:tc>
      </w:tr>
      <w:tr>
        <w:trPr>
          <w:cantSplit/>
        </w:trPr>
        <w:tc>
          <w:tcPr>
            <w:tcW w:type="dxa" w:w="2304"/>
            <w:vAlign w:val="top"/>
          </w:tcPr>
          <w:p>
            <w:pPr>
              <w:spacing w:after="40" w:before="0" w:line="259" w:lineRule="auto"/>
            </w:pPr>
            <w:r>
              <w:rPr>
                <w:rFonts w:ascii="Calibri" w:hAnsi="Calibri"/>
                <w:b/>
                <w:i w:val="0"/>
                <w:color w:val="212121"/>
                <w:sz w:val="19"/>
              </w:rPr>
              <w:t>Low mood, irritability,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Alcohol is depressogenic; bidirectional with depression/anxiety and raises suicide risk.</w:t>
            </w:r>
          </w:p>
        </w:tc>
      </w:tr>
      <w:tr>
        <w:trPr>
          <w:cantSplit/>
        </w:trPr>
        <w:tc>
          <w:tcPr>
            <w:tcW w:type="dxa" w:w="2304"/>
            <w:vAlign w:val="top"/>
          </w:tcPr>
          <w:p>
            <w:pPr>
              <w:spacing w:after="40" w:before="0" w:line="259" w:lineRule="auto"/>
            </w:pPr>
            <w:r>
              <w:rPr>
                <w:rFonts w:ascii="Calibri" w:hAnsi="Calibri"/>
                <w:b/>
                <w:i w:val="0"/>
                <w:color w:val="212121"/>
                <w:sz w:val="19"/>
              </w:rPr>
              <w:t>Neglect of work, family and finances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Salience of drinking over duties — absenteeism, debts, interpersonal violence.</w:t>
            </w:r>
          </w:p>
        </w:tc>
      </w:tr>
      <w:tr>
        <w:trPr>
          <w:cantSplit/>
        </w:trPr>
        <w:tc>
          <w:tcPr>
            <w:tcW w:type="dxa" w:w="2304"/>
            <w:vAlign w:val="top"/>
          </w:tcPr>
          <w:p>
            <w:pPr>
              <w:spacing w:after="40" w:before="0" w:line="259" w:lineRule="auto"/>
            </w:pPr>
            <w:r>
              <w:rPr>
                <w:rFonts w:ascii="Calibri" w:hAnsi="Calibri"/>
                <w:b/>
                <w:i w:val="0"/>
                <w:color w:val="212121"/>
                <w:sz w:val="19"/>
              </w:rPr>
              <w:t>Repeated falls and injuries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Intoxication-related accidents, assaults and burns; consider alcohol in any recurrent-trauma patient.</w:t>
            </w:r>
          </w:p>
        </w:tc>
      </w:tr>
      <w:tr>
        <w:trPr>
          <w:cantSplit/>
        </w:trPr>
        <w:tc>
          <w:tcPr>
            <w:tcW w:type="dxa" w:w="2304"/>
            <w:vAlign w:val="top"/>
          </w:tcPr>
          <w:p>
            <w:pPr>
              <w:spacing w:after="40" w:before="0" w:line="259" w:lineRule="auto"/>
            </w:pPr>
            <w:r>
              <w:rPr>
                <w:rFonts w:ascii="Calibri" w:hAnsi="Calibri"/>
                <w:b/>
                <w:i w:val="0"/>
                <w:color w:val="212121"/>
                <w:sz w:val="19"/>
              </w:rPr>
              <w:t>Withdrawal seizures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Generalized tonic–clonic seizures 12–48 h after stopping/reducing in dependent drinkers.</w:t>
            </w:r>
          </w:p>
        </w:tc>
      </w:tr>
      <w:tr>
        <w:trPr>
          <w:cantSplit/>
        </w:trPr>
        <w:tc>
          <w:tcPr>
            <w:tcW w:type="dxa" w:w="2304"/>
            <w:vAlign w:val="top"/>
          </w:tcPr>
          <w:p>
            <w:pPr>
              <w:spacing w:after="40" w:before="0" w:line="259" w:lineRule="auto"/>
            </w:pPr>
            <w:r>
              <w:rPr>
                <w:rFonts w:ascii="Calibri" w:hAnsi="Calibri"/>
                <w:b/>
                <w:i w:val="0"/>
                <w:color w:val="212121"/>
                <w:sz w:val="19"/>
              </w:rPr>
              <w:t>Acute confusion with visual hallucinations (delirium tremens)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48–96 h after cessation; fever, autonomic storm — a medical emergency with significant mortality if untreated.</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Odour of alcohol, slurred speech, unsteady gait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Acute intoxication; document BAC and injury screen.</w:t>
            </w:r>
          </w:p>
        </w:tc>
      </w:tr>
      <w:tr>
        <w:trPr>
          <w:cantSplit/>
        </w:trPr>
        <w:tc>
          <w:tcPr>
            <w:tcW w:type="dxa" w:w="3456"/>
            <w:vAlign w:val="top"/>
          </w:tcPr>
          <w:p>
            <w:pPr>
              <w:spacing w:after="40" w:before="0" w:line="259" w:lineRule="auto"/>
            </w:pPr>
            <w:r>
              <w:rPr>
                <w:rFonts w:ascii="Calibri" w:hAnsi="Calibri"/>
                <w:b/>
                <w:i w:val="0"/>
                <w:color w:val="212121"/>
                <w:sz w:val="19"/>
              </w:rPr>
              <w:t>Fine tremor of outstretched hands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Early withdrawal or chronic heavy use; worsens through the morning until the first drink.</w:t>
            </w:r>
          </w:p>
        </w:tc>
      </w:tr>
      <w:tr>
        <w:trPr>
          <w:cantSplit/>
        </w:trPr>
        <w:tc>
          <w:tcPr>
            <w:tcW w:type="dxa" w:w="3456"/>
            <w:vAlign w:val="top"/>
          </w:tcPr>
          <w:p>
            <w:pPr>
              <w:spacing w:after="40" w:before="0" w:line="259" w:lineRule="auto"/>
            </w:pPr>
            <w:r>
              <w:rPr>
                <w:rFonts w:ascii="Calibri" w:hAnsi="Calibri"/>
                <w:b/>
                <w:i w:val="0"/>
                <w:color w:val="212121"/>
                <w:sz w:val="19"/>
              </w:rPr>
              <w:t>Tachycardia and raised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Withdrawal autonomic overactivity; chronic use itself elevates BP dose-dependently.</w:t>
            </w:r>
          </w:p>
        </w:tc>
      </w:tr>
      <w:tr>
        <w:trPr>
          <w:cantSplit/>
        </w:trPr>
        <w:tc>
          <w:tcPr>
            <w:tcW w:type="dxa" w:w="3456"/>
            <w:vAlign w:val="top"/>
          </w:tcPr>
          <w:p>
            <w:pPr>
              <w:spacing w:after="40" w:before="0" w:line="259" w:lineRule="auto"/>
            </w:pPr>
            <w:r>
              <w:rPr>
                <w:rFonts w:ascii="Calibri" w:hAnsi="Calibri"/>
                <w:b/>
                <w:i w:val="0"/>
                <w:color w:val="212121"/>
                <w:sz w:val="19"/>
              </w:rPr>
              <w:t>Hepatomegaly (soft/firm, tender in hepatitis)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Fatty liver or alcoholic hepatitis; shrunken nodular liver in cirrhosis.</w:t>
            </w:r>
          </w:p>
        </w:tc>
      </w:tr>
      <w:tr>
        <w:trPr>
          <w:cantSplit/>
        </w:trPr>
        <w:tc>
          <w:tcPr>
            <w:tcW w:type="dxa" w:w="3456"/>
            <w:vAlign w:val="top"/>
          </w:tcPr>
          <w:p>
            <w:pPr>
              <w:spacing w:after="40" w:before="0" w:line="259" w:lineRule="auto"/>
            </w:pPr>
            <w:r>
              <w:rPr>
                <w:rFonts w:ascii="Calibri" w:hAnsi="Calibri"/>
                <w:b/>
                <w:i w:val="0"/>
                <w:color w:val="212121"/>
                <w:sz w:val="19"/>
              </w:rPr>
              <w:t>Stigmata of chronic liver disease (spider naevi, palmar erythema, gynecomastia)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Established alcoholic cirrhosis with altered estrogen metabolism.</w:t>
            </w:r>
          </w:p>
        </w:tc>
      </w:tr>
      <w:tr>
        <w:trPr>
          <w:cantSplit/>
        </w:trPr>
        <w:tc>
          <w:tcPr>
            <w:tcW w:type="dxa" w:w="3456"/>
            <w:vAlign w:val="top"/>
          </w:tcPr>
          <w:p>
            <w:pPr>
              <w:spacing w:after="40" w:before="0" w:line="259" w:lineRule="auto"/>
            </w:pPr>
            <w:r>
              <w:rPr>
                <w:rFonts w:ascii="Calibri" w:hAnsi="Calibri"/>
                <w:b/>
                <w:i w:val="0"/>
                <w:color w:val="212121"/>
                <w:sz w:val="19"/>
              </w:rPr>
              <w:t>Bilateral parotid enlargement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Sialoadenosis of chronic alcohol use — a useful bedside clue.</w:t>
            </w:r>
          </w:p>
        </w:tc>
      </w:tr>
      <w:tr>
        <w:trPr>
          <w:cantSplit/>
        </w:trPr>
        <w:tc>
          <w:tcPr>
            <w:tcW w:type="dxa" w:w="3456"/>
            <w:vAlign w:val="top"/>
          </w:tcPr>
          <w:p>
            <w:pPr>
              <w:spacing w:after="40" w:before="0" w:line="259" w:lineRule="auto"/>
            </w:pPr>
            <w:r>
              <w:rPr>
                <w:rFonts w:ascii="Calibri" w:hAnsi="Calibri"/>
                <w:b/>
                <w:i w:val="0"/>
                <w:color w:val="212121"/>
                <w:sz w:val="19"/>
              </w:rPr>
              <w:t>Dupuytren's contracture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Palmar fascial thickening associated with chronic heavy drinking.</w:t>
            </w:r>
          </w:p>
        </w:tc>
      </w:tr>
      <w:tr>
        <w:trPr>
          <w:cantSplit/>
        </w:trPr>
        <w:tc>
          <w:tcPr>
            <w:tcW w:type="dxa" w:w="3456"/>
            <w:vAlign w:val="top"/>
          </w:tcPr>
          <w:p>
            <w:pPr>
              <w:spacing w:after="40" w:before="0" w:line="259" w:lineRule="auto"/>
            </w:pPr>
            <w:r>
              <w:rPr>
                <w:rFonts w:ascii="Calibri" w:hAnsi="Calibri"/>
                <w:b/>
                <w:i w:val="0"/>
                <w:color w:val="212121"/>
                <w:sz w:val="19"/>
              </w:rPr>
              <w:t>Glove-and-stocking sensory loss, absent ankle jerks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Alcohol-plus-thiamine-deficiency peripheral neuropathy.</w:t>
            </w:r>
          </w:p>
        </w:tc>
      </w:tr>
      <w:tr>
        <w:trPr>
          <w:cantSplit/>
        </w:trPr>
        <w:tc>
          <w:tcPr>
            <w:tcW w:type="dxa" w:w="3456"/>
            <w:vAlign w:val="top"/>
          </w:tcPr>
          <w:p>
            <w:pPr>
              <w:spacing w:after="40" w:before="0" w:line="259" w:lineRule="auto"/>
            </w:pPr>
            <w:r>
              <w:rPr>
                <w:rFonts w:ascii="Calibri" w:hAnsi="Calibri"/>
                <w:b/>
                <w:i w:val="0"/>
                <w:color w:val="212121"/>
                <w:sz w:val="19"/>
              </w:rPr>
              <w:t>Nystagmus, ophthalmoplegia, ataxia (Wernicke triad)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Thiamine-deficiency emergency — give parenteral thiamine before any glucose.</w:t>
            </w:r>
          </w:p>
        </w:tc>
      </w:tr>
      <w:tr>
        <w:trPr>
          <w:cantSplit/>
        </w:trPr>
        <w:tc>
          <w:tcPr>
            <w:tcW w:type="dxa" w:w="3456"/>
            <w:vAlign w:val="top"/>
          </w:tcPr>
          <w:p>
            <w:pPr>
              <w:spacing w:after="40" w:before="0" w:line="259" w:lineRule="auto"/>
            </w:pPr>
            <w:r>
              <w:rPr>
                <w:rFonts w:ascii="Calibri" w:hAnsi="Calibri"/>
                <w:b/>
                <w:i w:val="0"/>
                <w:color w:val="212121"/>
                <w:sz w:val="19"/>
              </w:rPr>
              <w:t>Jaundice, ascites, asterixis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Decompensated alcoholic cirrhosis with hepatic encephalopathy.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intoxication &amp; alcohol poisoning (respiratory depression,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Hypoglycemia and electrolyte derangement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Injuries: road-traffic accidents, falls, burns, violence, drowning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gastritis and Mallory–Weiss bleeding; acute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Methanol poisoning from illicit liquor (blindness,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withdrawal syndrome: tremor, seizures, delirium tremens</w:t>
            </w:r>
          </w:p>
        </w:tc>
        <w:tc>
          <w:tcPr>
            <w:tcW w:type="dxa" w:w="2980"/>
            <w:vAlign w:val="top"/>
          </w:tcPr>
          <w:p>
            <w:pPr>
              <w:spacing w:after="40" w:before="0" w:line="259" w:lineRule="auto"/>
            </w:pPr>
            <w:r>
              <w:rPr>
                <w:rFonts w:ascii="Calibri" w:hAnsi="Calibri"/>
                <w:b w:val="0"/>
                <w:i w:val="0"/>
                <w:color w:val="212121"/>
                <w:sz w:val="19"/>
              </w:rPr>
              <w:t>Immediate, dose-related harms of drinking episodes and of abrupt cessation in dependent users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Alcoholic liver disease: steatosis → alcoholic hepatitis →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pancreatitis; gastritis and peptic ulcer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Hypertension, alcoholic cardiomyopathy, atrial fibrillation ('holiday heart'), hemorrhagic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Cancers: oral cavity, pharynx, larynx, esophagus, liver, colorectum and female breast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Tuberculosis and pneumonia susceptibility; poorer treatment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neuropathy, myopathy, cognitive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suicidality; sexual dysfunction and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Fetal alcohol spectrum disorders with drinking in pregnancy</w:t>
            </w:r>
          </w:p>
        </w:tc>
        <w:tc>
          <w:tcPr>
            <w:tcW w:type="dxa" w:w="2980"/>
            <w:vAlign w:val="top"/>
          </w:tcPr>
          <w:p>
            <w:pPr>
              <w:spacing w:after="40" w:before="0" w:line="259" w:lineRule="auto"/>
            </w:pPr>
            <w:r>
              <w:rPr>
                <w:rFonts w:ascii="Calibri" w:hAnsi="Calibri"/>
                <w:b w:val="0"/>
                <w:i w:val="0"/>
                <w:color w:val="212121"/>
                <w:sz w:val="19"/>
              </w:rPr>
              <w:t>Organ and psychosocial damage of sustained exposure — alcohol is causally linked to 200+ conditions (WHO)</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 variceal bleeding, refractory ascites, hepatic encephalopathy; hepatocellular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Wernicke–Korsakoff syndrome and alcohol-related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chronic pancreatitis: brittle diabetes, malabsorption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disability from injuries and burns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Destitution, family breakdown, job loss and social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 India records ~38.5 alcohol-attributable deaths per 100,000 population</w:t>
            </w:r>
          </w:p>
        </w:tc>
        <w:tc>
          <w:tcPr>
            <w:tcW w:type="dxa" w:w="2980"/>
            <w:vAlign w:val="top"/>
          </w:tcPr>
          <w:p>
            <w:pPr>
              <w:spacing w:after="40" w:before="0" w:line="259" w:lineRule="auto"/>
            </w:pPr>
            <w:r>
              <w:rPr>
                <w:rFonts w:ascii="Calibri" w:hAnsi="Calibri"/>
                <w:b w:val="0"/>
                <w:i w:val="0"/>
                <w:color w:val="212121"/>
                <w:sz w:val="19"/>
              </w:rPr>
              <w:t>Irreversible end-stage outcomes of longstanding harmful use and dependence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Alcoholic liver disease &amp; cirrhosis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Spectrum from fatty liver to hepatitis, cirrhosis and hepatocellular carcinoma; the leading alcohol harm seen in Indian hospitals.</w:t>
            </w:r>
          </w:p>
          <w:p>
            <w:pPr>
              <w:spacing w:after="40" w:before="0" w:line="259" w:lineRule="auto"/>
            </w:pPr>
            <w:r>
              <w:rPr>
                <w:rFonts w:ascii="Calibri" w:hAnsi="Calibri"/>
                <w:b/>
                <w:i w:val="0"/>
                <w:color w:val="212121"/>
                <w:sz w:val="19"/>
              </w:rPr>
              <w:t>Up to 72.2% of cirrhosis (NE-India series)</w:t>
            </w:r>
          </w:p>
        </w:tc>
      </w:tr>
      <w:tr>
        <w:trPr>
          <w:cantSplit/>
        </w:trPr>
        <w:tc>
          <w:tcPr>
            <w:tcW w:type="dxa" w:w="2232"/>
            <w:vAlign w:val="top"/>
          </w:tcPr>
          <w:p>
            <w:pPr>
              <w:spacing w:after="40" w:before="0" w:line="259" w:lineRule="auto"/>
            </w:pPr>
            <w:r>
              <w:rPr>
                <w:rFonts w:ascii="Calibri" w:hAnsi="Calibri"/>
                <w:b/>
                <w:i w:val="0"/>
                <w:color w:val="212121"/>
                <w:sz w:val="19"/>
              </w:rPr>
              <w:t>Depression &amp; 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Self-medication and the depressogenic effect of ethanol reinforce each other; comorbidity raises suicide risk and relapse — treat both together.</w:t>
            </w:r>
          </w:p>
          <w:p>
            <w:pPr>
              <w:spacing w:after="40" w:before="0" w:line="259" w:lineRule="auto"/>
            </w:pPr>
            <w:r>
              <w:rPr>
                <w:rFonts w:ascii="Calibri" w:hAnsi="Calibri"/>
                <w:b/>
                <w:i w:val="0"/>
                <w:color w:val="212121"/>
                <w:sz w:val="19"/>
              </w:rPr>
              <w:t>~33%</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Immune impairment plus poor adherence worsen TB incidence, severity, relapse and mortality (RR 3.33 with alcohol-related problems).</w:t>
            </w:r>
          </w:p>
          <w:p>
            <w:pPr>
              <w:spacing w:after="40" w:before="0" w:line="259" w:lineRule="auto"/>
            </w:pPr>
            <w:r>
              <w:rPr>
                <w:rFonts w:ascii="Calibri" w:hAnsi="Calibri"/>
                <w:b/>
                <w:i w:val="0"/>
                <w:color w:val="212121"/>
                <w:sz w:val="19"/>
              </w:rPr>
              <w:t>~17% of incident TB attributable</w:t>
            </w:r>
          </w:p>
        </w:tc>
      </w:tr>
      <w:tr>
        <w:trPr>
          <w:cantSplit/>
        </w:trPr>
        <w:tc>
          <w:tcPr>
            <w:tcW w:type="dxa" w:w="2232"/>
            <w:vAlign w:val="top"/>
          </w:tcPr>
          <w:p>
            <w:pPr>
              <w:spacing w:after="40" w:before="0" w:line="259" w:lineRule="auto"/>
            </w:pPr>
            <w:r>
              <w:rPr>
                <w:rFonts w:ascii="Calibri" w:hAnsi="Calibri"/>
                <w:b/>
                <w:i w:val="0"/>
                <w:color w:val="212121"/>
                <w:sz w:val="19"/>
              </w:rPr>
              <w:t>Hypertension &amp; cardiovascular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Dose-related BP elevation, cardiomyopathy, atrial fibrillation and hemorrhagic stroke; WHO attributes ~474,000 CVD deaths a year to alcohol, and reducing intake lowers BP.</w:t>
            </w:r>
          </w:p>
        </w:tc>
      </w:tr>
      <w:tr>
        <w:trPr>
          <w:cantSplit/>
        </w:trPr>
        <w:tc>
          <w:tcPr>
            <w:tcW w:type="dxa" w:w="2232"/>
            <w:vAlign w:val="top"/>
          </w:tcPr>
          <w:p>
            <w:pPr>
              <w:spacing w:after="40" w:before="0" w:line="259" w:lineRule="auto"/>
            </w:pPr>
            <w:r>
              <w:rPr>
                <w:rFonts w:ascii="Calibri" w:hAnsi="Calibri"/>
                <w:b/>
                <w:i w:val="0"/>
                <w:color w:val="212121"/>
                <w:sz w:val="19"/>
              </w:rPr>
              <w:t>Cancers (oral cavity, pharynx, larynx, esophagus, liver, breast, colorectum)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Ethanol/acetaldehyde is an IARC Group 1 carcinogen; risk begins at light drinking and multiplies with tobacco co-use.</w:t>
            </w:r>
          </w:p>
          <w:p>
            <w:pPr>
              <w:spacing w:after="40" w:before="0" w:line="259" w:lineRule="auto"/>
            </w:pPr>
            <w:r>
              <w:rPr>
                <w:rFonts w:ascii="Calibri" w:hAnsi="Calibri"/>
                <w:b/>
                <w:i w:val="0"/>
                <w:color w:val="212121"/>
                <w:sz w:val="19"/>
              </w:rPr>
              <w:t>4.4% of cancers globally</w:t>
            </w:r>
          </w:p>
        </w:tc>
      </w:tr>
      <w:tr>
        <w:trPr>
          <w:cantSplit/>
        </w:trPr>
        <w:tc>
          <w:tcPr>
            <w:tcW w:type="dxa" w:w="2232"/>
            <w:vAlign w:val="top"/>
          </w:tcPr>
          <w:p>
            <w:pPr>
              <w:spacing w:after="40" w:before="0" w:line="259" w:lineRule="auto"/>
            </w:pPr>
            <w:r>
              <w:rPr>
                <w:rFonts w:ascii="Calibri" w:hAnsi="Calibri"/>
                <w:b/>
                <w:i w:val="0"/>
                <w:color w:val="212121"/>
                <w:sz w:val="19"/>
              </w:rPr>
              <w:t>Nicotine / tobacco dependence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Strong co-dependence with cross-cueing that undermines cessation of either substance; joint counselling and pharmacotherapy advised.</w:t>
            </w:r>
          </w:p>
        </w:tc>
      </w:tr>
      <w:tr>
        <w:trPr>
          <w:cantSplit/>
        </w:trPr>
        <w:tc>
          <w:tcPr>
            <w:tcW w:type="dxa" w:w="2232"/>
            <w:vAlign w:val="top"/>
          </w:tcPr>
          <w:p>
            <w:pPr>
              <w:spacing w:after="40" w:before="0" w:line="259" w:lineRule="auto"/>
            </w:pPr>
            <w:r>
              <w:rPr>
                <w:rFonts w:ascii="Calibri" w:hAnsi="Calibri"/>
                <w:b/>
                <w:i w:val="0"/>
                <w:color w:val="212121"/>
                <w:sz w:val="19"/>
              </w:rPr>
              <w:t>Acute &amp; chronic pancreatitis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Alcohol is the leading cause of pancreatitis in Indian men; continued drinking drives recurrent attacks and exocrine/endocrine failure.</w:t>
            </w:r>
          </w:p>
        </w:tc>
      </w:tr>
      <w:tr>
        <w:trPr>
          <w:cantSplit/>
        </w:trPr>
        <w:tc>
          <w:tcPr>
            <w:tcW w:type="dxa" w:w="2232"/>
            <w:vAlign w:val="top"/>
          </w:tcPr>
          <w:p>
            <w:pPr>
              <w:spacing w:after="40" w:before="0" w:line="259" w:lineRule="auto"/>
            </w:pPr>
            <w:r>
              <w:rPr>
                <w:rFonts w:ascii="Calibri" w:hAnsi="Calibri"/>
                <w:b/>
                <w:i w:val="0"/>
                <w:color w:val="212121"/>
                <w:sz w:val="19"/>
              </w:rPr>
              <w:t>Type 2 diabetes &amp; metabolic syndrome</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Heavy use worsens glycemia and triglycerides; alcohol precipitates hypoglycemia with insulin/sulfonylureas and raises lactic-acidosis risk with metformin.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Communicate clearly that no level of alcohol is 'safe' — health risk starts with the first drink, and alcohol is an IARC Group 1 carcinogen in the same category as tobacco and asbestos.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Counter common myths: on balance alcohol is not cardio-protective, does not 'aid digestion', 'give strength' or 'keep the body warm'.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standard-drink counting (one 30 ml peg of spirits ≈ 1 standard drink ≈ 10 g alcohol) so patients can self-quantify weekly intake honestly.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 initiation in adolescents — enforce minimum legal drinking age, school/college awareness and parental modelling; early onset predicts later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drink and drive: the Indian legal limit is 30 mg/100 ml blood alcohol (effectively zero tolerance) — plan sober transport before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Warn explicitly against illicit country 'hooch' — methanol contamination causes blindness and death.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college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High-prevalence states &amp; tribal regions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Drivers &amp; transport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drinkers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adult (especially men) opportunistically with AUDIT/AUDIT-C at OPD, NCD-clinic and health-check visits; deliver a WHO-style brief intervention (5–10 minutes, FRAMES approach) for scores of 8–19.</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not ready to abstain, set hard limits: at least 3–4 alcohol-free days weekly, never more than 2 drinks on a drinking day, and no binge episodes; keep no stock at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drink on an empty stomach; refuse rounds/'bottoms-up' pressure; alternate with water or soft drinks; pre-decide a drink limit before social events.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complete abstinence in pregnancy, adolescence, liver disease, TB treatment, driving, machine operation, and when using sedatives or opioids.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workplace policies and peer champions to de-normalize daily drinking in high-risk occupations (transport, construction, hospitality).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Hazardous drinkers (AUDIT 8–15)</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urban professionals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(zero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interacting medication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dependence, plan medically supervised withdrawal: benzodiazepine (chlordiazepoxide/lorazepam) tapering with parenteral thiamine given before any glucose; never advise abrupt unsupervised cessation in heavy 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relapse-prevention pharmacotherapy — naltrexone or acamprosate (or supervised disulfiram in motivated patients) — combined with structured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to de-addiction services: district de-addiction centres, DMHP clinics, and self-help groups such as Alcoholics Anonymous; involve the family in the treatment plan.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Actively close the treatment gap (only ~1 in 38 dependent Indians receives any treatment): recall defaulters and prepare written coping plans for triggers (paydays, festivals, drinking companions).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recovery objectively with GGT/CDT/MCV trends and repeat AUDIT; manage comorbid depression, TB and liver disease in parallel.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Alcohol-dependent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Harmful drinkers (AUDIT ≥ 16)</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prior withdrawal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seeking help</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 150 minutes/week of moderate aerobic activity (brisk walking, cycling, yoga) — improves mood, sleep and craving control in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Schedule exercise during former 'drinking hours' (typically evenings) to restructure routine and displace cues.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2–3 days/week of resistance training to rebuild alcohol-related muscle loss (myopathy) and restore appetite.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group-based activity (sports, community walks, yoga classes) to create sober social networks.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Hazardous drinkers cutting 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malnutrition with a high-protein balanced diet; routinely supplement thiamine (B1) in heavy drinkers — parenteral and before glucose whenever Wernicke is possible — plus folate and B12 as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never drinking on an empty stomach: food slows alcohol absorption and reduces gastritis.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Tailor diet to alcohol-related disease: low-fat meals in pancreatitis, sodium restriction in ascites, adequate calories/protein in alcoholic hepatitis.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fried, salted 'drinking snacks' with regular meals; treat reflux and gastritis that perpetuate discomfort-driven drinking.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Underweight/malnourished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ALD &amp; pancreatitis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dependent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using alcohol as a sleep aid — explain that it fragments sleep and worsens insomnia within weeks, creating a rebound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sleep hygiene and CBT-I (fixed wake time, wind-down routine, caffeine cutoff after noon, no screens late) during early abstinence when insomnia peaks.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2–6 weeks of disturbed sleep after quitting is expected; treat persistent insomnia to prevent relapse, avoiding benzodiazepine hypnotics beyond the detox period.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habitual snorers for obstructive sleep apnea — alcohol worsens snoring and apneic episodes.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Dependent drinkers in early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Nightcap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insomnia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drinkers with suspected OSA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tobacco and alcohol together — quitting both yields the largest reduction in cancer and cardiovascular risk; offer NRT/bupropion alongside alcohol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Map smoking as a drinking cue (and vice versa); plan simultaneous or closely sequenced quit dates with follow-up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on the multiplied oral and esophageal cancer risk of combined use, especially with smokeless tobacco/areca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tobacco-cessation clinics and the national quitline (1800-11-2356) as entry points for alcohol screening and brief intervention.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Drinkers who smoke or chew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Male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precancer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all harmful/dependent drinkers for depression, anxiety and suicidality (PHQ-9/GAD-7) and treat comorbidity concurrently — untreated depression predicts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motivational interviewing and CBT-based relapse prevention: craving-surfing, drink-refusal skills, and stress management (yoga, pranayama, mindfulness).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the family: address caregiver burden and intimate-partner violence linked to drinking — NFHS-5 data show husbands' alcohol use doubles wives' help-seeking for violence (19.9% vs 10.2%).</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to community support: AA/self-help groups, DMHP counsellors and Tele-MANAS (14416) for crisis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problem-solving therapy for financial/work stress and rehearse plans for high-risk situations (festivals, paydays, funerals, weddings).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facing alcohol-related violence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Stressed/bereaved drinkers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ib.gov.in/Pressreleaseshare.aspx?PRID=1565001" TargetMode="External"/><Relationship Id="rId10" Type="http://schemas.openxmlformats.org/officeDocument/2006/relationships/hyperlink" Target="https://www.who.int/news-room/fact-sheets/detail/alcohol" TargetMode="External"/><Relationship Id="rId11" Type="http://schemas.openxmlformats.org/officeDocument/2006/relationships/hyperlink" Target="https://theprint.in/india/only-1-of-women-drink-alcohol-compared-with-22-of-men-nfhs-5/945528/" TargetMode="External"/><Relationship Id="rId12" Type="http://schemas.openxmlformats.org/officeDocument/2006/relationships/hyperlink" Target="https://www.tribuneindia.com/news/india/who-drinks-the-most-arunachal-tops-national-chart-himachal-leads-north" TargetMode="External"/><Relationship Id="rId13" Type="http://schemas.openxmlformats.org/officeDocument/2006/relationships/hyperlink" Target="https://www.nature.com/articles/s41598-026-43509-5" TargetMode="External"/><Relationship Id="rId14" Type="http://schemas.openxmlformats.org/officeDocument/2006/relationships/hyperlink" Target="https://www.niaaa.nih.gov/alcohol-health/overview-alcohol-consumption/moderate-binge-drinking" TargetMode="External"/><Relationship Id="rId15" Type="http://schemas.openxmlformats.org/officeDocument/2006/relationships/hyperlink" Target="https://pubmed.ncbi.nlm.nih.gov/25171596/" TargetMode="External"/><Relationship Id="rId16" Type="http://schemas.openxmlformats.org/officeDocument/2006/relationships/hyperlink" Target="https://link.springer.com/article/10.1186/s43045-019-0010-y" TargetMode="External"/><Relationship Id="rId17" Type="http://schemas.openxmlformats.org/officeDocument/2006/relationships/hyperlink" Target="https://erj.ersjournals.com/content/50/1/1700216" TargetMode="External"/><Relationship Id="rId18" Type="http://schemas.openxmlformats.org/officeDocument/2006/relationships/hyperlink" Target="https://link.springer.com/article/10.1007/s12664-016-0651-2" TargetMode="External"/><Relationship Id="rId19" Type="http://schemas.openxmlformats.org/officeDocument/2006/relationships/hyperlink" Target="https://www.who.int/publications/i/item/WHO-MSD-MSB-01.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