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 w:after="60"/>
        <w:rPr/>
      </w:pPr>
      <w:r>
        <w:rPr/>
      </w:r>
    </w:p>
    <w:p>
      <w:pPr>
        <w:pStyle w:val="Normal"/>
        <w:spacing w:before="80" w:after="80"/>
        <w:jc w:val="center"/>
        <w:rPr/>
      </w:pPr>
      <w:r>
        <w:rPr>
          <w:rFonts w:eastAsia="Times New Roman" w:cs="Times New Roman"/>
          <w:b/>
          <w:bCs/>
          <w:sz w:val="30"/>
          <w:szCs w:val="30"/>
        </w:rPr>
        <w:t xml:space="preserve"> </w:t>
      </w:r>
      <w:r>
        <w:rPr>
          <w:rFonts w:eastAsia="Times New Roman" w:cs="Times New Roman"/>
          <w:b/>
          <w:bCs/>
          <w:sz w:val="30"/>
          <w:szCs w:val="30"/>
        </w:rPr>
        <w:t>Privacy-Preserving Citation-Grounded</w:t>
      </w:r>
    </w:p>
    <w:p>
      <w:pPr>
        <w:pStyle w:val="Normal"/>
        <w:spacing w:before="80" w:after="80"/>
        <w:jc w:val="center"/>
        <w:rPr/>
      </w:pPr>
      <w:r>
        <w:rPr>
          <w:rFonts w:eastAsia="Times New Roman" w:cs="Times New Roman"/>
          <w:b/>
          <w:bCs/>
          <w:sz w:val="30"/>
          <w:szCs w:val="30"/>
        </w:rPr>
        <w:t>Question Answering over Academic Papers</w:t>
      </w:r>
    </w:p>
    <w:p>
      <w:pPr>
        <w:pStyle w:val="Normal"/>
        <w:spacing w:before="80" w:after="80"/>
        <w:jc w:val="center"/>
        <w:rPr/>
      </w:pPr>
      <w:r>
        <w:rPr>
          <w:rFonts w:eastAsia="Times New Roman" w:cs="Times New Roman"/>
          <w:b/>
          <w:bCs/>
          <w:sz w:val="30"/>
          <w:szCs w:val="30"/>
        </w:rPr>
        <w:t>Using Self-Hosted Small Language Models</w:t>
      </w:r>
    </w:p>
    <w:p>
      <w:pPr>
        <w:pStyle w:val="Normal"/>
        <w:spacing w:before="60" w:after="60"/>
        <w:rPr/>
      </w:pPr>
      <w:r>
        <w:rPr/>
      </w:r>
    </w:p>
    <w:p>
      <w:pPr>
        <w:pStyle w:val="Normal"/>
        <w:spacing w:before="60" w:after="60"/>
        <w:jc w:val="center"/>
        <w:rPr/>
      </w:pPr>
      <w:r>
        <w:rPr>
          <w:rFonts w:eastAsia="Times New Roman" w:cs="Times New Roman"/>
          <w:sz w:val="20"/>
          <w:szCs w:val="20"/>
        </w:rPr>
        <w:t>CS505: Natural Language Processing  |  Final Project Proposal  |  Empirical Project</w:t>
      </w:r>
    </w:p>
    <w:p>
      <w:pPr>
        <w:pStyle w:val="Normal"/>
        <w:spacing w:before="60" w:after="60"/>
        <w:jc w:val="center"/>
        <w:rPr/>
      </w:pPr>
      <w:r>
        <w:rPr>
          <w:rFonts w:eastAsia="Times New Roman" w:cs="Times New Roman"/>
          <w:sz w:val="20"/>
          <w:szCs w:val="20"/>
        </w:rPr>
        <w:t>[Your Name(s)]  |  Boston University</w:t>
      </w:r>
    </w:p>
    <w:p>
      <w:pPr>
        <w:pStyle w:val="Normal"/>
        <w:spacing w:before="60" w:after="60"/>
        <w:rPr/>
      </w:pPr>
      <w:r>
        <w:rPr/>
      </w:r>
    </w:p>
    <w:p>
      <w:pPr>
        <w:pStyle w:val="Normal"/>
        <w:spacing w:before="120" w:after="60"/>
        <w:rPr/>
      </w:pPr>
      <w:r>
        <w:rPr>
          <w:rFonts w:eastAsia="Times New Roman" w:cs="Times New Roman"/>
          <w:b/>
          <w:bCs/>
          <w:color w:val="2E5FA3"/>
          <w:sz w:val="24"/>
          <w:szCs w:val="24"/>
        </w:rPr>
        <w:t>Abstract</w:t>
      </w:r>
    </w:p>
    <w:p>
      <w:pPr>
        <w:pStyle w:val="Normal"/>
        <w:spacing w:lineRule="auto" w:line="276" w:before="60" w:after="80"/>
        <w:ind w:start="720" w:end="720"/>
        <w:jc w:val="both"/>
        <w:rPr/>
      </w:pPr>
      <w:r>
        <w:rPr>
          <w:rFonts w:eastAsia="Times New Roman" w:cs="Times New Roman"/>
          <w:i w:val="false"/>
          <w:iCs w:val="false"/>
          <w:sz w:val="21"/>
          <w:szCs w:val="21"/>
        </w:rPr>
        <w:t>Tools like Google's NotebookLM have demonstrated the value of citation-grounded question answering over private document collections, but they require sending sensitive documents to third-party datacenters. This project proposes LocalScholar, a fully self-hosted retrieval-augmented generation (RAG) system built on sub-7B parameter small language models (SLMs) that answers questions over academic paper collections while keeping all data on-premise. The central research question is: how closely can a local SLM match a frontier model (GPT-4o) on citation faithfulness when retrieval quality is systematically improved? We conduct a controlled ablation study varying chunking strategy, retrieval pipeline (BM25, dense, hybrid), cross-encoder reranking, and citation-forcing prompts, and evaluate answer correctness, faithfulness to retrieved evidence, and citation quality using automated metrics and human annotation.</w:t>
      </w:r>
    </w:p>
    <w:p>
      <w:pPr>
        <w:pStyle w:val="Normal"/>
        <w:spacing w:before="60" w:after="60"/>
        <w:rPr/>
      </w:pPr>
      <w:r>
        <w:rPr/>
      </w:r>
    </w:p>
    <w:p>
      <w:pPr>
        <w:pStyle w:val="Heading1"/>
        <w:spacing w:before="280" w:after="120"/>
        <w:rPr/>
      </w:pPr>
      <w:r>
        <w:rPr>
          <w:rFonts w:eastAsia="Times New Roman" w:cs="Times New Roman" w:ascii="Times New Roman" w:hAnsi="Times New Roman"/>
          <w:b/>
          <w:bCs/>
          <w:sz w:val="28"/>
          <w:szCs w:val="28"/>
        </w:rPr>
        <w:t>1  Introduction</w:t>
      </w:r>
    </w:p>
    <w:p>
      <w:pPr>
        <w:pStyle w:val="Normal"/>
        <w:spacing w:lineRule="auto" w:line="276" w:before="80" w:after="80"/>
        <w:jc w:val="both"/>
        <w:rPr/>
      </w:pPr>
      <w:r>
        <w:rPr>
          <w:rFonts w:eastAsia="Times New Roman" w:cs="Times New Roman"/>
          <w:sz w:val="22"/>
          <w:szCs w:val="22"/>
        </w:rPr>
        <w:t>Researchers and practitioners increasingly want to ask natural-language questions over private collections of academic papers: "What evaluation metrics does this set of RAG papers use?" or "Which of these papers proposes a reranking step, and what did they find?" A trustworthy system must not only answer correctly, but must cite the exact passage that supports each claim, so the user can verify the answer without reading every document.</w:t>
      </w:r>
    </w:p>
    <w:p>
      <w:pPr>
        <w:pStyle w:val="Normal"/>
        <w:spacing w:before="60" w:after="60"/>
        <w:rPr/>
      </w:pPr>
      <w:r>
        <w:rPr/>
      </w:r>
    </w:p>
    <w:p>
      <w:pPr>
        <w:pStyle w:val="Normal"/>
        <w:spacing w:lineRule="auto" w:line="276" w:before="80" w:after="80"/>
        <w:jc w:val="both"/>
        <w:rPr/>
      </w:pPr>
      <w:r>
        <w:rPr>
          <w:rFonts w:eastAsia="Times New Roman" w:cs="Times New Roman"/>
          <w:sz w:val="22"/>
          <w:szCs w:val="22"/>
        </w:rPr>
        <w:t>Existing tools solve this problem well at frontier scale. Google's NotebookLM, for instance, grounds its answers in uploaded documents and provides inline citations with high fidelity. However, it requires transmitting the entire document corpus to Google's servers. For privacy-sensitive domains — clinical research, legal analysis, proprietary internal documentation — this is a hard constraint that rules out cloud-hosted solutions entirely.</w:t>
      </w:r>
    </w:p>
    <w:p>
      <w:pPr>
        <w:pStyle w:val="Normal"/>
        <w:spacing w:before="60" w:after="60"/>
        <w:rPr/>
      </w:pPr>
      <w:r>
        <w:rPr/>
      </w:r>
    </w:p>
    <w:p>
      <w:pPr>
        <w:pStyle w:val="Normal"/>
        <w:spacing w:lineRule="auto" w:line="276" w:before="80" w:after="80"/>
        <w:jc w:val="both"/>
        <w:rPr/>
      </w:pPr>
      <w:r>
        <w:rPr>
          <w:rFonts w:eastAsia="Times New Roman" w:cs="Times New Roman"/>
          <w:sz w:val="22"/>
          <w:szCs w:val="22"/>
        </w:rPr>
        <w:t>The natural alternative is to run a smaller, locally-hosted language model. Sub-7B parameter models such as Phi-3-mini-3.8B and Mistral-7B can run on a single consumer GPU or even a CPU-only machine. The open question is how much of the citation faithfulness gap between these small models and GPT-4o is attributable to the model itself, and how much is attributable to retrieval quality. If better chunking, hybrid retrieval, and reranking close most of the gap, then the privacy-preserving local deployment becomes practically viable.</w:t>
      </w:r>
    </w:p>
    <w:p>
      <w:pPr>
        <w:pStyle w:val="Normal"/>
        <w:spacing w:before="60" w:after="60"/>
        <w:rPr/>
      </w:pPr>
      <w:r>
        <w:rPr/>
      </w:r>
    </w:p>
    <w:p>
      <w:pPr>
        <w:pStyle w:val="Normal"/>
        <w:spacing w:lineRule="auto" w:line="276" w:before="80" w:after="80"/>
        <w:jc w:val="both"/>
        <w:rPr/>
      </w:pPr>
      <w:r>
        <w:rPr>
          <w:rFonts w:eastAsia="Times New Roman" w:cs="Times New Roman"/>
          <w:sz w:val="22"/>
          <w:szCs w:val="22"/>
        </w:rPr>
        <w:t>This project investigates exactly that question through a controlled empirical study. We build a fully local, end-to-end citation-grounded QA system and systematically vary retrieval design while holding the generator fixed, then compare the best local configuration against a GPT-4o oracle.</w:t>
      </w:r>
    </w:p>
    <w:p>
      <w:pPr>
        <w:pStyle w:val="Normal"/>
        <w:spacing w:before="60" w:after="60"/>
        <w:rPr/>
      </w:pPr>
      <w:r>
        <w:rPr/>
      </w:r>
    </w:p>
    <w:p>
      <w:pPr>
        <w:pStyle w:val="Heading1"/>
        <w:spacing w:before="280" w:after="120"/>
        <w:rPr/>
      </w:pPr>
      <w:r>
        <w:rPr>
          <w:rFonts w:eastAsia="Times New Roman" w:cs="Times New Roman" w:ascii="Times New Roman" w:hAnsi="Times New Roman"/>
          <w:b/>
          <w:bCs/>
          <w:sz w:val="28"/>
          <w:szCs w:val="28"/>
        </w:rPr>
        <w:t>2  Task Definition</w:t>
      </w:r>
    </w:p>
    <w:p>
      <w:pPr>
        <w:pStyle w:val="Normal"/>
        <w:spacing w:lineRule="auto" w:line="276" w:before="80" w:after="80"/>
        <w:jc w:val="both"/>
        <w:rPr/>
      </w:pPr>
      <w:r>
        <w:rPr>
          <w:rFonts w:eastAsia="Times New Roman" w:cs="Times New Roman"/>
          <w:sz w:val="22"/>
          <w:szCs w:val="22"/>
        </w:rPr>
        <w:t>We define the task as follows. Given a corpus C = {d1, d2, ..., dn} of academic papers in PDF format, and a natural-language question q, the system must produce:</w:t>
      </w:r>
    </w:p>
    <w:p>
      <w:pPr>
        <w:pStyle w:val="Normal"/>
        <w:spacing w:before="60" w:after="60"/>
        <w:rPr/>
      </w:pPr>
      <w:r>
        <w:rPr/>
      </w:r>
    </w:p>
    <w:p>
      <w:pPr>
        <w:pStyle w:val="ListParagraph"/>
        <w:numPr>
          <w:ilvl w:val="0"/>
          <w:numId w:val="3"/>
        </w:numPr>
        <w:spacing w:before="40" w:after="40"/>
        <w:rPr/>
      </w:pPr>
      <w:r>
        <w:rPr>
          <w:rFonts w:eastAsia="Times New Roman" w:cs="Times New Roman"/>
          <w:sz w:val="22"/>
          <w:szCs w:val="22"/>
        </w:rPr>
        <w:t>An answer a expressed in natural language;</w:t>
      </w:r>
    </w:p>
    <w:p>
      <w:pPr>
        <w:pStyle w:val="ListParagraph"/>
        <w:numPr>
          <w:ilvl w:val="0"/>
          <w:numId w:val="1"/>
        </w:numPr>
        <w:spacing w:before="40" w:after="40"/>
        <w:rPr/>
      </w:pPr>
      <w:r>
        <w:rPr>
          <w:rFonts w:eastAsia="Times New Roman" w:cs="Times New Roman"/>
          <w:sz w:val="22"/>
          <w:szCs w:val="22"/>
        </w:rPr>
        <w:t>A set of citations {(p1, s1), (p2, s2), ...} where each pi is a passage extracted from some document in C, and si is the sentence in a that the passage supports.</w:t>
      </w:r>
    </w:p>
    <w:p>
      <w:pPr>
        <w:pStyle w:val="Normal"/>
        <w:spacing w:before="60" w:after="60"/>
        <w:rPr/>
      </w:pPr>
      <w:r>
        <w:rPr/>
      </w:r>
    </w:p>
    <w:p>
      <w:pPr>
        <w:pStyle w:val="Normal"/>
        <w:spacing w:lineRule="auto" w:line="276" w:before="80" w:after="80"/>
        <w:jc w:val="both"/>
        <w:rPr/>
      </w:pPr>
      <w:r>
        <w:rPr>
          <w:rFonts w:eastAsia="Times New Roman" w:cs="Times New Roman"/>
          <w:sz w:val="22"/>
          <w:szCs w:val="22"/>
        </w:rPr>
        <w:t>The system is explicitly prohibited from generating claims that are not grounded in C. This is the key distinction from a parametric LLM: the model may only assert what it can cite. A correct answer with a wrong or missing citation is treated as a failure, as is a correct citation attached to a claim it does not actually support (post-hoc citation).</w:t>
      </w:r>
    </w:p>
    <w:p>
      <w:pPr>
        <w:pStyle w:val="Normal"/>
        <w:spacing w:before="60" w:after="60"/>
        <w:rPr/>
      </w:pPr>
      <w:r>
        <w:rPr/>
      </w:r>
    </w:p>
    <w:p>
      <w:pPr>
        <w:pStyle w:val="Normal"/>
        <w:spacing w:lineRule="auto" w:line="276" w:before="80" w:after="80"/>
        <w:jc w:val="both"/>
        <w:rPr/>
      </w:pPr>
      <w:r>
        <w:rPr>
          <w:rFonts w:eastAsia="Times New Roman" w:cs="Times New Roman"/>
          <w:sz w:val="22"/>
          <w:szCs w:val="22"/>
        </w:rPr>
        <w:t>This is harder than vanilla RAG because we require passage-level provenance, not just document-level attribution. It is also harder than open-domain QA because there is no universal knowledge base — the system must retrieve exclusively from the uploaded corpus.</w:t>
      </w:r>
    </w:p>
    <w:p>
      <w:pPr>
        <w:pStyle w:val="Normal"/>
        <w:spacing w:before="60" w:after="60"/>
        <w:rPr/>
      </w:pPr>
      <w:r>
        <w:rPr/>
      </w:r>
    </w:p>
    <w:p>
      <w:pPr>
        <w:pStyle w:val="Heading1"/>
        <w:spacing w:before="280" w:after="120"/>
        <w:rPr/>
      </w:pPr>
      <w:r>
        <w:rPr>
          <w:rFonts w:eastAsia="Times New Roman" w:cs="Times New Roman" w:ascii="Times New Roman" w:hAnsi="Times New Roman"/>
          <w:b/>
          <w:bCs/>
          <w:sz w:val="28"/>
          <w:szCs w:val="28"/>
        </w:rPr>
        <w:t>3  Motivation and Significance</w:t>
      </w:r>
    </w:p>
    <w:p>
      <w:pPr>
        <w:pStyle w:val="Normal"/>
        <w:spacing w:lineRule="auto" w:line="276" w:before="80" w:after="80"/>
        <w:jc w:val="both"/>
        <w:rPr/>
      </w:pPr>
      <w:r>
        <w:rPr>
          <w:rFonts w:eastAsia="Times New Roman" w:cs="Times New Roman"/>
          <w:sz w:val="22"/>
          <w:szCs w:val="22"/>
        </w:rPr>
        <w:t xml:space="preserve">The privacy motivation is concrete. </w:t>
      </w:r>
      <w:r>
        <w:rPr>
          <w:rFonts w:eastAsia="Times New Roman" w:cs="Times New Roman"/>
          <w:b/>
          <w:bCs/>
          <w:sz w:val="22"/>
          <w:szCs w:val="22"/>
        </w:rPr>
        <w:t>HIPAA</w:t>
      </w:r>
      <w:r>
        <w:rPr>
          <w:rFonts w:eastAsia="Times New Roman" w:cs="Times New Roman"/>
          <w:sz w:val="22"/>
          <w:szCs w:val="22"/>
        </w:rPr>
        <w:t xml:space="preserve"> in healthcare, </w:t>
      </w:r>
      <w:r>
        <w:rPr>
          <w:rFonts w:eastAsia="Times New Roman" w:cs="Times New Roman"/>
          <w:b/>
          <w:bCs/>
          <w:sz w:val="22"/>
          <w:szCs w:val="22"/>
        </w:rPr>
        <w:t>GDPR</w:t>
      </w:r>
      <w:r>
        <w:rPr>
          <w:rFonts w:eastAsia="Times New Roman" w:cs="Times New Roman"/>
          <w:sz w:val="22"/>
          <w:szCs w:val="22"/>
        </w:rPr>
        <w:t xml:space="preserve"> in Europe, and standard corporate information-security policies routinely prohibit uploading sensitive documents to third-party cloud services. A locally-hosted system that matches cloud quality on citation faithfulness would unlock RAG-based document assistants for hospitals, law firms, defense contractors, and academic institutions with strict data governance requirements.</w:t>
      </w:r>
    </w:p>
    <w:p>
      <w:pPr>
        <w:pStyle w:val="Normal"/>
        <w:spacing w:before="60" w:after="60"/>
        <w:rPr/>
      </w:pPr>
      <w:r>
        <w:rPr/>
      </w:r>
    </w:p>
    <w:p>
      <w:pPr>
        <w:pStyle w:val="Normal"/>
        <w:spacing w:lineRule="auto" w:line="276" w:before="80" w:after="80"/>
        <w:jc w:val="both"/>
        <w:rPr/>
      </w:pPr>
      <w:r>
        <w:rPr>
          <w:rFonts w:eastAsia="Times New Roman" w:cs="Times New Roman"/>
          <w:sz w:val="22"/>
          <w:szCs w:val="22"/>
        </w:rPr>
        <w:t>The scientific motivation is also meaningful. Prior work has studied RAG, attributed generation, and scientific QA largely in isolation and typically with frontier-scale generators. There is relatively little controlled analysis of how chunking strategy, retrieval pipeline design, and reranking interact specifically in the academic-paper QA setting with small generators. Understanding these interactions has practical value beyond this project.</w:t>
      </w:r>
    </w:p>
    <w:p>
      <w:pPr>
        <w:pStyle w:val="Normal"/>
        <w:spacing w:before="60" w:after="60"/>
        <w:rPr/>
      </w:pPr>
      <w:r>
        <w:rPr/>
      </w:r>
    </w:p>
    <w:p>
      <w:pPr>
        <w:pStyle w:val="Heading1"/>
        <w:spacing w:before="280" w:after="120"/>
        <w:rPr/>
      </w:pPr>
      <w:r>
        <w:rPr>
          <w:rFonts w:eastAsia="Times New Roman" w:cs="Times New Roman" w:ascii="Times New Roman" w:hAnsi="Times New Roman"/>
          <w:b/>
          <w:bCs/>
          <w:sz w:val="28"/>
          <w:szCs w:val="28"/>
        </w:rPr>
        <w:t>4  Proposed System</w:t>
      </w:r>
    </w:p>
    <w:p>
      <w:pPr>
        <w:pStyle w:val="Normal"/>
        <w:spacing w:lineRule="auto" w:line="276" w:before="80" w:after="80"/>
        <w:jc w:val="both"/>
        <w:rPr/>
      </w:pPr>
      <w:r>
        <w:rPr>
          <w:rFonts w:eastAsia="Times New Roman" w:cs="Times New Roman"/>
          <w:sz w:val="22"/>
          <w:szCs w:val="22"/>
        </w:rPr>
        <w:t>Figure 1 illustrates the end-to-end pipeline. All components run locally; no API calls are required except for the GPT-4o oracle condition used as an upper-bound comparison.</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1589"/>
        <w:gridCol w:w="353"/>
        <w:gridCol w:w="1590"/>
        <w:gridCol w:w="353"/>
        <w:gridCol w:w="1589"/>
        <w:gridCol w:w="353"/>
        <w:gridCol w:w="1590"/>
        <w:gridCol w:w="353"/>
        <w:gridCol w:w="1590"/>
      </w:tblGrid>
      <w:tr>
        <w:trPr/>
        <w:tc>
          <w:tcPr>
            <w:tcW w:w="1589" w:type="dxa"/>
            <w:tcBorders>
              <w:top w:val="single" w:sz="2" w:space="0" w:color="CCCCCC"/>
              <w:start w:val="single" w:sz="2" w:space="0" w:color="CCCCCC"/>
              <w:bottom w:val="single" w:sz="2" w:space="0" w:color="CCCCCC"/>
              <w:end w:val="single" w:sz="2" w:space="0" w:color="CCCCCC"/>
            </w:tcBorders>
            <w:shd w:fill="2E5FA3" w:val="clear"/>
            <w:vAlign w:val="center"/>
          </w:tcPr>
          <w:p>
            <w:pPr>
              <w:pStyle w:val="Normal"/>
              <w:jc w:val="center"/>
              <w:rPr/>
            </w:pPr>
            <w:r>
              <w:rPr>
                <w:rFonts w:eastAsia="Times New Roman" w:cs="Times New Roman"/>
                <w:b/>
                <w:bCs/>
                <w:color w:val="FFFFFF"/>
                <w:sz w:val="20"/>
                <w:szCs w:val="20"/>
              </w:rPr>
              <w:t>PDF Upload &amp; Text Extract</w:t>
            </w:r>
          </w:p>
        </w:tc>
        <w:tc>
          <w:tcPr>
            <w:tcW w:w="353" w:type="dxa"/>
            <w:tcBorders/>
            <w:tcMar>
              <w:start w:w="60" w:type="dxa"/>
              <w:end w:w="60" w:type="dxa"/>
            </w:tcMar>
          </w:tcPr>
          <w:p>
            <w:pPr>
              <w:pStyle w:val="Normal"/>
              <w:jc w:val="center"/>
              <w:rPr/>
            </w:pPr>
            <w:r>
              <w:rPr>
                <w:rFonts w:eastAsia="Times New Roman" w:cs="Times New Roman"/>
                <w:sz w:val="22"/>
                <w:szCs w:val="22"/>
              </w:rPr>
              <w:t>→</w:t>
            </w:r>
          </w:p>
        </w:tc>
        <w:tc>
          <w:tcPr>
            <w:tcW w:w="1590" w:type="dxa"/>
            <w:tcBorders>
              <w:top w:val="single" w:sz="2" w:space="0" w:color="CCCCCC"/>
              <w:start w:val="single" w:sz="2" w:space="0" w:color="CCCCCC"/>
              <w:bottom w:val="single" w:sz="2" w:space="0" w:color="CCCCCC"/>
              <w:end w:val="single" w:sz="2" w:space="0" w:color="CCCCCC"/>
            </w:tcBorders>
            <w:shd w:fill="3A7D44" w:val="clear"/>
            <w:vAlign w:val="center"/>
          </w:tcPr>
          <w:p>
            <w:pPr>
              <w:pStyle w:val="Normal"/>
              <w:jc w:val="center"/>
              <w:rPr/>
            </w:pPr>
            <w:r>
              <w:rPr>
                <w:rFonts w:eastAsia="Times New Roman" w:cs="Times New Roman"/>
                <w:b/>
                <w:bCs/>
                <w:color w:val="FFFFFF"/>
                <w:sz w:val="20"/>
                <w:szCs w:val="20"/>
              </w:rPr>
              <w:t>Chunking (3 strategies)</w:t>
            </w:r>
          </w:p>
        </w:tc>
        <w:tc>
          <w:tcPr>
            <w:tcW w:w="353" w:type="dxa"/>
            <w:tcBorders/>
            <w:tcMar>
              <w:start w:w="60" w:type="dxa"/>
              <w:end w:w="60" w:type="dxa"/>
            </w:tcMar>
          </w:tcPr>
          <w:p>
            <w:pPr>
              <w:pStyle w:val="Normal"/>
              <w:jc w:val="center"/>
              <w:rPr/>
            </w:pPr>
            <w:r>
              <w:rPr>
                <w:rFonts w:eastAsia="Times New Roman" w:cs="Times New Roman"/>
                <w:sz w:val="22"/>
                <w:szCs w:val="22"/>
              </w:rPr>
              <w:t>→</w:t>
            </w:r>
          </w:p>
        </w:tc>
        <w:tc>
          <w:tcPr>
            <w:tcW w:w="1589" w:type="dxa"/>
            <w:tcBorders>
              <w:top w:val="single" w:sz="2" w:space="0" w:color="CCCCCC"/>
              <w:start w:val="single" w:sz="2" w:space="0" w:color="CCCCCC"/>
              <w:bottom w:val="single" w:sz="2" w:space="0" w:color="CCCCCC"/>
              <w:end w:val="single" w:sz="2" w:space="0" w:color="CCCCCC"/>
            </w:tcBorders>
            <w:shd w:fill="7B3F8C" w:val="clear"/>
            <w:vAlign w:val="center"/>
          </w:tcPr>
          <w:p>
            <w:pPr>
              <w:pStyle w:val="Normal"/>
              <w:jc w:val="center"/>
              <w:rPr/>
            </w:pPr>
            <w:r>
              <w:rPr>
                <w:rFonts w:eastAsia="Times New Roman" w:cs="Times New Roman"/>
                <w:b/>
                <w:bCs/>
                <w:color w:val="FFFFFF"/>
                <w:sz w:val="20"/>
                <w:szCs w:val="20"/>
              </w:rPr>
              <w:t>Embedding (BGE / MiniLM)</w:t>
            </w:r>
          </w:p>
        </w:tc>
        <w:tc>
          <w:tcPr>
            <w:tcW w:w="353" w:type="dxa"/>
            <w:tcBorders/>
            <w:tcMar>
              <w:start w:w="60" w:type="dxa"/>
              <w:end w:w="60" w:type="dxa"/>
            </w:tcMar>
          </w:tcPr>
          <w:p>
            <w:pPr>
              <w:pStyle w:val="Normal"/>
              <w:jc w:val="center"/>
              <w:rPr/>
            </w:pPr>
            <w:r>
              <w:rPr>
                <w:rFonts w:eastAsia="Times New Roman" w:cs="Times New Roman"/>
                <w:sz w:val="22"/>
                <w:szCs w:val="22"/>
              </w:rPr>
              <w:t>→</w:t>
            </w:r>
          </w:p>
        </w:tc>
        <w:tc>
          <w:tcPr>
            <w:tcW w:w="1590" w:type="dxa"/>
            <w:tcBorders>
              <w:top w:val="single" w:sz="2" w:space="0" w:color="CCCCCC"/>
              <w:start w:val="single" w:sz="2" w:space="0" w:color="CCCCCC"/>
              <w:bottom w:val="single" w:sz="2" w:space="0" w:color="CCCCCC"/>
              <w:end w:val="single" w:sz="2" w:space="0" w:color="CCCCCC"/>
            </w:tcBorders>
            <w:shd w:fill="C0392B" w:val="clear"/>
            <w:vAlign w:val="center"/>
          </w:tcPr>
          <w:p>
            <w:pPr>
              <w:pStyle w:val="Normal"/>
              <w:jc w:val="center"/>
              <w:rPr/>
            </w:pPr>
            <w:r>
              <w:rPr>
                <w:rFonts w:eastAsia="Times New Roman" w:cs="Times New Roman"/>
                <w:b/>
                <w:bCs/>
                <w:color w:val="FFFFFF"/>
                <w:sz w:val="20"/>
                <w:szCs w:val="20"/>
              </w:rPr>
              <w:t>Retrieval (4 pipelines)</w:t>
            </w:r>
          </w:p>
        </w:tc>
        <w:tc>
          <w:tcPr>
            <w:tcW w:w="353" w:type="dxa"/>
            <w:tcBorders/>
            <w:tcMar>
              <w:start w:w="60" w:type="dxa"/>
              <w:end w:w="60" w:type="dxa"/>
            </w:tcMar>
          </w:tcPr>
          <w:p>
            <w:pPr>
              <w:pStyle w:val="Normal"/>
              <w:jc w:val="center"/>
              <w:rPr/>
            </w:pPr>
            <w:r>
              <w:rPr>
                <w:rFonts w:eastAsia="Times New Roman" w:cs="Times New Roman"/>
                <w:sz w:val="22"/>
                <w:szCs w:val="22"/>
              </w:rPr>
              <w:t>→</w:t>
            </w:r>
          </w:p>
        </w:tc>
        <w:tc>
          <w:tcPr>
            <w:tcW w:w="1590" w:type="dxa"/>
            <w:tcBorders>
              <w:top w:val="single" w:sz="2" w:space="0" w:color="CCCCCC"/>
              <w:start w:val="single" w:sz="2" w:space="0" w:color="CCCCCC"/>
              <w:bottom w:val="single" w:sz="2" w:space="0" w:color="CCCCCC"/>
              <w:end w:val="single" w:sz="2" w:space="0" w:color="CCCCCC"/>
            </w:tcBorders>
            <w:shd w:fill="E67E22" w:val="clear"/>
            <w:vAlign w:val="center"/>
          </w:tcPr>
          <w:p>
            <w:pPr>
              <w:pStyle w:val="Normal"/>
              <w:jc w:val="center"/>
              <w:rPr/>
            </w:pPr>
            <w:r>
              <w:rPr>
                <w:rFonts w:eastAsia="Times New Roman" w:cs="Times New Roman"/>
                <w:b/>
                <w:bCs/>
                <w:color w:val="FFFFFF"/>
                <w:sz w:val="20"/>
                <w:szCs w:val="20"/>
              </w:rPr>
              <w:t>SLM Generation + Citation</w:t>
            </w:r>
          </w:p>
        </w:tc>
      </w:tr>
    </w:tbl>
    <w:p>
      <w:pPr>
        <w:pStyle w:val="Normal"/>
        <w:spacing w:before="60" w:after="60"/>
        <w:jc w:val="center"/>
        <w:rPr/>
      </w:pPr>
      <w:r>
        <w:rPr>
          <w:rFonts w:eastAsia="Times New Roman" w:cs="Times New Roman"/>
          <w:sz w:val="18"/>
          <w:szCs w:val="18"/>
        </w:rPr>
        <w:t>Figure 1: End-to-end LocalScholar pipeline. All components run on local hardware.</w:t>
      </w:r>
    </w:p>
    <w:p>
      <w:pPr>
        <w:pStyle w:val="Normal"/>
        <w:spacing w:before="60" w:after="60"/>
        <w:rPr/>
      </w:pPr>
      <w:r>
        <w:rPr/>
      </w:r>
    </w:p>
    <w:p>
      <w:pPr>
        <w:pStyle w:val="Heading2"/>
        <w:spacing w:before="200" w:after="80"/>
        <w:rPr/>
      </w:pPr>
      <w:r>
        <w:rPr>
          <w:rFonts w:eastAsia="Times New Roman" w:cs="Times New Roman" w:ascii="Times New Roman" w:hAnsi="Times New Roman"/>
          <w:b/>
          <w:bCs/>
          <w:sz w:val="24"/>
          <w:szCs w:val="24"/>
        </w:rPr>
        <w:t>4.1  Document Corpus</w:t>
      </w:r>
    </w:p>
    <w:p>
      <w:pPr>
        <w:pStyle w:val="Normal"/>
        <w:spacing w:lineRule="auto" w:line="276" w:before="80" w:after="80"/>
        <w:jc w:val="both"/>
        <w:rPr/>
      </w:pPr>
      <w:r>
        <w:rPr>
          <w:rFonts w:eastAsia="Times New Roman" w:cs="Times New Roman"/>
          <w:sz w:val="22"/>
          <w:szCs w:val="22"/>
        </w:rPr>
        <w:t>The corpus will consist of 30–50 papers drawn from a coherent NLP/IR subarea, specifically retrieval-augmented generation, attributed generation, and scientific QA. This topic area is chosen because (a) the papers are freely available on arXiv and the ACL Anthology, (b) the domain is familiar enough that annotation quality in the human evaluation will be high, and (c) it creates a natural connection between the papers we cite as related work and the corpus we evaluate on.</w:t>
      </w:r>
    </w:p>
    <w:p>
      <w:pPr>
        <w:pStyle w:val="Normal"/>
        <w:spacing w:before="60" w:after="60"/>
        <w:rPr/>
      </w:pPr>
      <w:r>
        <w:rPr/>
      </w:r>
    </w:p>
    <w:p>
      <w:pPr>
        <w:pStyle w:val="Heading2"/>
        <w:spacing w:before="200" w:after="80"/>
        <w:rPr/>
      </w:pPr>
      <w:r>
        <w:rPr>
          <w:rFonts w:eastAsia="Times New Roman" w:cs="Times New Roman" w:ascii="Times New Roman" w:hAnsi="Times New Roman"/>
          <w:b/>
          <w:bCs/>
          <w:sz w:val="24"/>
          <w:szCs w:val="24"/>
        </w:rPr>
        <w:t>4.2  PDF Parsing and Chunking</w:t>
      </w:r>
    </w:p>
    <w:p>
      <w:pPr>
        <w:pStyle w:val="Normal"/>
        <w:spacing w:lineRule="auto" w:line="276" w:before="80" w:after="80"/>
        <w:jc w:val="both"/>
        <w:rPr/>
      </w:pPr>
      <w:r>
        <w:rPr>
          <w:rFonts w:eastAsia="Times New Roman" w:cs="Times New Roman"/>
          <w:sz w:val="22"/>
          <w:szCs w:val="22"/>
        </w:rPr>
        <w:t>PDFs will be parsed using PyMuPDF, which preserves section structure better than simple text extraction. We will compare three chunking strategies:</w:t>
      </w:r>
    </w:p>
    <w:p>
      <w:pPr>
        <w:pStyle w:val="Normal"/>
        <w:spacing w:before="60" w:after="60"/>
        <w:rPr/>
      </w:pPr>
      <w:r>
        <w:rPr/>
      </w:r>
    </w:p>
    <w:p>
      <w:pPr>
        <w:pStyle w:val="ListParagraph"/>
        <w:numPr>
          <w:ilvl w:val="0"/>
          <w:numId w:val="1"/>
        </w:numPr>
        <w:spacing w:before="40" w:after="40"/>
        <w:rPr/>
      </w:pPr>
      <w:r>
        <w:rPr>
          <w:rFonts w:eastAsia="Times New Roman" w:cs="Times New Roman"/>
          <w:sz w:val="22"/>
          <w:szCs w:val="22"/>
        </w:rPr>
        <w:t>Fixed-size chunking: 256-token chunks with 32-token overlap. Simple and widely used; serves as the baseline chunking condition.</w:t>
      </w:r>
    </w:p>
    <w:p>
      <w:pPr>
        <w:pStyle w:val="ListParagraph"/>
        <w:numPr>
          <w:ilvl w:val="0"/>
          <w:numId w:val="1"/>
        </w:numPr>
        <w:spacing w:before="40" w:after="40"/>
        <w:rPr/>
      </w:pPr>
      <w:r>
        <w:rPr>
          <w:rFonts w:eastAsia="Times New Roman" w:cs="Times New Roman"/>
          <w:sz w:val="22"/>
          <w:szCs w:val="22"/>
        </w:rPr>
        <w:t>Sliding-window chunking: 512-token windows with 128-token overlap. Reduces boundary fragmentation at the cost of more redundant chunks.</w:t>
      </w:r>
    </w:p>
    <w:p>
      <w:pPr>
        <w:pStyle w:val="ListParagraph"/>
        <w:numPr>
          <w:ilvl w:val="0"/>
          <w:numId w:val="1"/>
        </w:numPr>
        <w:spacing w:before="40" w:after="40"/>
        <w:rPr/>
      </w:pPr>
      <w:r>
        <w:rPr>
          <w:rFonts w:eastAsia="Times New Roman" w:cs="Times New Roman"/>
          <w:sz w:val="22"/>
          <w:szCs w:val="22"/>
        </w:rPr>
        <w:t>Section-aware chunking: Chunks aligned to section boundaries detected from PDF headings. Preserves semantic coherence but produces variable-length chunks.</w:t>
      </w:r>
    </w:p>
    <w:p>
      <w:pPr>
        <w:pStyle w:val="Normal"/>
        <w:spacing w:before="60" w:after="60"/>
        <w:rPr/>
      </w:pPr>
      <w:r>
        <w:rPr/>
      </w:r>
    </w:p>
    <w:p>
      <w:pPr>
        <w:pStyle w:val="Normal"/>
        <w:spacing w:lineRule="auto" w:line="276" w:before="80" w:after="80"/>
        <w:jc w:val="both"/>
        <w:rPr/>
      </w:pPr>
      <w:r>
        <w:rPr>
          <w:rFonts w:eastAsia="Times New Roman" w:cs="Times New Roman"/>
          <w:sz w:val="22"/>
          <w:szCs w:val="22"/>
        </w:rPr>
        <w:t>Chunking strategy is a research variable, not a fixed design decision. Comparing all three allows us to measure whether semantic coherence (section-aware) or retrieval granularity (fixed-size) matters more for citation quality.</w:t>
      </w:r>
    </w:p>
    <w:p>
      <w:pPr>
        <w:pStyle w:val="Normal"/>
        <w:spacing w:before="60" w:after="60"/>
        <w:rPr/>
      </w:pPr>
      <w:r>
        <w:rPr/>
      </w:r>
    </w:p>
    <w:p>
      <w:pPr>
        <w:pStyle w:val="Heading2"/>
        <w:spacing w:before="200" w:after="80"/>
        <w:rPr/>
      </w:pPr>
      <w:r>
        <w:rPr>
          <w:rFonts w:eastAsia="Times New Roman" w:cs="Times New Roman" w:ascii="Times New Roman" w:hAnsi="Times New Roman"/>
          <w:b/>
          <w:bCs/>
          <w:sz w:val="24"/>
          <w:szCs w:val="24"/>
        </w:rPr>
        <w:t>4.3  Retrieval Pipelines</w:t>
      </w:r>
    </w:p>
    <w:p>
      <w:pPr>
        <w:pStyle w:val="Normal"/>
        <w:spacing w:lineRule="auto" w:line="276" w:before="80" w:after="80"/>
        <w:jc w:val="both"/>
        <w:rPr/>
      </w:pPr>
      <w:r>
        <w:rPr>
          <w:rFonts w:eastAsia="Times New Roman" w:cs="Times New Roman"/>
          <w:sz w:val="22"/>
          <w:szCs w:val="22"/>
        </w:rPr>
        <w:t>We implement four retrieval conditions, each returning the top-k passages for a given query:</w:t>
      </w:r>
    </w:p>
    <w:p>
      <w:pPr>
        <w:pStyle w:val="Normal"/>
        <w:spacing w:before="60" w:after="60"/>
        <w:rPr/>
      </w:pPr>
      <w:r>
        <w:rPr/>
      </w:r>
    </w:p>
    <w:p>
      <w:pPr>
        <w:pStyle w:val="ListParagraph"/>
        <w:numPr>
          <w:ilvl w:val="0"/>
          <w:numId w:val="1"/>
        </w:numPr>
        <w:spacing w:before="40" w:after="40"/>
        <w:rPr/>
      </w:pPr>
      <w:r>
        <w:rPr>
          <w:rFonts w:eastAsia="Times New Roman" w:cs="Times New Roman"/>
          <w:sz w:val="22"/>
          <w:szCs w:val="22"/>
        </w:rPr>
        <w:t>Dense-only: Query and passage embeddings computed with BGE-small-en-v1.5 (BAAI, 2023), stored in a local FAISS index. Approximate nearest-neighbor search.</w:t>
      </w:r>
    </w:p>
    <w:p>
      <w:pPr>
        <w:pStyle w:val="ListParagraph"/>
        <w:numPr>
          <w:ilvl w:val="0"/>
          <w:numId w:val="1"/>
        </w:numPr>
        <w:spacing w:before="40" w:after="40"/>
        <w:rPr/>
      </w:pPr>
      <w:r>
        <w:rPr>
          <w:rFonts w:eastAsia="Times New Roman" w:cs="Times New Roman"/>
          <w:sz w:val="22"/>
          <w:szCs w:val="22"/>
        </w:rPr>
        <w:t>BM25-only: Keyword-based retrieval using rank-bm25. Included as a simple baseline and to study sparse-dense complementarity.</w:t>
      </w:r>
    </w:p>
    <w:p>
      <w:pPr>
        <w:pStyle w:val="ListParagraph"/>
        <w:numPr>
          <w:ilvl w:val="0"/>
          <w:numId w:val="1"/>
        </w:numPr>
        <w:spacing w:before="40" w:after="40"/>
        <w:rPr/>
      </w:pPr>
      <w:r>
        <w:rPr>
          <w:rFonts w:eastAsia="Times New Roman" w:cs="Times New Roman"/>
          <w:sz w:val="22"/>
          <w:szCs w:val="22"/>
        </w:rPr>
        <w:t>Hybrid dense+BM25: Scores from both systems combined via reciprocal rank fusion (RRF). Prior work on LitSearch (Ajith et al., 2024) shows consistent gains from this combination on scientific document retrieval.</w:t>
      </w:r>
    </w:p>
    <w:p>
      <w:pPr>
        <w:pStyle w:val="ListParagraph"/>
        <w:numPr>
          <w:ilvl w:val="0"/>
          <w:numId w:val="1"/>
        </w:numPr>
        <w:spacing w:before="40" w:after="40"/>
        <w:rPr/>
      </w:pPr>
      <w:r>
        <w:rPr>
          <w:rFonts w:eastAsia="Times New Roman" w:cs="Times New Roman"/>
          <w:sz w:val="22"/>
          <w:szCs w:val="22"/>
        </w:rPr>
        <w:t>Hybrid + reranking: Hybrid retrieval followed by a cross-encoder reranker (ms-marco-MiniLM-L-6-v2), which re-scores the top-20 candidates and returns the top-5.</w:t>
      </w:r>
    </w:p>
    <w:p>
      <w:pPr>
        <w:pStyle w:val="Normal"/>
        <w:spacing w:before="60" w:after="60"/>
        <w:rPr/>
      </w:pPr>
      <w:r>
        <w:rPr/>
      </w:r>
    </w:p>
    <w:p>
      <w:pPr>
        <w:pStyle w:val="Heading2"/>
        <w:spacing w:before="200" w:after="80"/>
        <w:rPr/>
      </w:pPr>
      <w:r>
        <w:rPr>
          <w:rFonts w:eastAsia="Times New Roman" w:cs="Times New Roman" w:ascii="Times New Roman" w:hAnsi="Times New Roman"/>
          <w:b/>
          <w:bCs/>
          <w:sz w:val="24"/>
          <w:szCs w:val="24"/>
        </w:rPr>
        <w:t>4.4  Generation with Citation Forcing</w:t>
      </w:r>
    </w:p>
    <w:p>
      <w:pPr>
        <w:pStyle w:val="Normal"/>
        <w:spacing w:lineRule="auto" w:line="276" w:before="80" w:after="80"/>
        <w:jc w:val="both"/>
        <w:rPr/>
      </w:pPr>
      <w:r>
        <w:rPr>
          <w:rFonts w:eastAsia="Times New Roman" w:cs="Times New Roman"/>
          <w:sz w:val="22"/>
          <w:szCs w:val="22"/>
        </w:rPr>
        <w:t>Retrieved passages are formatted into a prompt using a structured template that includes passage text, source paper title, and section label. We compare two generation conditions: (a) standard answer generation with no explicit citation instruction, and (b) citation-forcing, where the prompt explicitly instructs the model to produce inline bracketed citations for every claim and to only assert what is supported by the provided passages.</w:t>
      </w:r>
    </w:p>
    <w:p>
      <w:pPr>
        <w:pStyle w:val="Normal"/>
        <w:spacing w:before="60" w:after="60"/>
        <w:rPr/>
      </w:pPr>
      <w:r>
        <w:rPr/>
      </w:r>
    </w:p>
    <w:p>
      <w:pPr>
        <w:pStyle w:val="Normal"/>
        <w:spacing w:lineRule="auto" w:line="276" w:before="80" w:after="80"/>
        <w:jc w:val="both"/>
        <w:rPr/>
      </w:pPr>
      <w:r>
        <w:rPr>
          <w:rFonts w:eastAsia="Times New Roman" w:cs="Times New Roman"/>
          <w:sz w:val="22"/>
          <w:szCs w:val="22"/>
        </w:rPr>
        <w:t>The generator in all local conditions is Phi-3-mini-3.8B (Microsoft, 2024), served via Ollama. The oracle condition uses GPT-4o via API with the same prompt template, giving us a performance ceiling under ideal generation conditions.</w:t>
      </w:r>
    </w:p>
    <w:p>
      <w:pPr>
        <w:pStyle w:val="Normal"/>
        <w:spacing w:before="60" w:after="60"/>
        <w:rPr/>
      </w:pPr>
      <w:r>
        <w:rPr/>
      </w:r>
    </w:p>
    <w:p>
      <w:pPr>
        <w:pStyle w:val="Heading1"/>
        <w:spacing w:before="280" w:after="120"/>
        <w:rPr/>
      </w:pPr>
      <w:r>
        <w:rPr>
          <w:rFonts w:eastAsia="Times New Roman" w:cs="Times New Roman" w:ascii="Times New Roman" w:hAnsi="Times New Roman"/>
          <w:b/>
          <w:bCs/>
          <w:sz w:val="28"/>
          <w:szCs w:val="28"/>
        </w:rPr>
        <w:t>5  Experimental Design</w:t>
      </w:r>
    </w:p>
    <w:p>
      <w:pPr>
        <w:pStyle w:val="Heading2"/>
        <w:spacing w:before="200" w:after="80"/>
        <w:rPr/>
      </w:pPr>
      <w:r>
        <w:rPr>
          <w:rFonts w:eastAsia="Times New Roman" w:cs="Times New Roman" w:ascii="Times New Roman" w:hAnsi="Times New Roman"/>
          <w:b/>
          <w:bCs/>
          <w:sz w:val="24"/>
          <w:szCs w:val="24"/>
        </w:rPr>
        <w:t>5.1  Ablation Conditions</w:t>
      </w:r>
    </w:p>
    <w:p>
      <w:pPr>
        <w:pStyle w:val="Normal"/>
        <w:spacing w:lineRule="auto" w:line="276" w:before="80" w:after="80"/>
        <w:jc w:val="both"/>
        <w:rPr/>
      </w:pPr>
      <w:r>
        <w:rPr>
          <w:rFonts w:eastAsia="Times New Roman" w:cs="Times New Roman"/>
          <w:sz w:val="22"/>
          <w:szCs w:val="22"/>
        </w:rPr>
        <w:t>Table 1 summarizes the full ablation matrix. Each condition varies exactly one design choice from the previous, enabling clean attribution of performance changes.</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1500"/>
        <w:gridCol w:w="1200"/>
        <w:gridCol w:w="1200"/>
        <w:gridCol w:w="1200"/>
        <w:gridCol w:w="1559"/>
        <w:gridCol w:w="2701"/>
      </w:tblGrid>
      <w:tr>
        <w:trPr/>
        <w:tc>
          <w:tcPr>
            <w:tcW w:w="1500" w:type="dxa"/>
            <w:tcBorders>
              <w:top w:val="single" w:sz="2" w:space="0" w:color="CCCCCC"/>
              <w:start w:val="single" w:sz="2" w:space="0" w:color="CCCCCC"/>
              <w:bottom w:val="single" w:sz="2" w:space="0" w:color="CCCCCC"/>
              <w:end w:val="single" w:sz="2" w:space="0" w:color="CCCCCC"/>
            </w:tcBorders>
            <w:shd w:fill="2E5FA3" w:val="clear"/>
          </w:tcPr>
          <w:p>
            <w:pPr>
              <w:pStyle w:val="Normal"/>
              <w:jc w:val="center"/>
              <w:rPr/>
            </w:pPr>
            <w:r>
              <w:rPr>
                <w:rFonts w:eastAsia="Times New Roman" w:cs="Times New Roman"/>
                <w:b/>
                <w:bCs/>
                <w:color w:val="FFFFFF"/>
                <w:sz w:val="20"/>
                <w:szCs w:val="20"/>
              </w:rPr>
              <w:t>Condition</w:t>
            </w:r>
          </w:p>
        </w:tc>
        <w:tc>
          <w:tcPr>
            <w:tcW w:w="1200" w:type="dxa"/>
            <w:tcBorders>
              <w:top w:val="single" w:sz="2" w:space="0" w:color="CCCCCC"/>
              <w:start w:val="single" w:sz="2" w:space="0" w:color="CCCCCC"/>
              <w:bottom w:val="single" w:sz="2" w:space="0" w:color="CCCCCC"/>
              <w:end w:val="single" w:sz="2" w:space="0" w:color="CCCCCC"/>
            </w:tcBorders>
            <w:shd w:fill="2E5FA3" w:val="clear"/>
          </w:tcPr>
          <w:p>
            <w:pPr>
              <w:pStyle w:val="Normal"/>
              <w:jc w:val="center"/>
              <w:rPr/>
            </w:pPr>
            <w:r>
              <w:rPr>
                <w:rFonts w:eastAsia="Times New Roman" w:cs="Times New Roman"/>
                <w:b/>
                <w:bCs/>
                <w:color w:val="FFFFFF"/>
                <w:sz w:val="20"/>
                <w:szCs w:val="20"/>
              </w:rPr>
              <w:t>Chunking</w:t>
            </w:r>
          </w:p>
        </w:tc>
        <w:tc>
          <w:tcPr>
            <w:tcW w:w="1200" w:type="dxa"/>
            <w:tcBorders>
              <w:top w:val="single" w:sz="2" w:space="0" w:color="CCCCCC"/>
              <w:start w:val="single" w:sz="2" w:space="0" w:color="CCCCCC"/>
              <w:bottom w:val="single" w:sz="2" w:space="0" w:color="CCCCCC"/>
              <w:end w:val="single" w:sz="2" w:space="0" w:color="CCCCCC"/>
            </w:tcBorders>
            <w:shd w:fill="2E5FA3" w:val="clear"/>
          </w:tcPr>
          <w:p>
            <w:pPr>
              <w:pStyle w:val="Normal"/>
              <w:jc w:val="center"/>
              <w:rPr/>
            </w:pPr>
            <w:r>
              <w:rPr>
                <w:rFonts w:eastAsia="Times New Roman" w:cs="Times New Roman"/>
                <w:b/>
                <w:bCs/>
                <w:color w:val="FFFFFF"/>
                <w:sz w:val="20"/>
                <w:szCs w:val="20"/>
              </w:rPr>
              <w:t>Retrieval</w:t>
            </w:r>
          </w:p>
        </w:tc>
        <w:tc>
          <w:tcPr>
            <w:tcW w:w="1200" w:type="dxa"/>
            <w:tcBorders>
              <w:top w:val="single" w:sz="2" w:space="0" w:color="CCCCCC"/>
              <w:start w:val="single" w:sz="2" w:space="0" w:color="CCCCCC"/>
              <w:bottom w:val="single" w:sz="2" w:space="0" w:color="CCCCCC"/>
              <w:end w:val="single" w:sz="2" w:space="0" w:color="CCCCCC"/>
            </w:tcBorders>
            <w:shd w:fill="2E5FA3" w:val="clear"/>
          </w:tcPr>
          <w:p>
            <w:pPr>
              <w:pStyle w:val="Normal"/>
              <w:jc w:val="center"/>
              <w:rPr/>
            </w:pPr>
            <w:r>
              <w:rPr>
                <w:rFonts w:eastAsia="Times New Roman" w:cs="Times New Roman"/>
                <w:b/>
                <w:bCs/>
                <w:color w:val="FFFFFF"/>
                <w:sz w:val="20"/>
                <w:szCs w:val="20"/>
              </w:rPr>
              <w:t>Reranking</w:t>
            </w:r>
          </w:p>
        </w:tc>
        <w:tc>
          <w:tcPr>
            <w:tcW w:w="1559" w:type="dxa"/>
            <w:tcBorders>
              <w:top w:val="single" w:sz="2" w:space="0" w:color="CCCCCC"/>
              <w:start w:val="single" w:sz="2" w:space="0" w:color="CCCCCC"/>
              <w:bottom w:val="single" w:sz="2" w:space="0" w:color="CCCCCC"/>
              <w:end w:val="single" w:sz="2" w:space="0" w:color="CCCCCC"/>
            </w:tcBorders>
            <w:shd w:fill="2E5FA3" w:val="clear"/>
          </w:tcPr>
          <w:p>
            <w:pPr>
              <w:pStyle w:val="Normal"/>
              <w:jc w:val="center"/>
              <w:rPr/>
            </w:pPr>
            <w:r>
              <w:rPr>
                <w:rFonts w:eastAsia="Times New Roman" w:cs="Times New Roman"/>
                <w:b/>
                <w:bCs/>
                <w:color w:val="FFFFFF"/>
                <w:sz w:val="20"/>
                <w:szCs w:val="20"/>
              </w:rPr>
              <w:t>Citation Prompt</w:t>
            </w:r>
          </w:p>
        </w:tc>
        <w:tc>
          <w:tcPr>
            <w:tcW w:w="2701" w:type="dxa"/>
            <w:tcBorders>
              <w:top w:val="single" w:sz="2" w:space="0" w:color="CCCCCC"/>
              <w:start w:val="single" w:sz="2" w:space="0" w:color="CCCCCC"/>
              <w:bottom w:val="single" w:sz="2" w:space="0" w:color="CCCCCC"/>
              <w:end w:val="single" w:sz="2" w:space="0" w:color="CCCCCC"/>
            </w:tcBorders>
            <w:shd w:fill="2E5FA3" w:val="clear"/>
          </w:tcPr>
          <w:p>
            <w:pPr>
              <w:pStyle w:val="Normal"/>
              <w:jc w:val="center"/>
              <w:rPr/>
            </w:pPr>
            <w:r>
              <w:rPr>
                <w:rFonts w:eastAsia="Times New Roman" w:cs="Times New Roman"/>
                <w:b/>
                <w:bCs/>
                <w:color w:val="FFFFFF"/>
                <w:sz w:val="20"/>
                <w:szCs w:val="20"/>
              </w:rPr>
              <w:t>Generator</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Times New Roman" w:cs="Times New Roman"/>
                <w:sz w:val="20"/>
                <w:szCs w:val="20"/>
              </w:rPr>
              <w:t>A (baseline)</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Times New Roman" w:cs="Times New Roman"/>
                <w:sz w:val="20"/>
                <w:szCs w:val="20"/>
              </w:rPr>
              <w:t>Fixed</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Times New Roman" w:cs="Times New Roman"/>
                <w:sz w:val="20"/>
                <w:szCs w:val="20"/>
              </w:rPr>
              <w:t>Dense</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Times New Roman" w:cs="Times New Roman"/>
                <w:sz w:val="20"/>
                <w:szCs w:val="20"/>
              </w:rPr>
              <w:t>No</w:t>
            </w:r>
          </w:p>
        </w:tc>
        <w:tc>
          <w:tcPr>
            <w:tcW w:w="155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Times New Roman" w:cs="Times New Roman"/>
                <w:sz w:val="20"/>
                <w:szCs w:val="20"/>
              </w:rPr>
              <w:t>No</w:t>
            </w:r>
          </w:p>
        </w:tc>
        <w:tc>
          <w:tcPr>
            <w:tcW w:w="270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Times New Roman" w:cs="Times New Roman"/>
                <w:sz w:val="20"/>
                <w:szCs w:val="20"/>
              </w:rPr>
              <w:t>Phi-3-mini-3.8B</w:t>
            </w:r>
          </w:p>
        </w:tc>
      </w:tr>
      <w:tr>
        <w:trPr/>
        <w:tc>
          <w:tcPr>
            <w:tcW w:w="1500" w:type="dxa"/>
            <w:tcBorders>
              <w:top w:val="single" w:sz="2" w:space="0" w:color="CCCCCC"/>
              <w:start w:val="single" w:sz="2" w:space="0" w:color="CCCCCC"/>
              <w:bottom w:val="single" w:sz="2" w:space="0" w:color="CCCCCC"/>
              <w:end w:val="single" w:sz="2" w:space="0" w:color="CCCCCC"/>
            </w:tcBorders>
            <w:shd w:fill="F2F6FC" w:val="clear"/>
          </w:tcPr>
          <w:p>
            <w:pPr>
              <w:pStyle w:val="Normal"/>
              <w:jc w:val="center"/>
              <w:rPr/>
            </w:pPr>
            <w:r>
              <w:rPr>
                <w:rFonts w:eastAsia="Times New Roman" w:cs="Times New Roman"/>
                <w:sz w:val="20"/>
                <w:szCs w:val="20"/>
              </w:rPr>
              <w:t>B</w:t>
            </w:r>
          </w:p>
        </w:tc>
        <w:tc>
          <w:tcPr>
            <w:tcW w:w="1200" w:type="dxa"/>
            <w:tcBorders>
              <w:top w:val="single" w:sz="2" w:space="0" w:color="CCCCCC"/>
              <w:start w:val="single" w:sz="2" w:space="0" w:color="CCCCCC"/>
              <w:bottom w:val="single" w:sz="2" w:space="0" w:color="CCCCCC"/>
              <w:end w:val="single" w:sz="2" w:space="0" w:color="CCCCCC"/>
            </w:tcBorders>
            <w:shd w:fill="F2F6FC" w:val="clear"/>
          </w:tcPr>
          <w:p>
            <w:pPr>
              <w:pStyle w:val="Normal"/>
              <w:jc w:val="center"/>
              <w:rPr/>
            </w:pPr>
            <w:r>
              <w:rPr>
                <w:rFonts w:eastAsia="Times New Roman" w:cs="Times New Roman"/>
                <w:sz w:val="20"/>
                <w:szCs w:val="20"/>
              </w:rPr>
              <w:t>Fixed</w:t>
            </w:r>
          </w:p>
        </w:tc>
        <w:tc>
          <w:tcPr>
            <w:tcW w:w="1200" w:type="dxa"/>
            <w:tcBorders>
              <w:top w:val="single" w:sz="2" w:space="0" w:color="CCCCCC"/>
              <w:start w:val="single" w:sz="2" w:space="0" w:color="CCCCCC"/>
              <w:bottom w:val="single" w:sz="2" w:space="0" w:color="CCCCCC"/>
              <w:end w:val="single" w:sz="2" w:space="0" w:color="CCCCCC"/>
            </w:tcBorders>
            <w:shd w:fill="F2F6FC" w:val="clear"/>
          </w:tcPr>
          <w:p>
            <w:pPr>
              <w:pStyle w:val="Normal"/>
              <w:jc w:val="center"/>
              <w:rPr/>
            </w:pPr>
            <w:r>
              <w:rPr>
                <w:rFonts w:eastAsia="Times New Roman" w:cs="Times New Roman"/>
                <w:sz w:val="20"/>
                <w:szCs w:val="20"/>
              </w:rPr>
              <w:t>Hybrid</w:t>
            </w:r>
          </w:p>
        </w:tc>
        <w:tc>
          <w:tcPr>
            <w:tcW w:w="1200" w:type="dxa"/>
            <w:tcBorders>
              <w:top w:val="single" w:sz="2" w:space="0" w:color="CCCCCC"/>
              <w:start w:val="single" w:sz="2" w:space="0" w:color="CCCCCC"/>
              <w:bottom w:val="single" w:sz="2" w:space="0" w:color="CCCCCC"/>
              <w:end w:val="single" w:sz="2" w:space="0" w:color="CCCCCC"/>
            </w:tcBorders>
            <w:shd w:fill="F2F6FC" w:val="clear"/>
          </w:tcPr>
          <w:p>
            <w:pPr>
              <w:pStyle w:val="Normal"/>
              <w:jc w:val="center"/>
              <w:rPr/>
            </w:pPr>
            <w:r>
              <w:rPr>
                <w:rFonts w:eastAsia="Times New Roman" w:cs="Times New Roman"/>
                <w:sz w:val="20"/>
                <w:szCs w:val="20"/>
              </w:rPr>
              <w:t>No</w:t>
            </w:r>
          </w:p>
        </w:tc>
        <w:tc>
          <w:tcPr>
            <w:tcW w:w="1559" w:type="dxa"/>
            <w:tcBorders>
              <w:top w:val="single" w:sz="2" w:space="0" w:color="CCCCCC"/>
              <w:start w:val="single" w:sz="2" w:space="0" w:color="CCCCCC"/>
              <w:bottom w:val="single" w:sz="2" w:space="0" w:color="CCCCCC"/>
              <w:end w:val="single" w:sz="2" w:space="0" w:color="CCCCCC"/>
            </w:tcBorders>
            <w:shd w:fill="F2F6FC" w:val="clear"/>
          </w:tcPr>
          <w:p>
            <w:pPr>
              <w:pStyle w:val="Normal"/>
              <w:jc w:val="center"/>
              <w:rPr/>
            </w:pPr>
            <w:r>
              <w:rPr>
                <w:rFonts w:eastAsia="Times New Roman" w:cs="Times New Roman"/>
                <w:sz w:val="20"/>
                <w:szCs w:val="20"/>
              </w:rPr>
              <w:t>No</w:t>
            </w:r>
          </w:p>
        </w:tc>
        <w:tc>
          <w:tcPr>
            <w:tcW w:w="2701" w:type="dxa"/>
            <w:tcBorders>
              <w:top w:val="single" w:sz="2" w:space="0" w:color="CCCCCC"/>
              <w:start w:val="single" w:sz="2" w:space="0" w:color="CCCCCC"/>
              <w:bottom w:val="single" w:sz="2" w:space="0" w:color="CCCCCC"/>
              <w:end w:val="single" w:sz="2" w:space="0" w:color="CCCCCC"/>
            </w:tcBorders>
            <w:shd w:fill="F2F6FC" w:val="clear"/>
          </w:tcPr>
          <w:p>
            <w:pPr>
              <w:pStyle w:val="Normal"/>
              <w:jc w:val="center"/>
              <w:rPr/>
            </w:pPr>
            <w:r>
              <w:rPr>
                <w:rFonts w:eastAsia="Times New Roman" w:cs="Times New Roman"/>
                <w:sz w:val="20"/>
                <w:szCs w:val="20"/>
              </w:rPr>
              <w:t>Phi-3-mini-3.8B</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Times New Roman" w:cs="Times New Roman"/>
                <w:sz w:val="20"/>
                <w:szCs w:val="20"/>
              </w:rPr>
              <w:t>C</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Times New Roman" w:cs="Times New Roman"/>
                <w:sz w:val="20"/>
                <w:szCs w:val="20"/>
              </w:rPr>
              <w:t>Section</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Times New Roman" w:cs="Times New Roman"/>
                <w:sz w:val="20"/>
                <w:szCs w:val="20"/>
              </w:rPr>
              <w:t>Hybrid</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Times New Roman" w:cs="Times New Roman"/>
                <w:sz w:val="20"/>
                <w:szCs w:val="20"/>
              </w:rPr>
              <w:t>No</w:t>
            </w:r>
          </w:p>
        </w:tc>
        <w:tc>
          <w:tcPr>
            <w:tcW w:w="155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Times New Roman" w:cs="Times New Roman"/>
                <w:sz w:val="20"/>
                <w:szCs w:val="20"/>
              </w:rPr>
              <w:t>No</w:t>
            </w:r>
          </w:p>
        </w:tc>
        <w:tc>
          <w:tcPr>
            <w:tcW w:w="270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Times New Roman" w:cs="Times New Roman"/>
                <w:sz w:val="20"/>
                <w:szCs w:val="20"/>
              </w:rPr>
              <w:t>Phi-3-mini-3.8B</w:t>
            </w:r>
          </w:p>
        </w:tc>
      </w:tr>
      <w:tr>
        <w:trPr/>
        <w:tc>
          <w:tcPr>
            <w:tcW w:w="1500" w:type="dxa"/>
            <w:tcBorders>
              <w:top w:val="single" w:sz="2" w:space="0" w:color="CCCCCC"/>
              <w:start w:val="single" w:sz="2" w:space="0" w:color="CCCCCC"/>
              <w:bottom w:val="single" w:sz="2" w:space="0" w:color="CCCCCC"/>
              <w:end w:val="single" w:sz="2" w:space="0" w:color="CCCCCC"/>
            </w:tcBorders>
            <w:shd w:fill="F2F6FC" w:val="clear"/>
          </w:tcPr>
          <w:p>
            <w:pPr>
              <w:pStyle w:val="Normal"/>
              <w:jc w:val="center"/>
              <w:rPr/>
            </w:pPr>
            <w:r>
              <w:rPr>
                <w:rFonts w:eastAsia="Times New Roman" w:cs="Times New Roman"/>
                <w:sz w:val="20"/>
                <w:szCs w:val="20"/>
              </w:rPr>
              <w:t>D</w:t>
            </w:r>
          </w:p>
        </w:tc>
        <w:tc>
          <w:tcPr>
            <w:tcW w:w="1200" w:type="dxa"/>
            <w:tcBorders>
              <w:top w:val="single" w:sz="2" w:space="0" w:color="CCCCCC"/>
              <w:start w:val="single" w:sz="2" w:space="0" w:color="CCCCCC"/>
              <w:bottom w:val="single" w:sz="2" w:space="0" w:color="CCCCCC"/>
              <w:end w:val="single" w:sz="2" w:space="0" w:color="CCCCCC"/>
            </w:tcBorders>
            <w:shd w:fill="F2F6FC" w:val="clear"/>
          </w:tcPr>
          <w:p>
            <w:pPr>
              <w:pStyle w:val="Normal"/>
              <w:jc w:val="center"/>
              <w:rPr/>
            </w:pPr>
            <w:r>
              <w:rPr>
                <w:rFonts w:eastAsia="Times New Roman" w:cs="Times New Roman"/>
                <w:sz w:val="20"/>
                <w:szCs w:val="20"/>
              </w:rPr>
              <w:t>Section</w:t>
            </w:r>
          </w:p>
        </w:tc>
        <w:tc>
          <w:tcPr>
            <w:tcW w:w="1200" w:type="dxa"/>
            <w:tcBorders>
              <w:top w:val="single" w:sz="2" w:space="0" w:color="CCCCCC"/>
              <w:start w:val="single" w:sz="2" w:space="0" w:color="CCCCCC"/>
              <w:bottom w:val="single" w:sz="2" w:space="0" w:color="CCCCCC"/>
              <w:end w:val="single" w:sz="2" w:space="0" w:color="CCCCCC"/>
            </w:tcBorders>
            <w:shd w:fill="F2F6FC" w:val="clear"/>
          </w:tcPr>
          <w:p>
            <w:pPr>
              <w:pStyle w:val="Normal"/>
              <w:jc w:val="center"/>
              <w:rPr/>
            </w:pPr>
            <w:r>
              <w:rPr>
                <w:rFonts w:eastAsia="Times New Roman" w:cs="Times New Roman"/>
                <w:sz w:val="20"/>
                <w:szCs w:val="20"/>
              </w:rPr>
              <w:t>Hybrid</w:t>
            </w:r>
          </w:p>
        </w:tc>
        <w:tc>
          <w:tcPr>
            <w:tcW w:w="1200" w:type="dxa"/>
            <w:tcBorders>
              <w:top w:val="single" w:sz="2" w:space="0" w:color="CCCCCC"/>
              <w:start w:val="single" w:sz="2" w:space="0" w:color="CCCCCC"/>
              <w:bottom w:val="single" w:sz="2" w:space="0" w:color="CCCCCC"/>
              <w:end w:val="single" w:sz="2" w:space="0" w:color="CCCCCC"/>
            </w:tcBorders>
            <w:shd w:fill="F2F6FC" w:val="clear"/>
          </w:tcPr>
          <w:p>
            <w:pPr>
              <w:pStyle w:val="Normal"/>
              <w:jc w:val="center"/>
              <w:rPr/>
            </w:pPr>
            <w:r>
              <w:rPr>
                <w:rFonts w:eastAsia="Times New Roman" w:cs="Times New Roman"/>
                <w:sz w:val="20"/>
                <w:szCs w:val="20"/>
              </w:rPr>
              <w:t>Yes</w:t>
            </w:r>
          </w:p>
        </w:tc>
        <w:tc>
          <w:tcPr>
            <w:tcW w:w="1559" w:type="dxa"/>
            <w:tcBorders>
              <w:top w:val="single" w:sz="2" w:space="0" w:color="CCCCCC"/>
              <w:start w:val="single" w:sz="2" w:space="0" w:color="CCCCCC"/>
              <w:bottom w:val="single" w:sz="2" w:space="0" w:color="CCCCCC"/>
              <w:end w:val="single" w:sz="2" w:space="0" w:color="CCCCCC"/>
            </w:tcBorders>
            <w:shd w:fill="F2F6FC" w:val="clear"/>
          </w:tcPr>
          <w:p>
            <w:pPr>
              <w:pStyle w:val="Normal"/>
              <w:jc w:val="center"/>
              <w:rPr/>
            </w:pPr>
            <w:r>
              <w:rPr>
                <w:rFonts w:eastAsia="Times New Roman" w:cs="Times New Roman"/>
                <w:sz w:val="20"/>
                <w:szCs w:val="20"/>
              </w:rPr>
              <w:t>No</w:t>
            </w:r>
          </w:p>
        </w:tc>
        <w:tc>
          <w:tcPr>
            <w:tcW w:w="2701" w:type="dxa"/>
            <w:tcBorders>
              <w:top w:val="single" w:sz="2" w:space="0" w:color="CCCCCC"/>
              <w:start w:val="single" w:sz="2" w:space="0" w:color="CCCCCC"/>
              <w:bottom w:val="single" w:sz="2" w:space="0" w:color="CCCCCC"/>
              <w:end w:val="single" w:sz="2" w:space="0" w:color="CCCCCC"/>
            </w:tcBorders>
            <w:shd w:fill="F2F6FC" w:val="clear"/>
          </w:tcPr>
          <w:p>
            <w:pPr>
              <w:pStyle w:val="Normal"/>
              <w:jc w:val="center"/>
              <w:rPr/>
            </w:pPr>
            <w:r>
              <w:rPr>
                <w:rFonts w:eastAsia="Times New Roman" w:cs="Times New Roman"/>
                <w:sz w:val="20"/>
                <w:szCs w:val="20"/>
              </w:rPr>
              <w:t>Phi-3-mini-3.8B</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Times New Roman" w:cs="Times New Roman"/>
                <w:sz w:val="20"/>
                <w:szCs w:val="20"/>
              </w:rPr>
              <w:t>E</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Times New Roman" w:cs="Times New Roman"/>
                <w:sz w:val="20"/>
                <w:szCs w:val="20"/>
              </w:rPr>
              <w:t>Section</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Times New Roman" w:cs="Times New Roman"/>
                <w:sz w:val="20"/>
                <w:szCs w:val="20"/>
              </w:rPr>
              <w:t>Hybrid</w:t>
            </w:r>
          </w:p>
        </w:tc>
        <w:tc>
          <w:tcPr>
            <w:tcW w:w="12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Times New Roman" w:cs="Times New Roman"/>
                <w:sz w:val="20"/>
                <w:szCs w:val="20"/>
              </w:rPr>
              <w:t>Yes</w:t>
            </w:r>
          </w:p>
        </w:tc>
        <w:tc>
          <w:tcPr>
            <w:tcW w:w="155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Times New Roman" w:cs="Times New Roman"/>
                <w:sz w:val="20"/>
                <w:szCs w:val="20"/>
              </w:rPr>
              <w:t>Yes</w:t>
            </w:r>
          </w:p>
        </w:tc>
        <w:tc>
          <w:tcPr>
            <w:tcW w:w="270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Times New Roman" w:cs="Times New Roman"/>
                <w:sz w:val="20"/>
                <w:szCs w:val="20"/>
              </w:rPr>
              <w:t>Phi-3-mini-3.8B</w:t>
            </w:r>
          </w:p>
        </w:tc>
      </w:tr>
      <w:tr>
        <w:trPr/>
        <w:tc>
          <w:tcPr>
            <w:tcW w:w="1500" w:type="dxa"/>
            <w:tcBorders>
              <w:top w:val="single" w:sz="2" w:space="0" w:color="CCCCCC"/>
              <w:start w:val="single" w:sz="2" w:space="0" w:color="CCCCCC"/>
              <w:bottom w:val="single" w:sz="2" w:space="0" w:color="CCCCCC"/>
              <w:end w:val="single" w:sz="2" w:space="0" w:color="CCCCCC"/>
            </w:tcBorders>
            <w:shd w:fill="F2F6FC" w:val="clear"/>
          </w:tcPr>
          <w:p>
            <w:pPr>
              <w:pStyle w:val="Normal"/>
              <w:jc w:val="center"/>
              <w:rPr/>
            </w:pPr>
            <w:r>
              <w:rPr>
                <w:rFonts w:eastAsia="Times New Roman" w:cs="Times New Roman"/>
                <w:sz w:val="20"/>
                <w:szCs w:val="20"/>
              </w:rPr>
              <w:t>F (oracle)</w:t>
            </w:r>
          </w:p>
        </w:tc>
        <w:tc>
          <w:tcPr>
            <w:tcW w:w="1200" w:type="dxa"/>
            <w:tcBorders>
              <w:top w:val="single" w:sz="2" w:space="0" w:color="CCCCCC"/>
              <w:start w:val="single" w:sz="2" w:space="0" w:color="CCCCCC"/>
              <w:bottom w:val="single" w:sz="2" w:space="0" w:color="CCCCCC"/>
              <w:end w:val="single" w:sz="2" w:space="0" w:color="CCCCCC"/>
            </w:tcBorders>
            <w:shd w:fill="F2F6FC" w:val="clear"/>
          </w:tcPr>
          <w:p>
            <w:pPr>
              <w:pStyle w:val="Normal"/>
              <w:jc w:val="center"/>
              <w:rPr/>
            </w:pPr>
            <w:r>
              <w:rPr>
                <w:rFonts w:eastAsia="Times New Roman" w:cs="Times New Roman"/>
                <w:sz w:val="20"/>
                <w:szCs w:val="20"/>
              </w:rPr>
              <w:t>Section</w:t>
            </w:r>
          </w:p>
        </w:tc>
        <w:tc>
          <w:tcPr>
            <w:tcW w:w="1200" w:type="dxa"/>
            <w:tcBorders>
              <w:top w:val="single" w:sz="2" w:space="0" w:color="CCCCCC"/>
              <w:start w:val="single" w:sz="2" w:space="0" w:color="CCCCCC"/>
              <w:bottom w:val="single" w:sz="2" w:space="0" w:color="CCCCCC"/>
              <w:end w:val="single" w:sz="2" w:space="0" w:color="CCCCCC"/>
            </w:tcBorders>
            <w:shd w:fill="F2F6FC" w:val="clear"/>
          </w:tcPr>
          <w:p>
            <w:pPr>
              <w:pStyle w:val="Normal"/>
              <w:jc w:val="center"/>
              <w:rPr/>
            </w:pPr>
            <w:r>
              <w:rPr>
                <w:rFonts w:eastAsia="Times New Roman" w:cs="Times New Roman"/>
                <w:sz w:val="20"/>
                <w:szCs w:val="20"/>
              </w:rPr>
              <w:t>Hybrid</w:t>
            </w:r>
          </w:p>
        </w:tc>
        <w:tc>
          <w:tcPr>
            <w:tcW w:w="1200" w:type="dxa"/>
            <w:tcBorders>
              <w:top w:val="single" w:sz="2" w:space="0" w:color="CCCCCC"/>
              <w:start w:val="single" w:sz="2" w:space="0" w:color="CCCCCC"/>
              <w:bottom w:val="single" w:sz="2" w:space="0" w:color="CCCCCC"/>
              <w:end w:val="single" w:sz="2" w:space="0" w:color="CCCCCC"/>
            </w:tcBorders>
            <w:shd w:fill="F2F6FC" w:val="clear"/>
          </w:tcPr>
          <w:p>
            <w:pPr>
              <w:pStyle w:val="Normal"/>
              <w:jc w:val="center"/>
              <w:rPr/>
            </w:pPr>
            <w:r>
              <w:rPr>
                <w:rFonts w:eastAsia="Times New Roman" w:cs="Times New Roman"/>
                <w:sz w:val="20"/>
                <w:szCs w:val="20"/>
              </w:rPr>
              <w:t>Yes</w:t>
            </w:r>
          </w:p>
        </w:tc>
        <w:tc>
          <w:tcPr>
            <w:tcW w:w="1559" w:type="dxa"/>
            <w:tcBorders>
              <w:top w:val="single" w:sz="2" w:space="0" w:color="CCCCCC"/>
              <w:start w:val="single" w:sz="2" w:space="0" w:color="CCCCCC"/>
              <w:bottom w:val="single" w:sz="2" w:space="0" w:color="CCCCCC"/>
              <w:end w:val="single" w:sz="2" w:space="0" w:color="CCCCCC"/>
            </w:tcBorders>
            <w:shd w:fill="F2F6FC" w:val="clear"/>
          </w:tcPr>
          <w:p>
            <w:pPr>
              <w:pStyle w:val="Normal"/>
              <w:jc w:val="center"/>
              <w:rPr/>
            </w:pPr>
            <w:r>
              <w:rPr>
                <w:rFonts w:eastAsia="Times New Roman" w:cs="Times New Roman"/>
                <w:sz w:val="20"/>
                <w:szCs w:val="20"/>
              </w:rPr>
              <w:t>Yes</w:t>
            </w:r>
          </w:p>
        </w:tc>
        <w:tc>
          <w:tcPr>
            <w:tcW w:w="2701" w:type="dxa"/>
            <w:tcBorders>
              <w:top w:val="single" w:sz="2" w:space="0" w:color="CCCCCC"/>
              <w:start w:val="single" w:sz="2" w:space="0" w:color="CCCCCC"/>
              <w:bottom w:val="single" w:sz="2" w:space="0" w:color="CCCCCC"/>
              <w:end w:val="single" w:sz="2" w:space="0" w:color="CCCCCC"/>
            </w:tcBorders>
            <w:shd w:fill="F2F6FC" w:val="clear"/>
          </w:tcPr>
          <w:p>
            <w:pPr>
              <w:pStyle w:val="Normal"/>
              <w:jc w:val="center"/>
              <w:rPr/>
            </w:pPr>
            <w:r>
              <w:rPr>
                <w:rFonts w:eastAsia="Times New Roman" w:cs="Times New Roman"/>
                <w:sz w:val="20"/>
                <w:szCs w:val="20"/>
              </w:rPr>
              <w:t>GPT-4o (API)</w:t>
            </w:r>
          </w:p>
        </w:tc>
      </w:tr>
    </w:tbl>
    <w:p>
      <w:pPr>
        <w:pStyle w:val="Normal"/>
        <w:spacing w:before="60" w:after="60"/>
        <w:jc w:val="center"/>
        <w:rPr/>
      </w:pPr>
      <w:r>
        <w:rPr>
          <w:rFonts w:eastAsia="Times New Roman" w:cs="Times New Roman"/>
          <w:sz w:val="18"/>
          <w:szCs w:val="18"/>
        </w:rPr>
        <w:t>Table 1: Ablation conditions. Each row varies one component from the previous.</w:t>
      </w:r>
    </w:p>
    <w:p>
      <w:pPr>
        <w:pStyle w:val="Normal"/>
        <w:spacing w:before="60" w:after="60"/>
        <w:rPr/>
      </w:pPr>
      <w:r>
        <w:rPr/>
      </w:r>
    </w:p>
    <w:p>
      <w:pPr>
        <w:pStyle w:val="Heading2"/>
        <w:spacing w:before="200" w:after="80"/>
        <w:rPr/>
      </w:pPr>
      <w:r>
        <w:rPr>
          <w:rFonts w:eastAsia="Times New Roman" w:cs="Times New Roman" w:ascii="Times New Roman" w:hAnsi="Times New Roman"/>
          <w:b/>
          <w:bCs/>
          <w:sz w:val="24"/>
          <w:szCs w:val="24"/>
        </w:rPr>
        <w:t>5.2  Datasets and Evaluation</w:t>
      </w:r>
    </w:p>
    <w:p>
      <w:pPr>
        <w:pStyle w:val="Normal"/>
        <w:spacing w:lineRule="auto" w:line="276" w:before="80" w:after="80"/>
        <w:jc w:val="both"/>
        <w:rPr/>
      </w:pPr>
      <w:r>
        <w:rPr>
          <w:rFonts w:eastAsia="Times New Roman" w:cs="Times New Roman"/>
          <w:sz w:val="22"/>
          <w:szCs w:val="22"/>
        </w:rPr>
        <w:t>Primary evaluation will use QASPER (Dasigi et al., 2021), a benchmark of question-answer pairs over full-text NLP papers, with gold evidence annotations. This allows automatic evaluation of retrieval recall (does the system retrieve the gold passage?) as well as answer correctness. Secondary evaluation will use PeerQA (Baumgärtner et al., 2025), which provides questions derived from peer reviews — a realistic out-of-domain test.</w:t>
      </w:r>
    </w:p>
    <w:p>
      <w:pPr>
        <w:pStyle w:val="Normal"/>
        <w:spacing w:before="60" w:after="60"/>
        <w:rPr/>
      </w:pPr>
      <w:r>
        <w:rPr/>
      </w:r>
    </w:p>
    <w:p>
      <w:pPr>
        <w:pStyle w:val="Normal"/>
        <w:spacing w:lineRule="auto" w:line="276" w:before="80" w:after="80"/>
        <w:jc w:val="both"/>
        <w:rPr/>
      </w:pPr>
      <w:r>
        <w:rPr>
          <w:rFonts w:eastAsia="Times New Roman" w:cs="Times New Roman"/>
          <w:sz w:val="22"/>
          <w:szCs w:val="22"/>
        </w:rPr>
        <w:t>We will report the following metrics:</w:t>
      </w:r>
    </w:p>
    <w:p>
      <w:pPr>
        <w:pStyle w:val="Normal"/>
        <w:spacing w:before="60" w:after="60"/>
        <w:rPr/>
      </w:pPr>
      <w:r>
        <w:rPr/>
      </w:r>
    </w:p>
    <w:p>
      <w:pPr>
        <w:pStyle w:val="ListParagraph"/>
        <w:numPr>
          <w:ilvl w:val="0"/>
          <w:numId w:val="1"/>
        </w:numPr>
        <w:spacing w:before="40" w:after="40"/>
        <w:rPr/>
      </w:pPr>
      <w:r>
        <w:rPr>
          <w:rFonts w:eastAsia="Times New Roman" w:cs="Times New Roman"/>
          <w:sz w:val="22"/>
          <w:szCs w:val="22"/>
        </w:rPr>
        <w:t>Retrieval: Recall@5, MRR@10, evidence hit rate (fraction of questions where the gold passage appears in the top-5 retrieved chunks).</w:t>
      </w:r>
    </w:p>
    <w:p>
      <w:pPr>
        <w:pStyle w:val="ListParagraph"/>
        <w:numPr>
          <w:ilvl w:val="0"/>
          <w:numId w:val="1"/>
        </w:numPr>
        <w:spacing w:before="40" w:after="40"/>
        <w:rPr/>
      </w:pPr>
      <w:r>
        <w:rPr>
          <w:rFonts w:eastAsia="Times New Roman" w:cs="Times New Roman"/>
          <w:sz w:val="22"/>
          <w:szCs w:val="22"/>
        </w:rPr>
        <w:t>Answer correctness: Token-level F1 against gold answers (following QASPER's official metric).</w:t>
      </w:r>
    </w:p>
    <w:p>
      <w:pPr>
        <w:pStyle w:val="ListParagraph"/>
        <w:numPr>
          <w:ilvl w:val="0"/>
          <w:numId w:val="1"/>
        </w:numPr>
        <w:spacing w:before="40" w:after="40"/>
        <w:rPr/>
      </w:pPr>
      <w:r>
        <w:rPr>
          <w:rFonts w:eastAsia="Times New Roman" w:cs="Times New Roman"/>
          <w:sz w:val="22"/>
          <w:szCs w:val="22"/>
        </w:rPr>
        <w:t>Faithfulness: Automated faithfulness score using RAGAS (Es et al., 2023), which measures whether each claim in the answer is supported by the retrieved context.</w:t>
      </w:r>
    </w:p>
    <w:p>
      <w:pPr>
        <w:pStyle w:val="ListParagraph"/>
        <w:numPr>
          <w:ilvl w:val="0"/>
          <w:numId w:val="1"/>
        </w:numPr>
        <w:spacing w:before="40" w:after="40"/>
        <w:rPr/>
      </w:pPr>
      <w:r>
        <w:rPr>
          <w:rFonts w:eastAsia="Times New Roman" w:cs="Times New Roman"/>
          <w:sz w:val="22"/>
          <w:szCs w:val="22"/>
        </w:rPr>
        <w:t>Citation correctness: Fraction of inline citations where the cited passage actually entails the corresponding claim, judged by a cross-encoder NLI model (Honovich et al., 2022).</w:t>
      </w:r>
    </w:p>
    <w:p>
      <w:pPr>
        <w:pStyle w:val="ListParagraph"/>
        <w:numPr>
          <w:ilvl w:val="0"/>
          <w:numId w:val="1"/>
        </w:numPr>
        <w:spacing w:before="40" w:after="40"/>
        <w:rPr/>
      </w:pPr>
      <w:r>
        <w:rPr>
          <w:rFonts w:eastAsia="Times New Roman" w:cs="Times New Roman"/>
          <w:sz w:val="22"/>
          <w:szCs w:val="22"/>
        </w:rPr>
        <w:t>Human evaluation: For 25–30 sampled Q&amp;A pairs from condition E (best local) and condition F (oracle), annotators will judge whether each citation genuinely supports its claim on a 3-point scale: fully supported, partially supported, unsupported.</w:t>
      </w:r>
    </w:p>
    <w:p>
      <w:pPr>
        <w:pStyle w:val="Normal"/>
        <w:spacing w:before="60" w:after="60"/>
        <w:rPr/>
      </w:pPr>
      <w:r>
        <w:rPr/>
      </w:r>
    </w:p>
    <w:p>
      <w:pPr>
        <w:pStyle w:val="Heading2"/>
        <w:spacing w:before="200" w:after="80"/>
        <w:rPr/>
      </w:pPr>
      <w:r>
        <w:rPr>
          <w:rFonts w:eastAsia="Times New Roman" w:cs="Times New Roman" w:ascii="Times New Roman" w:hAnsi="Times New Roman"/>
          <w:b/>
          <w:bCs/>
          <w:sz w:val="24"/>
          <w:szCs w:val="24"/>
        </w:rPr>
        <w:t>5.3  Baseline</w:t>
      </w:r>
    </w:p>
    <w:p>
      <w:pPr>
        <w:pStyle w:val="Normal"/>
        <w:spacing w:lineRule="auto" w:line="276" w:before="80" w:after="80"/>
        <w:jc w:val="both"/>
        <w:rPr/>
      </w:pPr>
      <w:r>
        <w:rPr>
          <w:rFonts w:eastAsia="Times New Roman" w:cs="Times New Roman"/>
          <w:sz w:val="22"/>
          <w:szCs w:val="22"/>
        </w:rPr>
        <w:t>The simplest baseline is Phi-3-mini-3.8B with no retrieval at all, answering questions purely from its parametric knowledge. This is trivially implemented (one inference call per question) and answers the question of whether retrieval helps at all for this task and model. We expect it to hallucinate at a much higher rate and to be unable to produce valid citations.</w:t>
      </w:r>
    </w:p>
    <w:p>
      <w:pPr>
        <w:pStyle w:val="Normal"/>
        <w:spacing w:before="60" w:after="60"/>
        <w:rPr/>
      </w:pPr>
      <w:r>
        <w:rPr/>
      </w:r>
    </w:p>
    <w:p>
      <w:pPr>
        <w:pStyle w:val="Heading1"/>
        <w:spacing w:before="280" w:after="120"/>
        <w:rPr/>
      </w:pPr>
      <w:r>
        <w:rPr>
          <w:rFonts w:eastAsia="Times New Roman" w:cs="Times New Roman" w:ascii="Times New Roman" w:hAnsi="Times New Roman"/>
          <w:b/>
          <w:bCs/>
          <w:sz w:val="28"/>
          <w:szCs w:val="28"/>
        </w:rPr>
        <w:t>6  Related Work</w:t>
      </w:r>
    </w:p>
    <w:p>
      <w:pPr>
        <w:pStyle w:val="Normal"/>
        <w:spacing w:lineRule="auto" w:line="276" w:before="80" w:after="80"/>
        <w:jc w:val="both"/>
        <w:rPr/>
      </w:pPr>
      <w:r>
        <w:rPr>
          <w:rFonts w:eastAsia="Times New Roman" w:cs="Times New Roman"/>
          <w:sz w:val="22"/>
          <w:szCs w:val="22"/>
        </w:rPr>
        <w:t>Lewis et al. (2020) introduced RAG as a framework combining parametric generation with non-parametric retrieval, establishing the foundational argument that retrieval improves factuality and provenance. Rashkin et al. (2023) introduced the AIS framework for measuring whether generated content is attributable to identified sources, and Gao et al. (2023, EMNLP) proposed ALCE, a benchmark specifically for citation generation evaluation. These two works define the evaluation methodology we adopt.</w:t>
      </w:r>
    </w:p>
    <w:p>
      <w:pPr>
        <w:pStyle w:val="Normal"/>
        <w:spacing w:before="60" w:after="60"/>
        <w:rPr/>
      </w:pPr>
      <w:r>
        <w:rPr/>
      </w:r>
    </w:p>
    <w:p>
      <w:pPr>
        <w:pStyle w:val="Normal"/>
        <w:spacing w:lineRule="auto" w:line="276" w:before="80" w:after="80"/>
        <w:jc w:val="both"/>
        <w:rPr/>
      </w:pPr>
      <w:r>
        <w:rPr>
          <w:rFonts w:eastAsia="Times New Roman" w:cs="Times New Roman"/>
          <w:sz w:val="22"/>
          <w:szCs w:val="22"/>
        </w:rPr>
        <w:t>ARES (Saad-Falcon et al., 2024) provides automated evaluation of RAG systems across context relevance, answer faithfulness, and answer relevance, and will be used as part of our automated evaluation pipeline. HAGRID (Kamalloo et al., 2023) formalizes information-seeking with attribution, motivating the academic-paper QA framing.</w:t>
      </w:r>
    </w:p>
    <w:p>
      <w:pPr>
        <w:pStyle w:val="Normal"/>
        <w:spacing w:before="60" w:after="60"/>
        <w:rPr/>
      </w:pPr>
      <w:r>
        <w:rPr/>
      </w:r>
    </w:p>
    <w:p>
      <w:pPr>
        <w:pStyle w:val="Normal"/>
        <w:spacing w:lineRule="auto" w:line="276" w:before="80" w:after="80"/>
        <w:jc w:val="both"/>
        <w:rPr/>
      </w:pPr>
      <w:r>
        <w:rPr>
          <w:rFonts w:eastAsia="Times New Roman" w:cs="Times New Roman"/>
          <w:sz w:val="22"/>
          <w:szCs w:val="22"/>
        </w:rPr>
        <w:t>On the scientific document side, LitSearch (Ajith et al., 2024) benchmarks retrieval over NLP and ML papers and reports strong gains from dense retrieval and reranking — directly motivating our retrieval ablation design. PaperQA (Lálá et al., 2023) demonstrates a retrieval-augmented agent for scientific QA, while PeerQA (Baumgärtner et al., 2025) provides a realistic benchmark with peer-review-derived questions. OpenScholar (Asai et al., 2024) is the closest prior work to our project, combining retrieval, reranking, and attribution for scientific literature synthesis; our contribution is a controlled ablation study with a local SLM generator and explicit evaluation of the privacy-preserving deployment scenario.</w:t>
      </w:r>
    </w:p>
    <w:p>
      <w:pPr>
        <w:pStyle w:val="Normal"/>
        <w:spacing w:before="60" w:after="60"/>
        <w:rPr/>
      </w:pPr>
      <w:r>
        <w:rPr/>
      </w:r>
    </w:p>
    <w:p>
      <w:pPr>
        <w:pStyle w:val="Normal"/>
        <w:spacing w:lineRule="auto" w:line="276" w:before="80" w:after="80"/>
        <w:jc w:val="both"/>
        <w:rPr/>
      </w:pPr>
      <w:r>
        <w:rPr>
          <w:rFonts w:eastAsia="Times New Roman" w:cs="Times New Roman"/>
          <w:sz w:val="22"/>
          <w:szCs w:val="22"/>
        </w:rPr>
        <w:t>To our knowledge, no prior work has directly compared frontier-model and sub-7B-model citation faithfulness as a function of retrieval quality in a controlled ablation, nor has any work specifically evaluated the viability of fully local, privacy-preserving RAG for academic-paper QA.</w:t>
      </w:r>
    </w:p>
    <w:p>
      <w:pPr>
        <w:pStyle w:val="Normal"/>
        <w:spacing w:before="60" w:after="60"/>
        <w:rPr/>
      </w:pPr>
      <w:r>
        <w:rPr/>
      </w:r>
    </w:p>
    <w:p>
      <w:pPr>
        <w:pStyle w:val="Heading1"/>
        <w:spacing w:before="280" w:after="120"/>
        <w:rPr/>
      </w:pPr>
      <w:r>
        <w:rPr>
          <w:rFonts w:eastAsia="Times New Roman" w:cs="Times New Roman" w:ascii="Times New Roman" w:hAnsi="Times New Roman"/>
          <w:b/>
          <w:bCs/>
          <w:sz w:val="28"/>
          <w:szCs w:val="28"/>
        </w:rPr>
        <w:t>7  Project Timeline</w:t>
      </w:r>
    </w:p>
    <w:tbl>
      <w:tblPr>
        <w:tblW w:w="9360" w:type="dxa"/>
        <w:jc w:val="start"/>
        <w:tblInd w:w="0" w:type="dxa"/>
        <w:tblLayout w:type="fixed"/>
        <w:tblCellMar>
          <w:top w:w="80" w:type="dxa"/>
          <w:start w:w="120" w:type="dxa"/>
          <w:bottom w:w="80" w:type="dxa"/>
          <w:end w:w="120" w:type="dxa"/>
        </w:tblCellMar>
      </w:tblPr>
      <w:tblGrid>
        <w:gridCol w:w="1199"/>
        <w:gridCol w:w="8161"/>
      </w:tblGrid>
      <w:tr>
        <w:trPr/>
        <w:tc>
          <w:tcPr>
            <w:tcW w:w="1199" w:type="dxa"/>
            <w:tcBorders>
              <w:top w:val="single" w:sz="2" w:space="0" w:color="CCCCCC"/>
              <w:start w:val="single" w:sz="2" w:space="0" w:color="CCCCCC"/>
              <w:bottom w:val="single" w:sz="2" w:space="0" w:color="CCCCCC"/>
              <w:end w:val="single" w:sz="2" w:space="0" w:color="CCCCCC"/>
            </w:tcBorders>
            <w:shd w:fill="2E5FA3" w:val="clear"/>
          </w:tcPr>
          <w:p>
            <w:pPr>
              <w:pStyle w:val="Normal"/>
              <w:jc w:val="center"/>
              <w:rPr/>
            </w:pPr>
            <w:r>
              <w:rPr>
                <w:rFonts w:eastAsia="Times New Roman" w:cs="Times New Roman"/>
                <w:b/>
                <w:bCs/>
                <w:color w:val="FFFFFF"/>
                <w:sz w:val="20"/>
                <w:szCs w:val="20"/>
              </w:rPr>
              <w:t>Week</w:t>
            </w:r>
          </w:p>
        </w:tc>
        <w:tc>
          <w:tcPr>
            <w:tcW w:w="8161" w:type="dxa"/>
            <w:tcBorders>
              <w:top w:val="single" w:sz="2" w:space="0" w:color="CCCCCC"/>
              <w:start w:val="single" w:sz="2" w:space="0" w:color="CCCCCC"/>
              <w:bottom w:val="single" w:sz="2" w:space="0" w:color="CCCCCC"/>
              <w:end w:val="single" w:sz="2" w:space="0" w:color="CCCCCC"/>
            </w:tcBorders>
            <w:shd w:fill="2E5FA3" w:val="clear"/>
          </w:tcPr>
          <w:p>
            <w:pPr>
              <w:pStyle w:val="Normal"/>
              <w:jc w:val="center"/>
              <w:rPr/>
            </w:pPr>
            <w:r>
              <w:rPr>
                <w:rFonts w:eastAsia="Times New Roman" w:cs="Times New Roman"/>
                <w:b/>
                <w:bCs/>
                <w:color w:val="FFFFFF"/>
                <w:sz w:val="20"/>
                <w:szCs w:val="20"/>
              </w:rPr>
              <w:t>Milestone</w:t>
            </w:r>
          </w:p>
        </w:tc>
      </w:tr>
      <w:tr>
        <w:trPr/>
        <w:tc>
          <w:tcPr>
            <w:tcW w:w="1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0"/>
                <w:szCs w:val="20"/>
              </w:rPr>
              <w:t>1–2</w:t>
            </w:r>
          </w:p>
        </w:tc>
        <w:tc>
          <w:tcPr>
            <w:tcW w:w="8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0"/>
                <w:szCs w:val="20"/>
              </w:rPr>
              <w:t>PDF parsing, chunking pipeline (all 3 strategies), BM25 + dense retrieval baseline</w:t>
            </w:r>
          </w:p>
        </w:tc>
      </w:tr>
      <w:tr>
        <w:trPr/>
        <w:tc>
          <w:tcPr>
            <w:tcW w:w="1199" w:type="dxa"/>
            <w:tcBorders>
              <w:top w:val="single" w:sz="2" w:space="0" w:color="CCCCCC"/>
              <w:start w:val="single" w:sz="2" w:space="0" w:color="CCCCCC"/>
              <w:bottom w:val="single" w:sz="2" w:space="0" w:color="CCCCCC"/>
              <w:end w:val="single" w:sz="2" w:space="0" w:color="CCCCCC"/>
            </w:tcBorders>
            <w:shd w:fill="F2F6FC" w:val="clear"/>
          </w:tcPr>
          <w:p>
            <w:pPr>
              <w:pStyle w:val="Normal"/>
              <w:rPr/>
            </w:pPr>
            <w:r>
              <w:rPr>
                <w:rFonts w:eastAsia="Times New Roman" w:cs="Times New Roman"/>
                <w:sz w:val="20"/>
                <w:szCs w:val="20"/>
              </w:rPr>
              <w:t>3</w:t>
            </w:r>
          </w:p>
        </w:tc>
        <w:tc>
          <w:tcPr>
            <w:tcW w:w="8161" w:type="dxa"/>
            <w:tcBorders>
              <w:top w:val="single" w:sz="2" w:space="0" w:color="CCCCCC"/>
              <w:start w:val="single" w:sz="2" w:space="0" w:color="CCCCCC"/>
              <w:bottom w:val="single" w:sz="2" w:space="0" w:color="CCCCCC"/>
              <w:end w:val="single" w:sz="2" w:space="0" w:color="CCCCCC"/>
            </w:tcBorders>
            <w:shd w:fill="F2F6FC" w:val="clear"/>
          </w:tcPr>
          <w:p>
            <w:pPr>
              <w:pStyle w:val="Normal"/>
              <w:rPr/>
            </w:pPr>
            <w:r>
              <w:rPr>
                <w:rFonts w:eastAsia="Times New Roman" w:cs="Times New Roman"/>
                <w:sz w:val="20"/>
                <w:szCs w:val="20"/>
              </w:rPr>
              <w:t>Hybrid retrieval + cross-encoder reranker; baseline experiments on QASPER</w:t>
            </w:r>
          </w:p>
        </w:tc>
      </w:tr>
      <w:tr>
        <w:trPr/>
        <w:tc>
          <w:tcPr>
            <w:tcW w:w="1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0"/>
                <w:szCs w:val="20"/>
              </w:rPr>
              <w:t>4</w:t>
            </w:r>
          </w:p>
        </w:tc>
        <w:tc>
          <w:tcPr>
            <w:tcW w:w="8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0"/>
                <w:szCs w:val="20"/>
              </w:rPr>
              <w:t>Citation-prompting variants; faithfulness evaluation with RAGAS; error analysis</w:t>
            </w:r>
          </w:p>
        </w:tc>
      </w:tr>
      <w:tr>
        <w:trPr/>
        <w:tc>
          <w:tcPr>
            <w:tcW w:w="1199" w:type="dxa"/>
            <w:tcBorders>
              <w:top w:val="single" w:sz="2" w:space="0" w:color="CCCCCC"/>
              <w:start w:val="single" w:sz="2" w:space="0" w:color="CCCCCC"/>
              <w:bottom w:val="single" w:sz="2" w:space="0" w:color="CCCCCC"/>
              <w:end w:val="single" w:sz="2" w:space="0" w:color="CCCCCC"/>
            </w:tcBorders>
            <w:shd w:fill="F2F6FC" w:val="clear"/>
          </w:tcPr>
          <w:p>
            <w:pPr>
              <w:pStyle w:val="Normal"/>
              <w:rPr/>
            </w:pPr>
            <w:r>
              <w:rPr>
                <w:rFonts w:eastAsia="Times New Roman" w:cs="Times New Roman"/>
                <w:sz w:val="20"/>
                <w:szCs w:val="20"/>
              </w:rPr>
              <w:t>5</w:t>
            </w:r>
          </w:p>
        </w:tc>
        <w:tc>
          <w:tcPr>
            <w:tcW w:w="8161" w:type="dxa"/>
            <w:tcBorders>
              <w:top w:val="single" w:sz="2" w:space="0" w:color="CCCCCC"/>
              <w:start w:val="single" w:sz="2" w:space="0" w:color="CCCCCC"/>
              <w:bottom w:val="single" w:sz="2" w:space="0" w:color="CCCCCC"/>
              <w:end w:val="single" w:sz="2" w:space="0" w:color="CCCCCC"/>
            </w:tcBorders>
            <w:shd w:fill="F2F6FC" w:val="clear"/>
          </w:tcPr>
          <w:p>
            <w:pPr>
              <w:pStyle w:val="Normal"/>
              <w:rPr/>
            </w:pPr>
            <w:r>
              <w:rPr>
                <w:rFonts w:eastAsia="Times New Roman" w:cs="Times New Roman"/>
                <w:sz w:val="20"/>
                <w:szCs w:val="20"/>
              </w:rPr>
              <w:t>Human evaluation (20–30 Q&amp;A pairs); frontier model oracle comparison (GPT-4o)</w:t>
            </w:r>
          </w:p>
        </w:tc>
      </w:tr>
      <w:tr>
        <w:trPr/>
        <w:tc>
          <w:tcPr>
            <w:tcW w:w="1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0"/>
                <w:szCs w:val="20"/>
              </w:rPr>
              <w:t>6</w:t>
            </w:r>
          </w:p>
        </w:tc>
        <w:tc>
          <w:tcPr>
            <w:tcW w:w="8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Times New Roman" w:cs="Times New Roman"/>
                <w:sz w:val="20"/>
                <w:szCs w:val="20"/>
              </w:rPr>
              <w:t>Final ablation sweep, writeup, ACL formatting, GitHub release</w:t>
            </w:r>
          </w:p>
        </w:tc>
      </w:tr>
    </w:tbl>
    <w:p>
      <w:pPr>
        <w:pStyle w:val="Normal"/>
        <w:spacing w:before="60" w:after="60"/>
        <w:jc w:val="center"/>
        <w:rPr/>
      </w:pPr>
      <w:r>
        <w:rPr>
          <w:rFonts w:eastAsia="Times New Roman" w:cs="Times New Roman"/>
          <w:sz w:val="18"/>
          <w:szCs w:val="18"/>
        </w:rPr>
        <w:t>Table 2: Six-week project schedule.</w:t>
      </w:r>
    </w:p>
    <w:p>
      <w:pPr>
        <w:pStyle w:val="Normal"/>
        <w:spacing w:before="60" w:after="60"/>
        <w:rPr/>
      </w:pPr>
      <w:r>
        <w:rPr/>
      </w:r>
    </w:p>
    <w:p>
      <w:pPr>
        <w:pStyle w:val="Heading1"/>
        <w:spacing w:before="280" w:after="120"/>
        <w:rPr/>
      </w:pPr>
      <w:r>
        <w:rPr>
          <w:rFonts w:eastAsia="Times New Roman" w:cs="Times New Roman" w:ascii="Times New Roman" w:hAnsi="Times New Roman"/>
          <w:b/>
          <w:bCs/>
          <w:sz w:val="28"/>
          <w:szCs w:val="28"/>
        </w:rPr>
        <w:t>8  Software and Hardware</w:t>
      </w:r>
    </w:p>
    <w:p>
      <w:pPr>
        <w:pStyle w:val="Normal"/>
        <w:spacing w:lineRule="auto" w:line="276" w:before="80" w:after="80"/>
        <w:jc w:val="both"/>
        <w:rPr/>
      </w:pPr>
      <w:r>
        <w:rPr>
          <w:rFonts w:eastAsia="Times New Roman" w:cs="Times New Roman"/>
          <w:sz w:val="22"/>
          <w:szCs w:val="22"/>
        </w:rPr>
        <w:t>All code will be written in Python and released on GitHub under an open-source license. Key dependencies: PyMuPDF (PDF parsing), sentence-transformers (BGE embeddings), FAISS (vector search), rank-bm25, sentence-transformers cross-encoder (reranking), Ollama (local Phi-3-mini inference), RAGAS (automated faithfulness evaluation). Experiments will run on a single machine with a consumer GPU (8–16 GB VRAM); all local conditions require no internet access after model download.</w:t>
      </w:r>
    </w:p>
    <w:p>
      <w:pPr>
        <w:pStyle w:val="Normal"/>
        <w:spacing w:before="60" w:after="60"/>
        <w:rPr/>
      </w:pPr>
      <w:r>
        <w:rPr/>
      </w:r>
    </w:p>
    <w:p>
      <w:pPr>
        <w:pStyle w:val="Heading1"/>
        <w:spacing w:before="280" w:after="120"/>
        <w:rPr/>
      </w:pPr>
      <w:r>
        <w:rPr>
          <w:rFonts w:eastAsia="Times New Roman" w:cs="Times New Roman" w:ascii="Times New Roman" w:hAnsi="Times New Roman"/>
          <w:b/>
          <w:bCs/>
          <w:sz w:val="28"/>
          <w:szCs w:val="28"/>
        </w:rPr>
        <w:t>9  Expected Contributions</w:t>
      </w:r>
    </w:p>
    <w:p>
      <w:pPr>
        <w:pStyle w:val="ListParagraph"/>
        <w:numPr>
          <w:ilvl w:val="0"/>
          <w:numId w:val="1"/>
        </w:numPr>
        <w:spacing w:before="40" w:after="40"/>
        <w:rPr/>
      </w:pPr>
      <w:r>
        <w:rPr>
          <w:rFonts w:eastAsia="Times New Roman" w:cs="Times New Roman"/>
          <w:sz w:val="22"/>
          <w:szCs w:val="22"/>
        </w:rPr>
        <w:t>A fully local, privacy-preserving citation-grounded QA system runnable on a single consumer GPU with no cloud dependencies.</w:t>
      </w:r>
    </w:p>
    <w:p>
      <w:pPr>
        <w:pStyle w:val="ListParagraph"/>
        <w:numPr>
          <w:ilvl w:val="0"/>
          <w:numId w:val="1"/>
        </w:numPr>
        <w:spacing w:before="40" w:after="40"/>
        <w:rPr/>
      </w:pPr>
      <w:r>
        <w:rPr>
          <w:rFonts w:eastAsia="Times New Roman" w:cs="Times New Roman"/>
          <w:sz w:val="22"/>
          <w:szCs w:val="22"/>
        </w:rPr>
        <w:t>A controlled ablation study quantifying the independent contribution of chunking strategy, hybrid retrieval, reranking, and citation prompting to citation faithfulness in the SLM setting.</w:t>
      </w:r>
    </w:p>
    <w:p>
      <w:pPr>
        <w:pStyle w:val="ListParagraph"/>
        <w:numPr>
          <w:ilvl w:val="0"/>
          <w:numId w:val="1"/>
        </w:numPr>
        <w:spacing w:before="40" w:after="40"/>
        <w:rPr/>
      </w:pPr>
      <w:r>
        <w:rPr>
          <w:rFonts w:eastAsia="Times New Roman" w:cs="Times New Roman"/>
          <w:sz w:val="22"/>
          <w:szCs w:val="22"/>
        </w:rPr>
        <w:t>A direct comparison of the best local configuration against a GPT-4o oracle, characterizing the remaining gap and identifying its primary source (retrieval failure vs. generation failure).</w:t>
      </w:r>
    </w:p>
    <w:p>
      <w:pPr>
        <w:pStyle w:val="ListParagraph"/>
        <w:numPr>
          <w:ilvl w:val="0"/>
          <w:numId w:val="1"/>
        </w:numPr>
        <w:spacing w:before="40" w:after="40"/>
        <w:rPr/>
      </w:pPr>
      <w:r>
        <w:rPr>
          <w:rFonts w:eastAsia="Times New Roman" w:cs="Times New Roman"/>
          <w:sz w:val="22"/>
          <w:szCs w:val="22"/>
        </w:rPr>
        <w:t>A qualitative error analysis of failure modes: missed evidence, post-hoc citations, and unsupported claims.</w:t>
      </w:r>
    </w:p>
    <w:p>
      <w:pPr>
        <w:pStyle w:val="Normal"/>
        <w:spacing w:before="60" w:after="60"/>
        <w:rPr/>
      </w:pPr>
      <w:r>
        <w:rPr/>
      </w:r>
    </w:p>
    <w:p>
      <w:pPr>
        <w:pStyle w:val="Normal"/>
        <w:spacing w:lineRule="auto" w:line="276" w:before="80" w:after="80"/>
        <w:jc w:val="both"/>
        <w:rPr/>
      </w:pPr>
      <w:r>
        <w:rPr>
          <w:rFonts w:eastAsia="Times New Roman" w:cs="Times New Roman"/>
          <w:sz w:val="22"/>
          <w:szCs w:val="22"/>
        </w:rPr>
        <w:t>The central testable claim of the project is: systematic improvements to retrieval quality (hybrid retrieval + reranking) close more of the citation faithfulness gap between a local SLM and GPT-4o than citation-forcing prompts alone. This is falsifiable, specific, and, if supported, practically significant for the deployment of private document assistants.</w:t>
      </w:r>
    </w:p>
    <w:p>
      <w:pPr>
        <w:pStyle w:val="Normal"/>
        <w:spacing w:before="60" w:after="60"/>
        <w:rPr/>
      </w:pPr>
      <w:r>
        <w:rPr/>
      </w:r>
    </w:p>
    <w:p>
      <w:pPr>
        <w:pStyle w:val="Heading1"/>
        <w:spacing w:before="280" w:after="120"/>
        <w:rPr/>
      </w:pPr>
      <w:r>
        <w:rPr>
          <w:rFonts w:eastAsia="Times New Roman" w:cs="Times New Roman" w:ascii="Times New Roman" w:hAnsi="Times New Roman"/>
          <w:b/>
          <w:bCs/>
          <w:sz w:val="28"/>
          <w:szCs w:val="28"/>
        </w:rPr>
        <w:t>References</w:t>
      </w:r>
    </w:p>
    <w:p>
      <w:pPr>
        <w:pStyle w:val="Normal"/>
        <w:spacing w:lineRule="auto" w:line="276" w:before="80" w:after="80"/>
        <w:jc w:val="both"/>
        <w:rPr/>
      </w:pPr>
      <w:r>
        <w:rPr>
          <w:rFonts w:eastAsia="Times New Roman" w:cs="Times New Roman"/>
          <w:sz w:val="22"/>
          <w:szCs w:val="22"/>
        </w:rPr>
        <w:t>Ajith, A., Xia, M., Chevalier, A., Goyal, T., Chen, D., &amp; Gao, T. (2024). LitSearch: A Retrieval Benchmark for Scientific Literature Search. EMNLP 2024. arXiv:2407.18940.</w:t>
      </w:r>
    </w:p>
    <w:p>
      <w:pPr>
        <w:pStyle w:val="Normal"/>
        <w:spacing w:before="60" w:after="60"/>
        <w:rPr/>
      </w:pPr>
      <w:r>
        <w:rPr/>
      </w:r>
    </w:p>
    <w:p>
      <w:pPr>
        <w:pStyle w:val="Normal"/>
        <w:spacing w:lineRule="auto" w:line="276" w:before="80" w:after="80"/>
        <w:jc w:val="both"/>
        <w:rPr/>
      </w:pPr>
      <w:r>
        <w:rPr>
          <w:rFonts w:eastAsia="Times New Roman" w:cs="Times New Roman"/>
          <w:sz w:val="22"/>
          <w:szCs w:val="22"/>
        </w:rPr>
        <w:t>Asai, A., et al. (2024). OpenScholar: Synthesizing Scientific Literature with Retrieval-Augmented Language Models. arXiv:2411.14199.</w:t>
      </w:r>
    </w:p>
    <w:p>
      <w:pPr>
        <w:pStyle w:val="Normal"/>
        <w:spacing w:before="60" w:after="60"/>
        <w:rPr/>
      </w:pPr>
      <w:r>
        <w:rPr/>
      </w:r>
    </w:p>
    <w:p>
      <w:pPr>
        <w:pStyle w:val="Normal"/>
        <w:spacing w:lineRule="auto" w:line="276" w:before="80" w:after="80"/>
        <w:jc w:val="both"/>
        <w:rPr/>
      </w:pPr>
      <w:r>
        <w:rPr>
          <w:rFonts w:eastAsia="Times New Roman" w:cs="Times New Roman"/>
          <w:sz w:val="22"/>
          <w:szCs w:val="22"/>
        </w:rPr>
        <w:t>Baumgärtner, T., Briscoe, T., &amp; Gurevych, I. (2025). PeerQA: A Scientific Question Answering Dataset from Peer Reviews. NAACL 2025. arXiv:2502.13668.</w:t>
      </w:r>
    </w:p>
    <w:p>
      <w:pPr>
        <w:pStyle w:val="Normal"/>
        <w:spacing w:before="60" w:after="60"/>
        <w:rPr/>
      </w:pPr>
      <w:r>
        <w:rPr/>
      </w:r>
    </w:p>
    <w:p>
      <w:pPr>
        <w:pStyle w:val="Normal"/>
        <w:spacing w:lineRule="auto" w:line="276" w:before="80" w:after="80"/>
        <w:jc w:val="both"/>
        <w:rPr/>
      </w:pPr>
      <w:r>
        <w:rPr>
          <w:rFonts w:eastAsia="Times New Roman" w:cs="Times New Roman"/>
          <w:sz w:val="22"/>
          <w:szCs w:val="22"/>
        </w:rPr>
        <w:t>Dasigi, P., Lo, K., Beltagy, I., Cohan, A., Smith, N. A., &amp; Gardner, M. (2021). A Dataset of Information-Seeking Questions and Answers Anchored in Research Papers. NAACL 2021.</w:t>
      </w:r>
    </w:p>
    <w:p>
      <w:pPr>
        <w:pStyle w:val="Normal"/>
        <w:spacing w:before="60" w:after="60"/>
        <w:rPr/>
      </w:pPr>
      <w:r>
        <w:rPr/>
      </w:r>
    </w:p>
    <w:p>
      <w:pPr>
        <w:pStyle w:val="Normal"/>
        <w:spacing w:lineRule="auto" w:line="276" w:before="80" w:after="80"/>
        <w:jc w:val="both"/>
        <w:rPr/>
      </w:pPr>
      <w:r>
        <w:rPr>
          <w:rFonts w:eastAsia="Times New Roman" w:cs="Times New Roman"/>
          <w:sz w:val="22"/>
          <w:szCs w:val="22"/>
        </w:rPr>
        <w:t>Es, S., James, J., Espinosa-Anke, L., &amp; Schockaert, S. (2023). RAGAS: Automated Evaluation of Retrieval Augmented Generation. arXiv:2309.15217.</w:t>
      </w:r>
    </w:p>
    <w:p>
      <w:pPr>
        <w:pStyle w:val="Normal"/>
        <w:spacing w:before="60" w:after="60"/>
        <w:rPr/>
      </w:pPr>
      <w:r>
        <w:rPr/>
      </w:r>
    </w:p>
    <w:p>
      <w:pPr>
        <w:pStyle w:val="Normal"/>
        <w:spacing w:lineRule="auto" w:line="276" w:before="80" w:after="80"/>
        <w:jc w:val="both"/>
        <w:rPr/>
      </w:pPr>
      <w:r>
        <w:rPr>
          <w:rFonts w:eastAsia="Times New Roman" w:cs="Times New Roman"/>
          <w:sz w:val="22"/>
          <w:szCs w:val="22"/>
        </w:rPr>
        <w:t>Gao, T., Yen, H., Yu, J., &amp; Chen, D. (2023). Enabling Large Language Models to Generate Text with Citations. EMNLP 2023. arXiv:2305.14627.</w:t>
      </w:r>
    </w:p>
    <w:p>
      <w:pPr>
        <w:pStyle w:val="Normal"/>
        <w:spacing w:before="60" w:after="60"/>
        <w:rPr/>
      </w:pPr>
      <w:r>
        <w:rPr/>
      </w:r>
    </w:p>
    <w:p>
      <w:pPr>
        <w:pStyle w:val="Normal"/>
        <w:spacing w:lineRule="auto" w:line="276" w:before="80" w:after="80"/>
        <w:jc w:val="both"/>
        <w:rPr/>
      </w:pPr>
      <w:r>
        <w:rPr>
          <w:rFonts w:eastAsia="Times New Roman" w:cs="Times New Roman"/>
          <w:sz w:val="22"/>
          <w:szCs w:val="22"/>
        </w:rPr>
        <w:t>Honovich, O., Aharoni, R., Herzig, J., Taitelbaum, H., Kukliansy, D., Cohen, V., Szpektor, I. (2022). TRUE: Re-evaluating Factual Consistency Evaluation. NAACL 2022. arXiv:2204.04991.</w:t>
      </w:r>
    </w:p>
    <w:p>
      <w:pPr>
        <w:pStyle w:val="Normal"/>
        <w:spacing w:before="60" w:after="60"/>
        <w:rPr/>
      </w:pPr>
      <w:r>
        <w:rPr/>
      </w:r>
    </w:p>
    <w:p>
      <w:pPr>
        <w:pStyle w:val="Normal"/>
        <w:spacing w:lineRule="auto" w:line="276" w:before="80" w:after="80"/>
        <w:jc w:val="both"/>
        <w:rPr/>
      </w:pPr>
      <w:r>
        <w:rPr>
          <w:rFonts w:eastAsia="Times New Roman" w:cs="Times New Roman"/>
          <w:sz w:val="22"/>
          <w:szCs w:val="22"/>
        </w:rPr>
        <w:t>Kamalloo, E., Jafari, A., Zhang, X., Thakur, N., &amp; Lin, J. (2023). HAGRID: A Human-LLM Collaborative Dataset for Generative Information-Seeking with Attribution. arXiv:2307.16883.</w:t>
      </w:r>
    </w:p>
    <w:p>
      <w:pPr>
        <w:pStyle w:val="Normal"/>
        <w:spacing w:before="60" w:after="60"/>
        <w:rPr/>
      </w:pPr>
      <w:r>
        <w:rPr/>
      </w:r>
    </w:p>
    <w:p>
      <w:pPr>
        <w:pStyle w:val="Normal"/>
        <w:spacing w:lineRule="auto" w:line="276" w:before="80" w:after="80"/>
        <w:jc w:val="both"/>
        <w:rPr/>
      </w:pPr>
      <w:r>
        <w:rPr>
          <w:rFonts w:eastAsia="Times New Roman" w:cs="Times New Roman"/>
          <w:sz w:val="22"/>
          <w:szCs w:val="22"/>
        </w:rPr>
        <w:t>Lálá, J., O'Donoghue, O., Shtedritski, A., Cox, S., Rodriques, S. G., &amp; White, A. D. (2023). PaperQA: Retrieval-Augmented Generative Agent for Scientific Research. arXiv:2312.07559.</w:t>
      </w:r>
    </w:p>
    <w:p>
      <w:pPr>
        <w:pStyle w:val="Normal"/>
        <w:spacing w:before="60" w:after="60"/>
        <w:rPr/>
      </w:pPr>
      <w:r>
        <w:rPr/>
      </w:r>
    </w:p>
    <w:p>
      <w:pPr>
        <w:pStyle w:val="Normal"/>
        <w:spacing w:lineRule="auto" w:line="276" w:before="80" w:after="80"/>
        <w:jc w:val="both"/>
        <w:rPr/>
      </w:pPr>
      <w:r>
        <w:rPr>
          <w:rFonts w:eastAsia="Times New Roman" w:cs="Times New Roman"/>
          <w:sz w:val="22"/>
          <w:szCs w:val="22"/>
        </w:rPr>
        <w:t>Lewis, P., Perez, E., Piktus, A., Petroni, F., Karpukhin, V., Goyal, N., ... &amp; Kiela, D. (2020). Retrieval-Augmented Generation for Knowledge-Intensive NLP Tasks. NeurIPS 2020. arXiv:2005.11401.</w:t>
      </w:r>
    </w:p>
    <w:p>
      <w:pPr>
        <w:pStyle w:val="Normal"/>
        <w:spacing w:before="60" w:after="60"/>
        <w:rPr/>
      </w:pPr>
      <w:r>
        <w:rPr/>
      </w:r>
    </w:p>
    <w:p>
      <w:pPr>
        <w:pStyle w:val="Normal"/>
        <w:spacing w:lineRule="auto" w:line="276" w:before="80" w:after="80"/>
        <w:jc w:val="both"/>
        <w:rPr/>
      </w:pPr>
      <w:r>
        <w:rPr>
          <w:rFonts w:eastAsia="Times New Roman" w:cs="Times New Roman"/>
          <w:sz w:val="22"/>
          <w:szCs w:val="22"/>
        </w:rPr>
        <w:t>Microsoft. (2024). Phi-3 Technical Report: A Highly Capable Language Model Locally on Your Phone. arXiv:2404.14219.</w:t>
      </w:r>
    </w:p>
    <w:p>
      <w:pPr>
        <w:pStyle w:val="Normal"/>
        <w:spacing w:before="60" w:after="60"/>
        <w:rPr/>
      </w:pPr>
      <w:r>
        <w:rPr/>
      </w:r>
    </w:p>
    <w:p>
      <w:pPr>
        <w:pStyle w:val="Normal"/>
        <w:spacing w:lineRule="auto" w:line="276" w:before="80" w:after="80"/>
        <w:jc w:val="both"/>
        <w:rPr/>
      </w:pPr>
      <w:r>
        <w:rPr>
          <w:rFonts w:eastAsia="Times New Roman" w:cs="Times New Roman"/>
          <w:sz w:val="22"/>
          <w:szCs w:val="22"/>
        </w:rPr>
        <w:t>Rashkin, H., Nikolaev, V., Lamm, M., Aroyo, L., Collins, M., Das, D., ... &amp; Reitter, D. (2023). Measuring Attribution in Natural Language Generation Models. Computational Linguistics, 49(4).</w:t>
      </w:r>
    </w:p>
    <w:p>
      <w:pPr>
        <w:pStyle w:val="Normal"/>
        <w:spacing w:before="60" w:after="60"/>
        <w:rPr/>
      </w:pPr>
      <w:r>
        <w:rPr/>
      </w:r>
    </w:p>
    <w:p>
      <w:pPr>
        <w:pStyle w:val="Normal"/>
        <w:spacing w:lineRule="auto" w:line="276" w:before="80" w:after="80"/>
        <w:jc w:val="both"/>
        <w:rPr/>
      </w:pPr>
      <w:r>
        <w:rPr>
          <w:rFonts w:eastAsia="Times New Roman" w:cs="Times New Roman"/>
          <w:sz w:val="22"/>
          <w:szCs w:val="22"/>
        </w:rPr>
        <w:t>Saad-Falcon, J., Khattab, O., Potts, C., &amp; Zaharia, M. (2024). ARES: An Automated Evaluation Framework for Retrieval-Augmented Generation Systems. NAACL 2024. arXiv:2311.09476.</w:t>
      </w:r>
    </w:p>
    <w:p>
      <w:pPr>
        <w:pStyle w:val="Normal"/>
        <w:spacing w:before="60" w:after="60"/>
        <w:rPr/>
      </w:pPr>
      <w:r>
        <w:rPr/>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888888"/>
        <w:sz w:val="18"/>
        <w:szCs w:val="18"/>
      </w:rPr>
      <w:t xml:space="preserve">CS505 NLP Final Project Proposal  |  Page </w:t>
    </w: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888888"/>
        <w:sz w:val="18"/>
        <w:szCs w:val="18"/>
      </w:rPr>
      <w:t xml:space="preserve">CS505 NLP Final Project Proposal  |  Page </w:t>
    </w:r>
    <w:r>
      <w:rPr/>
      <w:fldChar w:fldCharType="begin"/>
    </w:r>
    <w:r>
      <w:rPr/>
      <w:instrText xml:space="preserve"> PAGE </w:instrText>
    </w:r>
    <w:r>
      <w:rPr/>
      <w:fldChar w:fldCharType="separate"/>
    </w:r>
    <w:r>
      <w:rPr/>
      <w:t>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SG"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2"/>
      <w:szCs w:val="22"/>
      <w:lang w:val="en-SG" w:eastAsia="zh-CN" w:bidi="hi-IN"/>
    </w:rPr>
  </w:style>
  <w:style w:type="paragraph" w:styleId="Heading1">
    <w:name w:val="heading 1"/>
    <w:basedOn w:val="Heading"/>
    <w:qFormat/>
    <w:pPr>
      <w:pBdr>
        <w:bottom w:val="single" w:sz="4" w:space="4" w:color="2E5FA3"/>
      </w:pBdr>
      <w:spacing w:before="280" w:after="120"/>
      <w:outlineLvl w:val="0"/>
    </w:pPr>
    <w:rPr>
      <w:rFonts w:ascii="Times New Roman" w:hAnsi="Times New Roman" w:eastAsia="Times New Roman" w:cs="Times New Roman"/>
      <w:b/>
      <w:bCs/>
      <w:color w:val="2E5FA3"/>
      <w:sz w:val="28"/>
      <w:szCs w:val="28"/>
    </w:rPr>
  </w:style>
  <w:style w:type="paragraph" w:styleId="Heading2">
    <w:name w:val="heading 2"/>
    <w:basedOn w:val="Heading"/>
    <w:qFormat/>
    <w:pPr>
      <w:spacing w:before="200" w:after="80"/>
      <w:outlineLvl w:val="1"/>
    </w:pPr>
    <w:rPr>
      <w:rFonts w:ascii="Times New Roman" w:hAnsi="Times New Roman" w:eastAsia="Times New Roman" w:cs="Times New Roman"/>
      <w:b/>
      <w:bCs/>
      <w:color w:val="1A1A1A"/>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2"/>
      <w:szCs w:val="22"/>
      <w:lang w:val="en-SG"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2"/>
      <w:szCs w:val="22"/>
      <w:lang w:val="en-SG"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LibreOffice/26.2.0.3$MacOSX_AARCH64 LibreOffice_project/afbbd0df0edb6d40b450b0337ac646b0913a760c</Application>
  <AppVersion>15.0000</AppVersion>
  <Pages>8</Pages>
  <Words>2306</Words>
  <Characters>14040</Characters>
  <CharactersWithSpaces>16205</CharactersWithSpaces>
  <Paragraphs>148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2026-03-19T22:34:22Z</dcterms:created>
  <dc:creator>Un-named</dc:creator>
  <dc:description/>
  <dc:language>en-SG</dc:language>
  <cp:lastModifiedBy/>
  <dcterms:modified xsi:type="dcterms:W3CDTF">2026-03-26T15:16:29Z</dcterms:modified>
  <cp:revision>2</cp:revision>
  <dc:subject/>
  <dc:title/>
</cp:coreProperties>
</file>