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00"/>
        <w:jc w:val="center"/>
        <w:rPr/>
      </w:pPr>
      <w:r>
        <w:rPr/>
        <w:t>Plataforma de intercambio de Threat Intelligence con IA y Blockchain</w:t>
      </w:r>
    </w:p>
    <w:p>
      <w:pPr>
        <w:pStyle w:val="Heading3"/>
        <w:bidi w:val="0"/>
        <w:spacing w:before="240" w:after="200"/>
        <w:jc w:val="start"/>
        <w:rPr/>
      </w:pPr>
      <w:r>
        <w:rPr/>
        <w:t>Informe de planificación de proyecto (TFM Full Stack + Blockchain)</w:t>
      </w:r>
    </w:p>
    <w:p>
      <w:pPr>
        <w:pStyle w:val="Normal"/>
        <w:bidi w:val="0"/>
        <w:spacing w:before="0" w:after="200"/>
        <w:jc w:val="start"/>
        <w:rPr/>
      </w:pPr>
      <w:r>
        <w:rPr/>
        <w:t xml:space="preserve"> </w:t>
      </w:r>
    </w:p>
    <w:p>
      <w:pPr>
        <w:pStyle w:val="Normal"/>
        <w:pBdr>
          <w:bottom w:val="single" w:sz="6" w:space="1" w:color="000000"/>
        </w:pBdr>
        <w:bidi w:val="0"/>
        <w:spacing w:before="0" w:after="120"/>
        <w:jc w:val="start"/>
        <w:rPr/>
      </w:pPr>
      <w:r>
        <w:rPr/>
      </w:r>
    </w:p>
    <w:p>
      <w:pPr>
        <w:pStyle w:val="Normal"/>
        <w:bidi w:val="0"/>
        <w:spacing w:before="0" w:after="200"/>
        <w:jc w:val="start"/>
        <w:rPr/>
      </w:pPr>
      <w:r>
        <w:rPr/>
        <w:t xml:space="preserve"> </w:t>
      </w:r>
    </w:p>
    <w:p>
      <w:pPr>
        <w:pStyle w:val="Heading2"/>
        <w:bidi w:val="0"/>
        <w:spacing w:before="240" w:after="200"/>
        <w:jc w:val="start"/>
        <w:rPr/>
      </w:pPr>
      <w:r>
        <w:rPr/>
        <w:t>1. Resumen ejecutivo</w:t>
      </w:r>
    </w:p>
    <w:p>
      <w:pPr>
        <w:pStyle w:val="Normal"/>
        <w:bidi w:val="0"/>
        <w:spacing w:before="0" w:after="200"/>
        <w:jc w:val="start"/>
        <w:rPr/>
      </w:pPr>
      <w:r>
        <w:rPr/>
        <w:t xml:space="preserve"> </w:t>
      </w:r>
    </w:p>
    <w:p>
      <w:pPr>
        <w:pStyle w:val="Normal"/>
        <w:bidi w:val="0"/>
        <w:spacing w:before="0" w:after="120"/>
        <w:jc w:val="start"/>
        <w:rPr/>
      </w:pPr>
      <w:r>
        <w:rPr/>
        <w:t xml:space="preserve">Este documento describe de principio a fin un proyecto académico-profesional consistente en el diseño y desarrollo de una </w:t>
      </w:r>
      <w:r>
        <w:rPr>
          <w:b/>
          <w:bCs/>
        </w:rPr>
        <w:t>plataforma de intercambio de inteligencia de amenazas (Threat Intelligence)</w:t>
      </w:r>
      <w:r>
        <w:rPr/>
        <w:t xml:space="preserve"> construida sobre una arquitectura de </w:t>
      </w:r>
      <w:r>
        <w:rPr>
          <w:b/>
          <w:bCs/>
        </w:rPr>
        <w:t>microservicios en Java</w:t>
      </w:r>
      <w:r>
        <w:rPr/>
        <w:t xml:space="preserve">, con un </w:t>
      </w:r>
      <w:r>
        <w:rPr>
          <w:b/>
          <w:bCs/>
        </w:rPr>
        <w:t>motor de Inteligencia Artificial</w:t>
      </w:r>
      <w:r>
        <w:rPr/>
        <w:t xml:space="preserve"> para correlación y priorización de indicadores de compromiso (IOCs), y una </w:t>
      </w:r>
      <w:r>
        <w:rPr>
          <w:b/>
          <w:bCs/>
        </w:rPr>
        <w:t>capa de blockchain permisionada</w:t>
      </w:r>
      <w:r>
        <w:rPr/>
        <w:t xml:space="preserve"> que garantiza la trazabilidad e inmutabilidad de la información compartida entre organizaciones.</w:t>
      </w:r>
    </w:p>
    <w:p>
      <w:pPr>
        <w:pStyle w:val="Normal"/>
        <w:bidi w:val="0"/>
        <w:spacing w:before="0" w:after="200"/>
        <w:jc w:val="start"/>
        <w:rPr/>
      </w:pPr>
      <w:r>
        <w:rPr/>
        <w:t xml:space="preserve"> </w:t>
      </w:r>
    </w:p>
    <w:p>
      <w:pPr>
        <w:pStyle w:val="Normal"/>
        <w:bidi w:val="0"/>
        <w:spacing w:before="0" w:after="120"/>
        <w:jc w:val="start"/>
        <w:rPr/>
      </w:pPr>
      <w:r>
        <w:rPr/>
        <w:t>El proyecto está pensado para poder desarrollarse íntegramente sin coste económico, usando exclusivamente software open source ejecutado en local, y su enfoque de negocio está alineado con las prioridades actuales del sector de ciberseguridad en España, en particular con las líneas de trabajo de Minsait Cyber (unidad de ciberseguridad de Indra Group).</w:t>
      </w:r>
    </w:p>
    <w:p>
      <w:pPr>
        <w:pStyle w:val="Normal"/>
        <w:bidi w:val="0"/>
        <w:spacing w:before="0" w:after="200"/>
        <w:jc w:val="start"/>
        <w:rPr/>
      </w:pPr>
      <w:r>
        <w:rPr/>
        <w:t xml:space="preserve"> </w:t>
      </w:r>
    </w:p>
    <w:p>
      <w:pPr>
        <w:pStyle w:val="Normal"/>
        <w:pBdr>
          <w:bottom w:val="single" w:sz="6" w:space="1" w:color="000000"/>
        </w:pBdr>
        <w:bidi w:val="0"/>
        <w:spacing w:before="0" w:after="120"/>
        <w:jc w:val="start"/>
        <w:rPr/>
      </w:pPr>
      <w:r>
        <w:rPr/>
      </w:r>
    </w:p>
    <w:p>
      <w:pPr>
        <w:pStyle w:val="Normal"/>
        <w:bidi w:val="0"/>
        <w:spacing w:before="0" w:after="200"/>
        <w:jc w:val="start"/>
        <w:rPr/>
      </w:pPr>
      <w:r>
        <w:rPr/>
        <w:t xml:space="preserve"> </w:t>
      </w:r>
    </w:p>
    <w:p>
      <w:pPr>
        <w:pStyle w:val="Heading2"/>
        <w:bidi w:val="0"/>
        <w:spacing w:before="240" w:after="200"/>
        <w:jc w:val="start"/>
        <w:rPr/>
      </w:pPr>
      <w:r>
        <w:rPr/>
        <w:t>2. El problema que resuelve</w:t>
      </w:r>
    </w:p>
    <w:p>
      <w:pPr>
        <w:pStyle w:val="Normal"/>
        <w:bidi w:val="0"/>
        <w:spacing w:before="0" w:after="200"/>
        <w:jc w:val="start"/>
        <w:rPr/>
      </w:pPr>
      <w:r>
        <w:rPr/>
        <w:t xml:space="preserve"> </w:t>
      </w:r>
    </w:p>
    <w:p>
      <w:pPr>
        <w:pStyle w:val="Normal"/>
        <w:bidi w:val="0"/>
        <w:spacing w:before="0" w:after="120"/>
        <w:jc w:val="start"/>
        <w:rPr/>
      </w:pPr>
      <w:r>
        <w:rPr/>
        <w:t>Las organizaciones —especialmente aquellas con infraestructuras críticas, entornos industriales o alta dependencia tecnológica— se enfrentan hoy a tres problemas interrelacionados:</w:t>
      </w:r>
    </w:p>
    <w:p>
      <w:pPr>
        <w:pStyle w:val="Normal"/>
        <w:bidi w:val="0"/>
        <w:spacing w:before="0" w:after="200"/>
        <w:jc w:val="start"/>
        <w:rPr/>
      </w:pPr>
      <w:r>
        <w:rPr/>
        <w:t xml:space="preserve"> </w:t>
      </w:r>
    </w:p>
    <w:p>
      <w:pPr>
        <w:pStyle w:val="Normal"/>
        <w:bidi w:val="0"/>
        <w:spacing w:before="0" w:after="100"/>
        <w:jc w:val="start"/>
        <w:rPr/>
      </w:pPr>
      <w:r>
        <w:rPr/>
        <w:t xml:space="preserve">1. </w:t>
      </w:r>
      <w:r>
        <w:rPr>
          <w:b/>
          <w:bCs/>
        </w:rPr>
        <w:t>Fragmentación de la inteligencia de amenazas.</w:t>
      </w:r>
      <w:r>
        <w:rPr/>
        <w:t xml:space="preserve"> Cada empresa detecta indicadores de compromiso (IPs maliciosas, hashes de malware, dominios de phishing, etc.) de forma aislada, sin un mecanismo ágil y confiable para compartirlos con otras organizaciones del mismo sector.</w:t>
      </w:r>
    </w:p>
    <w:p>
      <w:pPr>
        <w:pStyle w:val="Normal"/>
        <w:bidi w:val="0"/>
        <w:spacing w:before="0" w:after="100"/>
        <w:jc w:val="start"/>
        <w:rPr/>
      </w:pPr>
      <w:r>
        <w:rPr/>
        <w:t xml:space="preserve">2. </w:t>
      </w:r>
      <w:r>
        <w:rPr>
          <w:b/>
          <w:bCs/>
        </w:rPr>
        <w:t>Falta de confianza en la procedencia del dato.</w:t>
      </w:r>
      <w:r>
        <w:rPr/>
        <w:t xml:space="preserve"> Cuando sí se comparte inteligencia de amenazas (por ejemplo, a través de foros sectoriales o CERTs), es difícil verificar quién reportó qué y cuándo, y detectar manipulaciones o duplicados.</w:t>
      </w:r>
    </w:p>
    <w:p>
      <w:pPr>
        <w:pStyle w:val="Normal"/>
        <w:bidi w:val="0"/>
        <w:spacing w:before="0" w:after="100"/>
        <w:jc w:val="start"/>
        <w:rPr/>
      </w:pPr>
      <w:r>
        <w:rPr/>
        <w:t xml:space="preserve">3. </w:t>
      </w:r>
      <w:r>
        <w:rPr>
          <w:b/>
          <w:bCs/>
        </w:rPr>
        <w:t>Sobrecarga de alertas para los analistas de un SOC (Security Operations Center).</w:t>
      </w:r>
      <w:r>
        <w:rPr/>
        <w:t xml:space="preserve"> El volumen de IOCs e incidentes supera la capacidad humana de análisis manual, generando fatiga de alertas y retrasos en la respuesta.</w:t>
      </w:r>
    </w:p>
    <w:p>
      <w:pPr>
        <w:pStyle w:val="Normal"/>
        <w:bidi w:val="0"/>
        <w:spacing w:before="0" w:after="200"/>
        <w:jc w:val="start"/>
        <w:rPr/>
      </w:pPr>
      <w:r>
        <w:rPr/>
        <w:t xml:space="preserve"> </w:t>
      </w:r>
    </w:p>
    <w:p>
      <w:pPr>
        <w:pStyle w:val="Normal"/>
        <w:bidi w:val="0"/>
        <w:spacing w:before="0" w:after="120"/>
        <w:jc w:val="start"/>
        <w:rPr/>
      </w:pPr>
      <w:r>
        <w:rPr/>
        <w:t>El sector está señalando explícitamente estos retos de cara a 2026: se anticipa un aumento de ataques dirigidos a la cadena de suministro de software (pipelines, contenedores, dependencias ope</w:t>
      </w:r>
      <w:bookmarkStart w:id="0" w:name="_GoBack"/>
      <w:bookmarkEnd w:id="0"/>
      <w:r>
        <w:rPr/>
        <w:t>n source), un entorno marcado por tensiones geopolíticas y una superficie de ataque en expansión, lo que refuerza la necesidad de compartir inteligencia de forma más ágil, verificable y automatizada. También se insiste en que la adopción de IA en ciberseguridad debe hacerse de forma segura y alineada con el negocio, y en la importancia de la gestión continua de la exposición a amenazas (CTEM) y de automatizar las operaciones de seguridad.</w:t>
      </w:r>
    </w:p>
    <w:p>
      <w:pPr>
        <w:pStyle w:val="Normal"/>
        <w:bidi w:val="0"/>
        <w:spacing w:before="0" w:after="200"/>
        <w:jc w:val="start"/>
        <w:rPr/>
      </w:pPr>
      <w:r>
        <w:rPr/>
        <w:t xml:space="preserve"> </w:t>
      </w:r>
    </w:p>
    <w:p>
      <w:pPr>
        <w:pStyle w:val="Normal"/>
        <w:bidi w:val="0"/>
        <w:spacing w:before="0" w:after="120"/>
        <w:jc w:val="start"/>
        <w:rPr/>
      </w:pPr>
      <w:r>
        <w:rPr>
          <w:b/>
          <w:bCs/>
        </w:rPr>
        <w:t>La plataforma propuesta ataca los tres problemas a la vez:</w:t>
      </w:r>
    </w:p>
    <w:p>
      <w:pPr>
        <w:pStyle w:val="ListParagraph"/>
        <w:numPr>
          <w:ilvl w:val="0"/>
          <w:numId w:val="2"/>
        </w:numPr>
        <w:bidi w:val="0"/>
        <w:spacing w:before="0" w:after="100"/>
        <w:jc w:val="start"/>
        <w:rPr/>
      </w:pPr>
      <w:r>
        <w:rPr/>
        <w:t>Ofrece un canal común y estructurado para compartir IOCs entre organizaciones (microservicios).</w:t>
      </w:r>
    </w:p>
    <w:p>
      <w:pPr>
        <w:pStyle w:val="ListParagraph"/>
        <w:numPr>
          <w:ilvl w:val="0"/>
          <w:numId w:val="2"/>
        </w:numPr>
        <w:bidi w:val="0"/>
        <w:spacing w:before="0" w:after="100"/>
        <w:jc w:val="start"/>
        <w:rPr/>
      </w:pPr>
      <w:r>
        <w:rPr/>
        <w:t>Garantiza que cada IOC compartido queda registrado de forma inmutable y auditable, con su origen verificado (blockchain).</w:t>
      </w:r>
    </w:p>
    <w:p>
      <w:pPr>
        <w:pStyle w:val="ListParagraph"/>
        <w:numPr>
          <w:ilvl w:val="0"/>
          <w:numId w:val="2"/>
        </w:numPr>
        <w:bidi w:val="0"/>
        <w:spacing w:before="0" w:after="100"/>
        <w:jc w:val="start"/>
        <w:rPr/>
      </w:pPr>
      <w:r>
        <w:rPr/>
        <w:t>Reduce la carga del analista humano priorizando y resumiendo automáticamente las amenazas más relevantes (IA).</w:t>
      </w:r>
    </w:p>
    <w:p>
      <w:pPr>
        <w:pStyle w:val="Normal"/>
        <w:bidi w:val="0"/>
        <w:spacing w:before="0" w:after="200"/>
        <w:jc w:val="start"/>
        <w:rPr/>
      </w:pPr>
      <w:r>
        <w:rPr/>
        <w:t xml:space="preserve"> </w:t>
      </w:r>
    </w:p>
    <w:p>
      <w:pPr>
        <w:pStyle w:val="Normal"/>
        <w:pBdr>
          <w:bottom w:val="single" w:sz="6" w:space="1" w:color="000000"/>
        </w:pBdr>
        <w:bidi w:val="0"/>
        <w:spacing w:before="0" w:after="120"/>
        <w:jc w:val="start"/>
        <w:rPr/>
      </w:pPr>
      <w:r>
        <w:rPr/>
      </w:r>
    </w:p>
    <w:p>
      <w:pPr>
        <w:pStyle w:val="Normal"/>
        <w:bidi w:val="0"/>
        <w:spacing w:before="0" w:after="200"/>
        <w:jc w:val="start"/>
        <w:rPr/>
      </w:pPr>
      <w:r>
        <w:rPr/>
        <w:t xml:space="preserve"> </w:t>
      </w:r>
    </w:p>
    <w:p>
      <w:pPr>
        <w:pStyle w:val="Heading2"/>
        <w:bidi w:val="0"/>
        <w:spacing w:before="240" w:after="200"/>
        <w:jc w:val="start"/>
        <w:rPr/>
      </w:pPr>
      <w:r>
        <w:rPr/>
        <w:t>3. Objetivos del proyecto</w:t>
      </w:r>
    </w:p>
    <w:p>
      <w:pPr>
        <w:pStyle w:val="Normal"/>
        <w:bidi w:val="0"/>
        <w:spacing w:before="0" w:after="200"/>
        <w:jc w:val="start"/>
        <w:rPr/>
      </w:pPr>
      <w:r>
        <w:rPr/>
        <w:t xml:space="preserve"> </w:t>
      </w:r>
    </w:p>
    <w:p>
      <w:pPr>
        <w:pStyle w:val="Normal"/>
        <w:bidi w:val="0"/>
        <w:spacing w:before="0" w:after="120"/>
        <w:jc w:val="start"/>
        <w:rPr/>
      </w:pPr>
      <w:r>
        <w:rPr>
          <w:b/>
          <w:bCs/>
        </w:rPr>
        <w:t>Objetivo general:</w:t>
      </w:r>
      <w:r>
        <w:rPr/>
        <w:br/>
        <w:t>Diseñar, implementar y validar un prototipo funcional de plataforma de intercambio de inteligencia de amenazas que combine microservicios en Java, un motor de IA para análisis y priorización, y una capa blockchain para garantizar la integridad y trazabilidad de los datos compartidos.</w:t>
      </w:r>
    </w:p>
    <w:p>
      <w:pPr>
        <w:pStyle w:val="Normal"/>
        <w:bidi w:val="0"/>
        <w:spacing w:before="0" w:after="200"/>
        <w:jc w:val="start"/>
        <w:rPr/>
      </w:pPr>
      <w:r>
        <w:rPr/>
        <w:t xml:space="preserve"> </w:t>
      </w:r>
    </w:p>
    <w:p>
      <w:pPr>
        <w:pStyle w:val="Normal"/>
        <w:bidi w:val="0"/>
        <w:spacing w:before="0" w:after="120"/>
        <w:jc w:val="start"/>
        <w:rPr/>
      </w:pPr>
      <w:r>
        <w:rPr>
          <w:b/>
          <w:bCs/>
        </w:rPr>
        <w:t>Objetivos específicos:</w:t>
      </w:r>
    </w:p>
    <w:p>
      <w:pPr>
        <w:pStyle w:val="ListParagraph"/>
        <w:numPr>
          <w:ilvl w:val="0"/>
          <w:numId w:val="3"/>
        </w:numPr>
        <w:bidi w:val="0"/>
        <w:spacing w:before="0" w:after="100"/>
        <w:jc w:val="start"/>
        <w:rPr/>
      </w:pPr>
      <w:r>
        <w:rPr/>
        <w:t>Definir un modelo de datos estándar para representar IOCs y sus metadatos (fuente, severidad, timestamp, tipo).</w:t>
      </w:r>
    </w:p>
    <w:p>
      <w:pPr>
        <w:pStyle w:val="ListParagraph"/>
        <w:numPr>
          <w:ilvl w:val="0"/>
          <w:numId w:val="3"/>
        </w:numPr>
        <w:bidi w:val="0"/>
        <w:spacing w:before="0" w:after="100"/>
        <w:jc w:val="start"/>
        <w:rPr/>
      </w:pPr>
      <w:r>
        <w:rPr/>
        <w:t>Implementar una arquitectura de microservicios desacoplada, escalable y contenerizada.</w:t>
      </w:r>
    </w:p>
    <w:p>
      <w:pPr>
        <w:pStyle w:val="ListParagraph"/>
        <w:numPr>
          <w:ilvl w:val="0"/>
          <w:numId w:val="3"/>
        </w:numPr>
        <w:bidi w:val="0"/>
        <w:spacing w:before="0" w:after="100"/>
        <w:jc w:val="start"/>
        <w:rPr/>
      </w:pPr>
      <w:r>
        <w:rPr/>
        <w:t>Entrenar y desplegar un modelo de IA capaz de puntuar el riesgo de un IOC y, opcionalmente, generar resúmenes legibles de incidentes.</w:t>
      </w:r>
    </w:p>
    <w:p>
      <w:pPr>
        <w:pStyle w:val="ListParagraph"/>
        <w:numPr>
          <w:ilvl w:val="0"/>
          <w:numId w:val="3"/>
        </w:numPr>
        <w:bidi w:val="0"/>
        <w:spacing w:before="0" w:after="100"/>
        <w:jc w:val="start"/>
        <w:rPr/>
      </w:pPr>
      <w:r>
        <w:rPr/>
        <w:t>Desplegar una red blockchain permisionada que registre cada IOC compartido de forma inmutable.</w:t>
      </w:r>
    </w:p>
    <w:p>
      <w:pPr>
        <w:pStyle w:val="ListParagraph"/>
        <w:numPr>
          <w:ilvl w:val="0"/>
          <w:numId w:val="3"/>
        </w:numPr>
        <w:bidi w:val="0"/>
        <w:spacing w:before="0" w:after="100"/>
        <w:jc w:val="start"/>
        <w:rPr/>
      </w:pPr>
      <w:r>
        <w:rPr/>
        <w:t>Construir un dashboard funcional para analistas de seguridad.</w:t>
      </w:r>
    </w:p>
    <w:p>
      <w:pPr>
        <w:pStyle w:val="ListParagraph"/>
        <w:numPr>
          <w:ilvl w:val="0"/>
          <w:numId w:val="3"/>
        </w:numPr>
        <w:bidi w:val="0"/>
        <w:spacing w:before="0" w:after="100"/>
        <w:jc w:val="start"/>
        <w:rPr/>
      </w:pPr>
      <w:r>
        <w:rPr/>
        <w:t>Validar el sistema con un dataset real de amenazas de fuentes abiertas.</w:t>
      </w:r>
    </w:p>
    <w:p>
      <w:pPr>
        <w:pStyle w:val="ListParagraph"/>
        <w:numPr>
          <w:ilvl w:val="0"/>
          <w:numId w:val="3"/>
        </w:numPr>
        <w:bidi w:val="0"/>
        <w:spacing w:before="0" w:after="100"/>
        <w:jc w:val="start"/>
        <w:rPr/>
      </w:pPr>
      <w:r>
        <w:rPr/>
        <w:t>Documentar el proyecto de forma que sirva como caso de uso presentable ante un departamento de ciberseguridad corporativo (p. ej. Minsait Cyber / Indra).</w:t>
      </w:r>
    </w:p>
    <w:p>
      <w:pPr>
        <w:pStyle w:val="Normal"/>
        <w:bidi w:val="0"/>
        <w:spacing w:before="0" w:after="200"/>
        <w:jc w:val="start"/>
        <w:rPr/>
      </w:pPr>
      <w:r>
        <w:rPr/>
        <w:t xml:space="preserve"> </w:t>
      </w:r>
    </w:p>
    <w:p>
      <w:pPr>
        <w:pStyle w:val="Normal"/>
        <w:pBdr>
          <w:bottom w:val="single" w:sz="6" w:space="1" w:color="000000"/>
        </w:pBdr>
        <w:bidi w:val="0"/>
        <w:spacing w:before="0" w:after="120"/>
        <w:jc w:val="start"/>
        <w:rPr/>
      </w:pPr>
      <w:r>
        <w:rPr/>
      </w:r>
    </w:p>
    <w:p>
      <w:pPr>
        <w:pStyle w:val="Normal"/>
        <w:bidi w:val="0"/>
        <w:spacing w:before="0" w:after="200"/>
        <w:jc w:val="start"/>
        <w:rPr/>
      </w:pPr>
      <w:r>
        <w:rPr/>
        <w:t xml:space="preserve"> </w:t>
      </w:r>
    </w:p>
    <w:p>
      <w:pPr>
        <w:pStyle w:val="Heading2"/>
        <w:bidi w:val="0"/>
        <w:spacing w:before="240" w:after="200"/>
        <w:jc w:val="start"/>
        <w:rPr/>
      </w:pPr>
      <w:r>
        <w:rPr/>
        <w:t>4. Alcance del proyecto (MVP)</w:t>
      </w:r>
    </w:p>
    <w:p>
      <w:pPr>
        <w:pStyle w:val="Normal"/>
        <w:bidi w:val="0"/>
        <w:spacing w:before="0" w:after="200"/>
        <w:jc w:val="start"/>
        <w:rPr/>
      </w:pPr>
      <w:r>
        <w:rPr/>
        <w:t xml:space="preserve"> </w:t>
      </w:r>
    </w:p>
    <w:p>
      <w:pPr>
        <w:pStyle w:val="Normal"/>
        <w:bidi w:val="0"/>
        <w:spacing w:before="0" w:after="120"/>
        <w:jc w:val="start"/>
        <w:rPr/>
      </w:pPr>
      <w:r>
        <w:rPr/>
        <w:t xml:space="preserve">Para que el proyecto sea abarcable en el marco de un TFM, se recomienda acotar el alcance a un </w:t>
      </w:r>
      <w:r>
        <w:rPr>
          <w:b/>
          <w:bCs/>
        </w:rPr>
        <w:t>producto mínimo viable (MVP)</w:t>
      </w:r>
      <w:r>
        <w:rPr/>
        <w:t xml:space="preserve"> con los siguientes límites:</w:t>
      </w:r>
    </w:p>
    <w:p>
      <w:pPr>
        <w:pStyle w:val="Normal"/>
        <w:bidi w:val="0"/>
        <w:spacing w:before="0" w:after="200"/>
        <w:jc w:val="start"/>
        <w:rPr/>
      </w:pPr>
      <w:r>
        <w:rPr/>
        <w:t xml:space="preserve"> </w:t>
      </w:r>
    </w:p>
    <w:p>
      <w:pPr>
        <w:pStyle w:val="Normal"/>
        <w:bidi w:val="0"/>
        <w:spacing w:before="0" w:after="120"/>
        <w:jc w:val="start"/>
        <w:rPr/>
      </w:pPr>
      <w:r>
        <w:rPr>
          <w:b/>
          <w:bCs/>
        </w:rPr>
        <w:t>Incluido en el MVP:</w:t>
      </w:r>
    </w:p>
    <w:p>
      <w:pPr>
        <w:pStyle w:val="ListParagraph"/>
        <w:numPr>
          <w:ilvl w:val="0"/>
          <w:numId w:val="4"/>
        </w:numPr>
        <w:bidi w:val="0"/>
        <w:spacing w:before="0" w:after="100"/>
        <w:jc w:val="start"/>
        <w:rPr/>
      </w:pPr>
      <w:r>
        <w:rPr/>
        <w:t>2-3 microservicios Java (ingesta/normalización, API Gateway, y consulta/scoring).</w:t>
      </w:r>
    </w:p>
    <w:p>
      <w:pPr>
        <w:pStyle w:val="ListParagraph"/>
        <w:numPr>
          <w:ilvl w:val="0"/>
          <w:numId w:val="4"/>
        </w:numPr>
        <w:bidi w:val="0"/>
        <w:spacing w:before="0" w:after="100"/>
        <w:jc w:val="start"/>
        <w:rPr/>
      </w:pPr>
      <w:r>
        <w:rPr/>
        <w:t>Un modelo de IA de clasificación/scoring de riesgo entrenado con un dataset abierto.</w:t>
      </w:r>
    </w:p>
    <w:p>
      <w:pPr>
        <w:pStyle w:val="ListParagraph"/>
        <w:numPr>
          <w:ilvl w:val="0"/>
          <w:numId w:val="4"/>
        </w:numPr>
        <w:bidi w:val="0"/>
        <w:spacing w:before="0" w:after="100"/>
        <w:jc w:val="start"/>
        <w:rPr/>
      </w:pPr>
      <w:r>
        <w:rPr/>
        <w:t>Un resumen automático de IOCs mediante un modelo de lenguaje (LLM) local, como funcionalidad complementaria.</w:t>
      </w:r>
    </w:p>
    <w:p>
      <w:pPr>
        <w:pStyle w:val="ListParagraph"/>
        <w:numPr>
          <w:ilvl w:val="0"/>
          <w:numId w:val="4"/>
        </w:numPr>
        <w:bidi w:val="0"/>
        <w:spacing w:before="0" w:after="100"/>
        <w:jc w:val="start"/>
        <w:rPr/>
      </w:pPr>
      <w:r>
        <w:rPr/>
        <w:t>Una red blockchain de prueba con 2-3 nodos simulando organizaciones distintas.</w:t>
      </w:r>
    </w:p>
    <w:p>
      <w:pPr>
        <w:pStyle w:val="ListParagraph"/>
        <w:numPr>
          <w:ilvl w:val="0"/>
          <w:numId w:val="4"/>
        </w:numPr>
        <w:bidi w:val="0"/>
        <w:spacing w:before="0" w:after="100"/>
        <w:jc w:val="start"/>
        <w:rPr/>
      </w:pPr>
      <w:r>
        <w:rPr/>
        <w:t>Un dashboard web simple (React) para visualizar alertas priorizadas.</w:t>
      </w:r>
    </w:p>
    <w:p>
      <w:pPr>
        <w:pStyle w:val="ListParagraph"/>
        <w:numPr>
          <w:ilvl w:val="0"/>
          <w:numId w:val="4"/>
        </w:numPr>
        <w:bidi w:val="0"/>
        <w:spacing w:before="0" w:after="100"/>
        <w:jc w:val="start"/>
        <w:rPr/>
      </w:pPr>
      <w:r>
        <w:rPr/>
        <w:t>Documentación técnica y memoria académica.</w:t>
      </w:r>
    </w:p>
    <w:p>
      <w:pPr>
        <w:pStyle w:val="Normal"/>
        <w:bidi w:val="0"/>
        <w:spacing w:before="0" w:after="200"/>
        <w:jc w:val="start"/>
        <w:rPr/>
      </w:pPr>
      <w:r>
        <w:rPr/>
        <w:t xml:space="preserve"> </w:t>
      </w:r>
    </w:p>
    <w:p>
      <w:pPr>
        <w:pStyle w:val="Normal"/>
        <w:bidi w:val="0"/>
        <w:spacing w:before="0" w:after="120"/>
        <w:jc w:val="start"/>
        <w:rPr/>
      </w:pPr>
      <w:r>
        <w:rPr>
          <w:b/>
          <w:bCs/>
        </w:rPr>
        <w:t>Fuera de alcance (posibles líneas futuras):</w:t>
      </w:r>
    </w:p>
    <w:p>
      <w:pPr>
        <w:pStyle w:val="ListParagraph"/>
        <w:numPr>
          <w:ilvl w:val="0"/>
          <w:numId w:val="1"/>
        </w:numPr>
        <w:bidi w:val="0"/>
        <w:spacing w:before="0" w:after="100"/>
        <w:jc w:val="start"/>
        <w:rPr/>
      </w:pPr>
      <w:r>
        <w:rPr/>
        <w:t>Integración con SIEMs comerciales reales (Splunk, QRadar, etc.).</w:t>
      </w:r>
    </w:p>
    <w:p>
      <w:pPr>
        <w:pStyle w:val="ListParagraph"/>
        <w:numPr>
          <w:ilvl w:val="0"/>
          <w:numId w:val="1"/>
        </w:numPr>
        <w:bidi w:val="0"/>
        <w:spacing w:before="0" w:after="100"/>
        <w:jc w:val="start"/>
        <w:rPr/>
      </w:pPr>
      <w:r>
        <w:rPr/>
        <w:t>Autenticación federada entre organizaciones reales (OAuth2/SAML entre distintas entidades).</w:t>
      </w:r>
    </w:p>
    <w:p>
      <w:pPr>
        <w:pStyle w:val="ListParagraph"/>
        <w:numPr>
          <w:ilvl w:val="0"/>
          <w:numId w:val="1"/>
        </w:numPr>
        <w:bidi w:val="0"/>
        <w:spacing w:before="0" w:after="100"/>
        <w:jc w:val="start"/>
        <w:rPr/>
      </w:pPr>
      <w:r>
        <w:rPr/>
        <w:t>Despliegue en producción con alta disponibilidad.</w:t>
      </w:r>
    </w:p>
    <w:p>
      <w:pPr>
        <w:pStyle w:val="ListParagraph"/>
        <w:numPr>
          <w:ilvl w:val="0"/>
          <w:numId w:val="1"/>
        </w:numPr>
        <w:bidi w:val="0"/>
        <w:spacing w:before="0" w:after="100"/>
        <w:jc w:val="start"/>
        <w:rPr/>
      </w:pPr>
      <w:r>
        <w:rPr/>
        <w:t>Cumplimiento normativo formal (ENS, ISO 27001) — se puede mencionar como trabajo futuro.</w:t>
      </w:r>
    </w:p>
    <w:p>
      <w:pPr>
        <w:pStyle w:val="Normal"/>
        <w:bidi w:val="0"/>
        <w:spacing w:before="0" w:after="200"/>
        <w:jc w:val="start"/>
        <w:rPr/>
      </w:pPr>
      <w:r>
        <w:rPr/>
        <w:t xml:space="preserve"> </w:t>
      </w:r>
    </w:p>
    <w:p>
      <w:pPr>
        <w:pStyle w:val="Normal"/>
        <w:pBdr>
          <w:bottom w:val="single" w:sz="6" w:space="1" w:color="000000"/>
        </w:pBdr>
        <w:bidi w:val="0"/>
        <w:spacing w:before="0" w:after="120"/>
        <w:jc w:val="start"/>
        <w:rPr/>
      </w:pPr>
      <w:r>
        <w:rPr/>
      </w:r>
    </w:p>
    <w:p>
      <w:pPr>
        <w:pStyle w:val="Normal"/>
        <w:bidi w:val="0"/>
        <w:spacing w:before="0" w:after="200"/>
        <w:jc w:val="start"/>
        <w:rPr/>
      </w:pPr>
      <w:r>
        <w:rPr/>
        <w:t xml:space="preserve"> </w:t>
      </w:r>
    </w:p>
    <w:p>
      <w:pPr>
        <w:pStyle w:val="Heading2"/>
        <w:bidi w:val="0"/>
        <w:spacing w:before="240" w:after="200"/>
        <w:jc w:val="start"/>
        <w:rPr/>
      </w:pPr>
      <w:r>
        <w:rPr/>
        <w:t>5. Arquitectura general</w:t>
      </w:r>
    </w:p>
    <w:p>
      <w:pPr>
        <w:pStyle w:val="Normal"/>
        <w:bidi w:val="0"/>
        <w:spacing w:before="0" w:after="200"/>
        <w:jc w:val="start"/>
        <w:rPr/>
      </w:pPr>
      <w:r>
        <w:rPr/>
        <w:t xml:space="preserve"> </w:t>
      </w:r>
    </w:p>
    <w:p>
      <w:pPr>
        <w:pStyle w:val="Normal"/>
        <w:bidi w:val="0"/>
        <w:spacing w:before="0" w:after="120"/>
        <w:jc w:val="start"/>
        <w:rPr/>
      </w:pPr>
      <w:r>
        <w:rPr/>
        <w:t>La plataforma se organiza en cinco capas, con flujo de datos de arriba hacia abajo:</w:t>
      </w:r>
    </w:p>
    <w:p>
      <w:pPr>
        <w:pStyle w:val="Normal"/>
        <w:bidi w:val="0"/>
        <w:spacing w:before="0" w:after="200"/>
        <w:jc w:val="start"/>
        <w:rPr/>
      </w:pPr>
      <w:r>
        <w:rPr/>
        <w:t xml:space="preserve"> </w:t>
      </w:r>
    </w:p>
    <w:p>
      <w:pPr>
        <w:pStyle w:val="Normal"/>
        <w:bidi w:val="0"/>
        <w:spacing w:before="0" w:after="100"/>
        <w:jc w:val="start"/>
        <w:rPr/>
      </w:pPr>
      <w:r>
        <w:rPr/>
        <w:t xml:space="preserve">1. </w:t>
      </w:r>
      <w:r>
        <w:rPr>
          <w:b/>
          <w:bCs/>
        </w:rPr>
        <w:t>Fuentes externas</w:t>
      </w:r>
      <w:r>
        <w:rPr/>
        <w:t>: feeds OSINT, CERTs, listas de IOCs públicas (MISP, AlienVault OTX, abuse.ch).</w:t>
      </w:r>
    </w:p>
    <w:p>
      <w:pPr>
        <w:pStyle w:val="Normal"/>
        <w:bidi w:val="0"/>
        <w:spacing w:before="0" w:after="100"/>
        <w:jc w:val="start"/>
        <w:rPr/>
      </w:pPr>
      <w:r>
        <w:rPr/>
        <w:t xml:space="preserve">2. </w:t>
      </w:r>
      <w:r>
        <w:rPr>
          <w:b/>
          <w:bCs/>
        </w:rPr>
        <w:t>Capa de microservicios Java</w:t>
      </w:r>
      <w:r>
        <w:rPr/>
        <w:t>: API Gateway + microservicio de ingesta y normalización de IOCs.</w:t>
      </w:r>
    </w:p>
    <w:p>
      <w:pPr>
        <w:pStyle w:val="Normal"/>
        <w:bidi w:val="0"/>
        <w:spacing w:before="0" w:after="100"/>
        <w:jc w:val="start"/>
        <w:rPr/>
      </w:pPr>
      <w:r>
        <w:rPr/>
        <w:t xml:space="preserve">3. </w:t>
      </w:r>
      <w:r>
        <w:rPr>
          <w:b/>
          <w:bCs/>
        </w:rPr>
        <w:t>Motor de IA</w:t>
      </w:r>
      <w:r>
        <w:rPr/>
        <w:t>: correlación de eventos, scoring de riesgo (modelo de ML) y generación de resúmenes (LLM).</w:t>
      </w:r>
    </w:p>
    <w:p>
      <w:pPr>
        <w:pStyle w:val="Normal"/>
        <w:bidi w:val="0"/>
        <w:spacing w:before="0" w:after="100"/>
        <w:jc w:val="start"/>
        <w:rPr/>
      </w:pPr>
      <w:r>
        <w:rPr/>
        <w:t xml:space="preserve">4. </w:t>
      </w:r>
      <w:r>
        <w:rPr>
          <w:b/>
          <w:bCs/>
        </w:rPr>
        <w:t>Capa blockchain</w:t>
      </w:r>
      <w:r>
        <w:rPr/>
        <w:t>: red permisionada que registra el hash y la procedencia de cada IOC compartido, garantizando inmutabilidad y trazabilidad.</w:t>
      </w:r>
    </w:p>
    <w:p>
      <w:pPr>
        <w:pStyle w:val="Normal"/>
        <w:bidi w:val="0"/>
        <w:spacing w:before="0" w:after="100"/>
        <w:jc w:val="start"/>
        <w:rPr/>
      </w:pPr>
      <w:r>
        <w:rPr/>
        <w:t xml:space="preserve">5. </w:t>
      </w:r>
      <w:r>
        <w:rPr>
          <w:b/>
          <w:bCs/>
        </w:rPr>
        <w:t>Capa de consumo</w:t>
      </w:r>
      <w:r>
        <w:rPr/>
        <w:t>: dashboard para analistas del SOC y API segura para que empresas socias consulten inteligencia verificada.</w:t>
      </w:r>
    </w:p>
    <w:p>
      <w:pPr>
        <w:pStyle w:val="Normal"/>
        <w:bidi w:val="0"/>
        <w:spacing w:before="0" w:after="200"/>
        <w:jc w:val="start"/>
        <w:rPr/>
      </w:pPr>
      <w:r>
        <w:rPr/>
        <w:t xml:space="preserve"> </w:t>
      </w:r>
    </w:p>
    <w:p>
      <w:pPr>
        <w:pStyle w:val="Normal"/>
        <w:bidi w:val="0"/>
        <w:spacing w:before="0" w:after="120"/>
        <w:jc w:val="start"/>
        <w:rPr/>
      </w:pPr>
      <w:r>
        <w:rPr/>
        <w:t>Esta separación en capas permite desarrollar y probar cada componente de forma independiente, algo especialmente útil quen se trabaja en solitario en un TFM, ya que se puede avanzar por fases sin bloquear el resto del sistema.</w:t>
      </w:r>
    </w:p>
    <w:p>
      <w:pPr>
        <w:pStyle w:val="Normal"/>
        <w:bidi w:val="0"/>
        <w:spacing w:before="0" w:after="200"/>
        <w:jc w:val="start"/>
        <w:rPr/>
      </w:pPr>
      <w:r>
        <w:rPr/>
        <w:t xml:space="preserve"> </w:t>
      </w:r>
    </w:p>
    <w:p>
      <w:pPr>
        <w:pStyle w:val="Normal"/>
        <w:pBdr>
          <w:bottom w:val="single" w:sz="6" w:space="1" w:color="000000"/>
        </w:pBdr>
        <w:bidi w:val="0"/>
        <w:spacing w:before="0" w:after="120"/>
        <w:jc w:val="start"/>
        <w:rPr/>
      </w:pPr>
      <w:r>
        <w:rPr/>
      </w:r>
    </w:p>
    <w:p>
      <w:pPr>
        <w:pStyle w:val="Normal"/>
        <w:bidi w:val="0"/>
        <w:spacing w:before="0" w:after="200"/>
        <w:jc w:val="start"/>
        <w:rPr/>
      </w:pPr>
      <w:r>
        <w:rPr/>
        <w:t xml:space="preserve"> </w:t>
      </w:r>
    </w:p>
    <w:p>
      <w:pPr>
        <w:pStyle w:val="Heading2"/>
        <w:bidi w:val="0"/>
        <w:spacing w:before="240" w:after="200"/>
        <w:jc w:val="start"/>
        <w:rPr/>
      </w:pPr>
      <w:r>
        <w:rPr/>
        <w:t>6. Tecnologías y stack por capa</w:t>
      </w:r>
    </w:p>
    <w:p>
      <w:pPr>
        <w:pStyle w:val="Normal"/>
        <w:bidi w:val="0"/>
        <w:spacing w:before="0" w:after="200"/>
        <w:jc w:val="start"/>
        <w:rPr/>
      </w:pPr>
      <w:r>
        <w:rPr/>
        <w:t xml:space="preserve"> </w:t>
      </w:r>
    </w:p>
    <w:p>
      <w:pPr>
        <w:pStyle w:val="Heading3"/>
        <w:bidi w:val="0"/>
        <w:spacing w:before="240" w:after="200"/>
        <w:jc w:val="start"/>
        <w:rPr/>
      </w:pPr>
      <w:r>
        <w:rPr/>
        <w:t>6.1 Backend / microservicios</w:t>
      </w:r>
    </w:p>
    <w:p>
      <w:pPr>
        <w:pStyle w:val="ListParagraph"/>
        <w:numPr>
          <w:ilvl w:val="0"/>
          <w:numId w:val="1"/>
        </w:numPr>
        <w:bidi w:val="0"/>
        <w:spacing w:before="0" w:after="100"/>
        <w:jc w:val="start"/>
        <w:rPr/>
      </w:pPr>
      <w:r>
        <w:rPr>
          <w:b/>
          <w:bCs/>
        </w:rPr>
        <w:t>Java 17+ / Spring Boot</w:t>
      </w:r>
      <w:r>
        <w:rPr/>
        <w:t xml:space="preserve"> — framework principal de los microservicios.</w:t>
      </w:r>
    </w:p>
    <w:p>
      <w:pPr>
        <w:pStyle w:val="ListParagraph"/>
        <w:numPr>
          <w:ilvl w:val="0"/>
          <w:numId w:val="1"/>
        </w:numPr>
        <w:bidi w:val="0"/>
        <w:spacing w:before="0" w:after="100"/>
        <w:jc w:val="start"/>
        <w:rPr/>
      </w:pPr>
      <w:r>
        <w:rPr>
          <w:b/>
          <w:bCs/>
        </w:rPr>
        <w:t>Spring Cloud Gateway</w:t>
      </w:r>
      <w:r>
        <w:rPr/>
        <w:t xml:space="preserve"> — API Gateway y enrutamiento.</w:t>
      </w:r>
    </w:p>
    <w:p>
      <w:pPr>
        <w:pStyle w:val="ListParagraph"/>
        <w:numPr>
          <w:ilvl w:val="0"/>
          <w:numId w:val="1"/>
        </w:numPr>
        <w:bidi w:val="0"/>
        <w:spacing w:before="0" w:after="100"/>
        <w:jc w:val="start"/>
        <w:rPr/>
      </w:pPr>
      <w:r>
        <w:rPr>
          <w:b/>
          <w:bCs/>
        </w:rPr>
        <w:t>Spring Data JPA + PostgreSQL</w:t>
      </w:r>
      <w:r>
        <w:rPr/>
        <w:t xml:space="preserve"> (o MongoDB si se prefiere un modelo documental para los IOCs).</w:t>
      </w:r>
    </w:p>
    <w:p>
      <w:pPr>
        <w:pStyle w:val="ListParagraph"/>
        <w:numPr>
          <w:ilvl w:val="0"/>
          <w:numId w:val="1"/>
        </w:numPr>
        <w:bidi w:val="0"/>
        <w:spacing w:before="0" w:after="100"/>
        <w:jc w:val="start"/>
        <w:rPr/>
      </w:pPr>
      <w:r>
        <w:rPr>
          <w:b/>
          <w:bCs/>
        </w:rPr>
        <w:t>Apache Kafka o RabbitMQ</w:t>
      </w:r>
      <w:r>
        <w:rPr/>
        <w:t xml:space="preserve"> — comunicación asíncrona entre microservicios (opcional pero recomendable para mostrar dominio de arquitecturas event-driven).</w:t>
      </w:r>
    </w:p>
    <w:p>
      <w:pPr>
        <w:pStyle w:val="ListParagraph"/>
        <w:numPr>
          <w:ilvl w:val="0"/>
          <w:numId w:val="1"/>
        </w:numPr>
        <w:bidi w:val="0"/>
        <w:spacing w:before="0" w:after="100"/>
        <w:jc w:val="start"/>
        <w:rPr/>
      </w:pPr>
      <w:r>
        <w:rPr>
          <w:b/>
          <w:bCs/>
        </w:rPr>
        <w:t>Docker + Docker Compose</w:t>
      </w:r>
      <w:r>
        <w:rPr/>
        <w:t xml:space="preserve"> — contenerización y orquestación local.</w:t>
      </w:r>
    </w:p>
    <w:p>
      <w:pPr>
        <w:pStyle w:val="ListParagraph"/>
        <w:numPr>
          <w:ilvl w:val="0"/>
          <w:numId w:val="1"/>
        </w:numPr>
        <w:bidi w:val="0"/>
        <w:spacing w:before="0" w:after="100"/>
        <w:jc w:val="start"/>
        <w:rPr/>
      </w:pPr>
      <w:r>
        <w:rPr>
          <w:b/>
          <w:bCs/>
        </w:rPr>
        <w:t>Maven o Gradle</w:t>
      </w:r>
      <w:r>
        <w:rPr/>
        <w:t xml:space="preserve"> — gestión de dependencias y build.</w:t>
      </w:r>
    </w:p>
    <w:p>
      <w:pPr>
        <w:pStyle w:val="Normal"/>
        <w:bidi w:val="0"/>
        <w:spacing w:before="0" w:after="200"/>
        <w:jc w:val="start"/>
        <w:rPr/>
      </w:pPr>
      <w:r>
        <w:rPr/>
        <w:t xml:space="preserve"> </w:t>
      </w:r>
    </w:p>
    <w:p>
      <w:pPr>
        <w:pStyle w:val="Heading3"/>
        <w:bidi w:val="0"/>
        <w:spacing w:before="240" w:after="200"/>
        <w:jc w:val="start"/>
        <w:rPr/>
      </w:pPr>
      <w:r>
        <w:rPr/>
        <w:t>6.2 Inteligencia Artificial</w:t>
      </w:r>
    </w:p>
    <w:p>
      <w:pPr>
        <w:pStyle w:val="ListParagraph"/>
        <w:numPr>
          <w:ilvl w:val="0"/>
          <w:numId w:val="1"/>
        </w:numPr>
        <w:bidi w:val="0"/>
        <w:spacing w:before="0" w:after="100"/>
        <w:jc w:val="start"/>
        <w:rPr/>
      </w:pPr>
      <w:r>
        <w:rPr>
          <w:b/>
          <w:bCs/>
        </w:rPr>
        <w:t>Python + scikit-learn</w:t>
      </w:r>
      <w:r>
        <w:rPr/>
        <w:t xml:space="preserve"> (o </w:t>
      </w:r>
      <w:r>
        <w:rPr>
          <w:b/>
          <w:bCs/>
        </w:rPr>
        <w:t>Deeplearning4j</w:t>
      </w:r>
      <w:r>
        <w:rPr/>
        <w:t xml:space="preserve"> si se prefiere mantener todo en el ecosistema Java) — modelo de scoring de riesgo (clasificación/regresión sobre features del IOC: tipo, fuente, frecuencia de aparición, contexto).</w:t>
      </w:r>
    </w:p>
    <w:p>
      <w:pPr>
        <w:pStyle w:val="ListParagraph"/>
        <w:numPr>
          <w:ilvl w:val="0"/>
          <w:numId w:val="1"/>
        </w:numPr>
        <w:bidi w:val="0"/>
        <w:spacing w:before="0" w:after="100"/>
        <w:jc w:val="start"/>
        <w:rPr/>
      </w:pPr>
      <w:r>
        <w:rPr>
          <w:b/>
          <w:bCs/>
        </w:rPr>
        <w:t>Ollama</w:t>
      </w:r>
      <w:r>
        <w:rPr/>
        <w:t xml:space="preserve"> — para ejecutar modelos de lenguaje open source en local (Llama 3, Mistral, etc.) sin coste de API, usados para generar resúmenes o explicaciones de las alertas.</w:t>
      </w:r>
    </w:p>
    <w:p>
      <w:pPr>
        <w:pStyle w:val="ListParagraph"/>
        <w:numPr>
          <w:ilvl w:val="0"/>
          <w:numId w:val="1"/>
        </w:numPr>
        <w:bidi w:val="0"/>
        <w:spacing w:before="0" w:after="100"/>
        <w:jc w:val="start"/>
        <w:rPr/>
      </w:pPr>
      <w:r>
        <w:rPr>
          <w:b/>
          <w:bCs/>
        </w:rPr>
        <w:t>Pandas / Jupyter Notebook</w:t>
      </w:r>
      <w:r>
        <w:rPr/>
        <w:t xml:space="preserve"> — exploración y preparación de datos durante el entrenamiento.</w:t>
      </w:r>
    </w:p>
    <w:p>
      <w:pPr>
        <w:pStyle w:val="Normal"/>
        <w:bidi w:val="0"/>
        <w:spacing w:before="0" w:after="200"/>
        <w:jc w:val="start"/>
        <w:rPr/>
      </w:pPr>
      <w:r>
        <w:rPr/>
        <w:t xml:space="preserve"> </w:t>
      </w:r>
    </w:p>
    <w:p>
      <w:pPr>
        <w:pStyle w:val="Heading3"/>
        <w:bidi w:val="0"/>
        <w:spacing w:before="240" w:after="200"/>
        <w:jc w:val="start"/>
        <w:rPr/>
      </w:pPr>
      <w:r>
        <w:rPr/>
        <w:t>6.3 Blockchain</w:t>
      </w:r>
    </w:p>
    <w:p>
      <w:pPr>
        <w:pStyle w:val="ListParagraph"/>
        <w:numPr>
          <w:ilvl w:val="0"/>
          <w:numId w:val="1"/>
        </w:numPr>
        <w:bidi w:val="0"/>
        <w:spacing w:before="0" w:after="100"/>
        <w:jc w:val="start"/>
        <w:rPr/>
      </w:pPr>
      <w:r>
        <w:rPr>
          <w:b/>
          <w:bCs/>
        </w:rPr>
        <w:t>Hyperledger Fabric</w:t>
      </w:r>
      <w:r>
        <w:rPr/>
        <w:t xml:space="preserve"> — red blockchain permisionada (no pública, sin criptomonedas ni gas).</w:t>
      </w:r>
    </w:p>
    <w:p>
      <w:pPr>
        <w:pStyle w:val="ListParagraph"/>
        <w:numPr>
          <w:ilvl w:val="0"/>
          <w:numId w:val="1"/>
        </w:numPr>
        <w:bidi w:val="0"/>
        <w:spacing w:before="0" w:after="100"/>
        <w:jc w:val="start"/>
        <w:rPr/>
      </w:pPr>
      <w:r>
        <w:rPr>
          <w:b/>
          <w:bCs/>
        </w:rPr>
        <w:t>Chaincode (Go o Java)</w:t>
      </w:r>
      <w:r>
        <w:rPr/>
        <w:t xml:space="preserve"> — lógica de negocio para registrar el hash y metadatos de cada IOC compartido.</w:t>
      </w:r>
    </w:p>
    <w:p>
      <w:pPr>
        <w:pStyle w:val="ListParagraph"/>
        <w:numPr>
          <w:ilvl w:val="0"/>
          <w:numId w:val="1"/>
        </w:numPr>
        <w:bidi w:val="0"/>
        <w:spacing w:before="0" w:after="100"/>
        <w:jc w:val="start"/>
        <w:rPr/>
      </w:pPr>
      <w:r>
        <w:rPr>
          <w:b/>
          <w:bCs/>
        </w:rPr>
        <w:t>Fabric SDK for Java</w:t>
      </w:r>
      <w:r>
        <w:rPr/>
        <w:t xml:space="preserve"> — integración desde los microservicios hacia la red blockchain.</w:t>
      </w:r>
    </w:p>
    <w:p>
      <w:pPr>
        <w:pStyle w:val="Normal"/>
        <w:bidi w:val="0"/>
        <w:spacing w:before="0" w:after="200"/>
        <w:jc w:val="start"/>
        <w:rPr/>
      </w:pPr>
      <w:r>
        <w:rPr/>
        <w:t xml:space="preserve"> </w:t>
      </w:r>
    </w:p>
    <w:p>
      <w:pPr>
        <w:pStyle w:val="Heading3"/>
        <w:bidi w:val="0"/>
        <w:spacing w:before="240" w:after="200"/>
        <w:jc w:val="start"/>
        <w:rPr/>
      </w:pPr>
      <w:r>
        <w:rPr/>
        <w:t>6.4 Frontend</w:t>
      </w:r>
    </w:p>
    <w:p>
      <w:pPr>
        <w:pStyle w:val="ListParagraph"/>
        <w:numPr>
          <w:ilvl w:val="0"/>
          <w:numId w:val="1"/>
        </w:numPr>
        <w:bidi w:val="0"/>
        <w:spacing w:before="0" w:after="100"/>
        <w:jc w:val="start"/>
        <w:rPr/>
      </w:pPr>
      <w:r>
        <w:rPr>
          <w:b/>
          <w:bCs/>
        </w:rPr>
        <w:t>React</w:t>
      </w:r>
      <w:r>
        <w:rPr/>
        <w:t xml:space="preserve"> — dashboard para analistas.</w:t>
      </w:r>
    </w:p>
    <w:p>
      <w:pPr>
        <w:pStyle w:val="ListParagraph"/>
        <w:numPr>
          <w:ilvl w:val="0"/>
          <w:numId w:val="1"/>
        </w:numPr>
        <w:bidi w:val="0"/>
        <w:spacing w:before="0" w:after="100"/>
        <w:jc w:val="start"/>
        <w:rPr/>
      </w:pPr>
      <w:r>
        <w:rPr>
          <w:b/>
          <w:bCs/>
        </w:rPr>
        <w:t>Recharts o Chart.js</w:t>
      </w:r>
      <w:r>
        <w:rPr/>
        <w:t xml:space="preserve"> — visualización de métricas y alertas.</w:t>
      </w:r>
    </w:p>
    <w:p>
      <w:pPr>
        <w:pStyle w:val="ListParagraph"/>
        <w:numPr>
          <w:ilvl w:val="0"/>
          <w:numId w:val="1"/>
        </w:numPr>
        <w:bidi w:val="0"/>
        <w:spacing w:before="0" w:after="100"/>
        <w:jc w:val="start"/>
        <w:rPr/>
      </w:pPr>
      <w:r>
        <w:rPr>
          <w:b/>
          <w:bCs/>
        </w:rPr>
        <w:t>Tailwind CSS</w:t>
      </w:r>
      <w:r>
        <w:rPr/>
        <w:t xml:space="preserve"> — estilos.</w:t>
      </w:r>
    </w:p>
    <w:p>
      <w:pPr>
        <w:pStyle w:val="Normal"/>
        <w:bidi w:val="0"/>
        <w:spacing w:before="0" w:after="200"/>
        <w:jc w:val="start"/>
        <w:rPr/>
      </w:pPr>
      <w:r>
        <w:rPr/>
        <w:t xml:space="preserve"> </w:t>
      </w:r>
    </w:p>
    <w:p>
      <w:pPr>
        <w:pStyle w:val="Heading3"/>
        <w:bidi w:val="0"/>
        <w:spacing w:before="240" w:after="200"/>
        <w:jc w:val="start"/>
        <w:rPr/>
      </w:pPr>
      <w:r>
        <w:rPr/>
        <w:t>6.5 Infraestructura y DevOps</w:t>
      </w:r>
    </w:p>
    <w:p>
      <w:pPr>
        <w:pStyle w:val="ListParagraph"/>
        <w:numPr>
          <w:ilvl w:val="0"/>
          <w:numId w:val="1"/>
        </w:numPr>
        <w:bidi w:val="0"/>
        <w:spacing w:before="0" w:after="100"/>
        <w:jc w:val="start"/>
        <w:rPr/>
      </w:pPr>
      <w:r>
        <w:rPr>
          <w:b/>
          <w:bCs/>
        </w:rPr>
        <w:t>Docker Compose</w:t>
      </w:r>
      <w:r>
        <w:rPr/>
        <w:t xml:space="preserve"> — para levantar todo el entorno (microservicios, BD, red Fabric) con un solo comando.</w:t>
      </w:r>
    </w:p>
    <w:p>
      <w:pPr>
        <w:pStyle w:val="ListParagraph"/>
        <w:numPr>
          <w:ilvl w:val="0"/>
          <w:numId w:val="1"/>
        </w:numPr>
        <w:bidi w:val="0"/>
        <w:spacing w:before="0" w:after="100"/>
        <w:jc w:val="start"/>
        <w:rPr/>
      </w:pPr>
      <w:r>
        <w:rPr>
          <w:b/>
          <w:bCs/>
        </w:rPr>
        <w:t>GitHub</w:t>
      </w:r>
      <w:r>
        <w:rPr/>
        <w:t xml:space="preserve"> — control de versiones.</w:t>
      </w:r>
    </w:p>
    <w:p>
      <w:pPr>
        <w:pStyle w:val="ListParagraph"/>
        <w:numPr>
          <w:ilvl w:val="0"/>
          <w:numId w:val="1"/>
        </w:numPr>
        <w:bidi w:val="0"/>
        <w:spacing w:before="0" w:after="100"/>
        <w:jc w:val="start"/>
        <w:rPr/>
      </w:pPr>
      <w:r>
        <w:rPr>
          <w:b/>
          <w:bCs/>
        </w:rPr>
        <w:t>GitHub Actions</w:t>
      </w:r>
      <w:r>
        <w:rPr/>
        <w:t xml:space="preserve"> — integración continua (tests automáticos, build de imágenes).</w:t>
      </w:r>
    </w:p>
    <w:p>
      <w:pPr>
        <w:pStyle w:val="ListParagraph"/>
        <w:numPr>
          <w:ilvl w:val="0"/>
          <w:numId w:val="1"/>
        </w:numPr>
        <w:bidi w:val="0"/>
        <w:spacing w:before="0" w:after="100"/>
        <w:jc w:val="start"/>
        <w:rPr/>
      </w:pPr>
      <w:r>
        <w:rPr>
          <w:b/>
          <w:bCs/>
        </w:rPr>
        <w:t>Postman o Insomnia</w:t>
      </w:r>
      <w:r>
        <w:rPr/>
        <w:t xml:space="preserve"> — pruebas manuales de las APIs.</w:t>
      </w:r>
    </w:p>
    <w:p>
      <w:pPr>
        <w:pStyle w:val="Normal"/>
        <w:bidi w:val="0"/>
        <w:spacing w:before="0" w:after="200"/>
        <w:jc w:val="start"/>
        <w:rPr/>
      </w:pPr>
      <w:r>
        <w:rPr/>
        <w:t xml:space="preserve"> </w:t>
      </w:r>
    </w:p>
    <w:p>
      <w:pPr>
        <w:pStyle w:val="Normal"/>
        <w:pBdr>
          <w:bottom w:val="single" w:sz="6" w:space="1" w:color="000000"/>
        </w:pBdr>
        <w:bidi w:val="0"/>
        <w:spacing w:before="0" w:after="120"/>
        <w:jc w:val="start"/>
        <w:rPr/>
      </w:pPr>
      <w:r>
        <w:rPr/>
      </w:r>
    </w:p>
    <w:p>
      <w:pPr>
        <w:pStyle w:val="Normal"/>
        <w:bidi w:val="0"/>
        <w:spacing w:before="0" w:after="200"/>
        <w:jc w:val="start"/>
        <w:rPr/>
      </w:pPr>
      <w:r>
        <w:rPr/>
        <w:t xml:space="preserve"> </w:t>
      </w:r>
    </w:p>
    <w:p>
      <w:pPr>
        <w:pStyle w:val="Heading2"/>
        <w:bidi w:val="0"/>
        <w:spacing w:before="240" w:after="200"/>
        <w:jc w:val="start"/>
        <w:rPr/>
      </w:pPr>
      <w:r>
        <w:rPr/>
        <w:t>7. Software requerido (instalación local)</w:t>
      </w:r>
    </w:p>
    <w:p>
      <w:pPr>
        <w:pStyle w:val="Normal"/>
        <w:bidi w:val="0"/>
        <w:spacing w:before="0" w:after="200"/>
        <w:jc w:val="start"/>
        <w:rPr/>
      </w:pPr>
      <w:r>
        <w:rPr/>
        <w:t xml:space="preserve"> </w:t>
      </w:r>
    </w:p>
    <w:tbl>
      <w:tblPr>
        <w:tblStyle w:val="13"/>
        <w:tblW w:w="4950" w:type="pct"/>
        <w:jc w:val="start"/>
        <w:tblInd w:w="0" w:type="dxa"/>
        <w:tblLayout w:type="fixed"/>
        <w:tblCellMar>
          <w:top w:w="80" w:type="dxa"/>
          <w:start w:w="120" w:type="dxa"/>
          <w:bottom w:w="80" w:type="dxa"/>
          <w:end w:w="120" w:type="dxa"/>
        </w:tblCellMar>
      </w:tblPr>
      <w:tblGrid>
        <w:gridCol w:w="3829"/>
        <w:gridCol w:w="3511"/>
        <w:gridCol w:w="1595"/>
      </w:tblGrid>
      <w:tr>
        <w:trPr>
          <w:tblHeader w:val="true"/>
        </w:trPr>
        <w:tc>
          <w:tcPr>
            <w:tcW w:w="3829"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b/>
                <w:bCs/>
                <w:kern w:val="0"/>
                <w:sz w:val="20"/>
              </w:rPr>
              <w:t>Herramienta</w:t>
            </w:r>
          </w:p>
        </w:tc>
        <w:tc>
          <w:tcPr>
            <w:tcW w:w="3511"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b/>
                <w:bCs/>
                <w:kern w:val="0"/>
                <w:sz w:val="20"/>
              </w:rPr>
              <w:t>Uso</w:t>
            </w:r>
          </w:p>
        </w:tc>
        <w:tc>
          <w:tcPr>
            <w:tcW w:w="1595"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b/>
                <w:bCs/>
                <w:kern w:val="0"/>
                <w:sz w:val="20"/>
              </w:rPr>
              <w:t>Coste</w:t>
            </w:r>
          </w:p>
        </w:tc>
      </w:tr>
      <w:tr>
        <w:trPr/>
        <w:tc>
          <w:tcPr>
            <w:tcW w:w="3829"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JDK 17+</w:t>
            </w:r>
          </w:p>
        </w:tc>
        <w:tc>
          <w:tcPr>
            <w:tcW w:w="3511"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Desarrollo backend Java</w:t>
            </w:r>
          </w:p>
        </w:tc>
        <w:tc>
          <w:tcPr>
            <w:tcW w:w="1595"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Gratis</w:t>
            </w:r>
          </w:p>
        </w:tc>
      </w:tr>
      <w:tr>
        <w:trPr/>
        <w:tc>
          <w:tcPr>
            <w:tcW w:w="3829"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IntelliJ IDEA Community o VS Code</w:t>
            </w:r>
          </w:p>
        </w:tc>
        <w:tc>
          <w:tcPr>
            <w:tcW w:w="3511"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IDE</w:t>
            </w:r>
          </w:p>
        </w:tc>
        <w:tc>
          <w:tcPr>
            <w:tcW w:w="1595"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Gratis</w:t>
            </w:r>
          </w:p>
        </w:tc>
      </w:tr>
      <w:tr>
        <w:trPr/>
        <w:tc>
          <w:tcPr>
            <w:tcW w:w="3829"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Docker Desktop / Docker Engine</w:t>
            </w:r>
          </w:p>
        </w:tc>
        <w:tc>
          <w:tcPr>
            <w:tcW w:w="3511"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Contenerización</w:t>
            </w:r>
          </w:p>
        </w:tc>
        <w:tc>
          <w:tcPr>
            <w:tcW w:w="1595"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Gratis</w:t>
            </w:r>
          </w:p>
        </w:tc>
      </w:tr>
      <w:tr>
        <w:trPr/>
        <w:tc>
          <w:tcPr>
            <w:tcW w:w="3829"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Node.js + npm</w:t>
            </w:r>
          </w:p>
        </w:tc>
        <w:tc>
          <w:tcPr>
            <w:tcW w:w="3511"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Frontend React</w:t>
            </w:r>
          </w:p>
        </w:tc>
        <w:tc>
          <w:tcPr>
            <w:tcW w:w="1595"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Gratis</w:t>
            </w:r>
          </w:p>
        </w:tc>
      </w:tr>
      <w:tr>
        <w:trPr/>
        <w:tc>
          <w:tcPr>
            <w:tcW w:w="3829"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Python 3.10+</w:t>
            </w:r>
          </w:p>
        </w:tc>
        <w:tc>
          <w:tcPr>
            <w:tcW w:w="3511"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Entrenamiento del modelo de IA</w:t>
            </w:r>
          </w:p>
        </w:tc>
        <w:tc>
          <w:tcPr>
            <w:tcW w:w="1595"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Gratis</w:t>
            </w:r>
          </w:p>
        </w:tc>
      </w:tr>
      <w:tr>
        <w:trPr/>
        <w:tc>
          <w:tcPr>
            <w:tcW w:w="3829"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Ollama</w:t>
            </w:r>
          </w:p>
        </w:tc>
        <w:tc>
          <w:tcPr>
            <w:tcW w:w="3511"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Ejecución de LLM en local</w:t>
            </w:r>
          </w:p>
        </w:tc>
        <w:tc>
          <w:tcPr>
            <w:tcW w:w="1595"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Gratis</w:t>
            </w:r>
          </w:p>
        </w:tc>
      </w:tr>
      <w:tr>
        <w:trPr/>
        <w:tc>
          <w:tcPr>
            <w:tcW w:w="3829"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Git</w:t>
            </w:r>
          </w:p>
        </w:tc>
        <w:tc>
          <w:tcPr>
            <w:tcW w:w="3511"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Control de versiones</w:t>
            </w:r>
          </w:p>
        </w:tc>
        <w:tc>
          <w:tcPr>
            <w:tcW w:w="1595"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Gratis</w:t>
            </w:r>
          </w:p>
        </w:tc>
      </w:tr>
      <w:tr>
        <w:trPr/>
        <w:tc>
          <w:tcPr>
            <w:tcW w:w="3829"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Postman</w:t>
            </w:r>
          </w:p>
        </w:tc>
        <w:tc>
          <w:tcPr>
            <w:tcW w:w="3511"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Testing de APIs</w:t>
            </w:r>
          </w:p>
        </w:tc>
        <w:tc>
          <w:tcPr>
            <w:tcW w:w="1595"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Gratis</w:t>
            </w:r>
          </w:p>
        </w:tc>
      </w:tr>
      <w:tr>
        <w:trPr/>
        <w:tc>
          <w:tcPr>
            <w:tcW w:w="3829"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Hyperledger Fabric samples/binaries</w:t>
            </w:r>
          </w:p>
        </w:tc>
        <w:tc>
          <w:tcPr>
            <w:tcW w:w="3511"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Red blockchain de pruebas</w:t>
            </w:r>
          </w:p>
        </w:tc>
        <w:tc>
          <w:tcPr>
            <w:tcW w:w="1595"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Gratis</w:t>
            </w:r>
          </w:p>
        </w:tc>
      </w:tr>
    </w:tbl>
    <w:p>
      <w:pPr>
        <w:pStyle w:val="Normal"/>
        <w:bidi w:val="0"/>
        <w:spacing w:before="240" w:after="0"/>
        <w:jc w:val="start"/>
        <w:rPr/>
      </w:pPr>
      <w:r>
        <w:rPr/>
        <w:t xml:space="preserve"> </w:t>
      </w:r>
    </w:p>
    <w:p>
      <w:pPr>
        <w:pStyle w:val="Normal"/>
        <w:bidi w:val="0"/>
        <w:spacing w:before="0" w:after="200"/>
        <w:jc w:val="start"/>
        <w:rPr/>
      </w:pPr>
      <w:r>
        <w:rPr/>
        <w:t xml:space="preserve"> </w:t>
      </w:r>
    </w:p>
    <w:p>
      <w:pPr>
        <w:pStyle w:val="Normal"/>
        <w:bidi w:val="0"/>
        <w:spacing w:before="0" w:after="120"/>
        <w:jc w:val="start"/>
        <w:rPr/>
      </w:pPr>
      <w:r>
        <w:rPr/>
        <w:t>No se requiere ninguna licencia de pago ni suscripción para completar el desarrollo y la defensa del proyecto.</w:t>
      </w:r>
    </w:p>
    <w:p>
      <w:pPr>
        <w:pStyle w:val="Normal"/>
        <w:bidi w:val="0"/>
        <w:spacing w:before="0" w:after="200"/>
        <w:jc w:val="start"/>
        <w:rPr/>
      </w:pPr>
      <w:r>
        <w:rPr/>
        <w:t xml:space="preserve"> </w:t>
      </w:r>
    </w:p>
    <w:p>
      <w:pPr>
        <w:pStyle w:val="Normal"/>
        <w:pBdr>
          <w:bottom w:val="single" w:sz="6" w:space="1" w:color="000000"/>
        </w:pBdr>
        <w:bidi w:val="0"/>
        <w:spacing w:before="0" w:after="120"/>
        <w:jc w:val="start"/>
        <w:rPr/>
      </w:pPr>
      <w:r>
        <w:rPr/>
      </w:r>
    </w:p>
    <w:p>
      <w:pPr>
        <w:pStyle w:val="Normal"/>
        <w:bidi w:val="0"/>
        <w:spacing w:before="0" w:after="200"/>
        <w:jc w:val="start"/>
        <w:rPr/>
      </w:pPr>
      <w:r>
        <w:rPr/>
        <w:t xml:space="preserve"> </w:t>
      </w:r>
    </w:p>
    <w:p>
      <w:pPr>
        <w:pStyle w:val="Heading2"/>
        <w:bidi w:val="0"/>
        <w:spacing w:before="240" w:after="200"/>
        <w:jc w:val="start"/>
        <w:rPr/>
      </w:pPr>
      <w:r>
        <w:rPr/>
        <w:t>8. Datasets recomendados</w:t>
      </w:r>
    </w:p>
    <w:p>
      <w:pPr>
        <w:pStyle w:val="Normal"/>
        <w:bidi w:val="0"/>
        <w:spacing w:before="0" w:after="200"/>
        <w:jc w:val="start"/>
        <w:rPr/>
      </w:pPr>
      <w:r>
        <w:rPr/>
        <w:t xml:space="preserve"> </w:t>
      </w:r>
    </w:p>
    <w:p>
      <w:pPr>
        <w:pStyle w:val="ListParagraph"/>
        <w:numPr>
          <w:ilvl w:val="0"/>
          <w:numId w:val="1"/>
        </w:numPr>
        <w:bidi w:val="0"/>
        <w:spacing w:before="0" w:after="100"/>
        <w:jc w:val="start"/>
        <w:rPr/>
      </w:pPr>
      <w:r>
        <w:rPr>
          <w:b/>
          <w:bCs/>
        </w:rPr>
        <w:t>MISP (Malware Information Sharing Platform)</w:t>
      </w:r>
      <w:r>
        <w:rPr/>
        <w:t xml:space="preserve"> — formato estándar de IOCs, permite exportar datasets de ejemplo.</w:t>
      </w:r>
    </w:p>
    <w:p>
      <w:pPr>
        <w:pStyle w:val="ListParagraph"/>
        <w:numPr>
          <w:ilvl w:val="0"/>
          <w:numId w:val="1"/>
        </w:numPr>
        <w:bidi w:val="0"/>
        <w:spacing w:before="0" w:after="100"/>
        <w:jc w:val="start"/>
        <w:rPr/>
      </w:pPr>
      <w:r>
        <w:rPr>
          <w:b/>
          <w:bCs/>
        </w:rPr>
        <w:t>AlienVault OTX (Open Threat Exchange)</w:t>
      </w:r>
      <w:r>
        <w:rPr/>
        <w:t xml:space="preserve"> — feeds gratuitos de IOCs tras registro simple.</w:t>
      </w:r>
    </w:p>
    <w:p>
      <w:pPr>
        <w:pStyle w:val="ListParagraph"/>
        <w:numPr>
          <w:ilvl w:val="0"/>
          <w:numId w:val="1"/>
        </w:numPr>
        <w:bidi w:val="0"/>
        <w:spacing w:before="0" w:after="100"/>
        <w:jc w:val="start"/>
        <w:rPr/>
      </w:pPr>
      <w:r>
        <w:rPr>
          <w:b/>
          <w:bCs/>
        </w:rPr>
        <w:t>abuse.ch (URLhaus, MalwareBazaar, ThreatFox)</w:t>
      </w:r>
      <w:r>
        <w:rPr/>
        <w:t xml:space="preserve"> — feeds públicos y gratuitos de IPs, dominios y hashes maliciosos.</w:t>
      </w:r>
    </w:p>
    <w:p>
      <w:pPr>
        <w:pStyle w:val="ListParagraph"/>
        <w:numPr>
          <w:ilvl w:val="0"/>
          <w:numId w:val="1"/>
        </w:numPr>
        <w:bidi w:val="0"/>
        <w:spacing w:before="0" w:after="100"/>
        <w:jc w:val="start"/>
        <w:rPr/>
      </w:pPr>
      <w:r>
        <w:rPr>
          <w:b/>
          <w:bCs/>
        </w:rPr>
        <w:t>CIC-IDS o datasets de Kaggle sobre ciberseguridad</w:t>
      </w:r>
      <w:r>
        <w:rPr/>
        <w:t xml:space="preserve"> — útiles si se quiere entrenar un modelo de detección de anomalías más robusto.</w:t>
      </w:r>
    </w:p>
    <w:p>
      <w:pPr>
        <w:pStyle w:val="Normal"/>
        <w:bidi w:val="0"/>
        <w:spacing w:before="0" w:after="200"/>
        <w:jc w:val="start"/>
        <w:rPr/>
      </w:pPr>
      <w:r>
        <w:rPr/>
        <w:t xml:space="preserve"> </w:t>
      </w:r>
    </w:p>
    <w:p>
      <w:pPr>
        <w:pStyle w:val="Normal"/>
        <w:pBdr>
          <w:bottom w:val="single" w:sz="6" w:space="1" w:color="000000"/>
        </w:pBdr>
        <w:bidi w:val="0"/>
        <w:spacing w:before="0" w:after="120"/>
        <w:jc w:val="start"/>
        <w:rPr/>
      </w:pPr>
      <w:r>
        <w:rPr/>
      </w:r>
    </w:p>
    <w:p>
      <w:pPr>
        <w:pStyle w:val="Normal"/>
        <w:bidi w:val="0"/>
        <w:spacing w:before="0" w:after="200"/>
        <w:jc w:val="start"/>
        <w:rPr/>
      </w:pPr>
      <w:r>
        <w:rPr/>
        <w:t xml:space="preserve"> </w:t>
      </w:r>
    </w:p>
    <w:p>
      <w:pPr>
        <w:pStyle w:val="Heading2"/>
        <w:bidi w:val="0"/>
        <w:spacing w:before="240" w:after="200"/>
        <w:jc w:val="start"/>
        <w:rPr/>
      </w:pPr>
      <w:r>
        <w:rPr/>
        <w:t>9. Modelo de datos simplificado (IOC)</w:t>
      </w:r>
    </w:p>
    <w:p>
      <w:pPr>
        <w:pStyle w:val="Normal"/>
        <w:bidi w:val="0"/>
        <w:spacing w:before="0" w:after="200"/>
        <w:jc w:val="start"/>
        <w:rPr/>
      </w:pPr>
      <w:r>
        <w:rPr/>
        <w:t xml:space="preserve"> </w:t>
      </w:r>
    </w:p>
    <w:p>
      <w:pPr>
        <w:pStyle w:val="Normal"/>
        <w:bidi w:val="0"/>
        <w:spacing w:before="0" w:after="120"/>
        <w:jc w:val="start"/>
        <w:rPr/>
      </w:pPr>
      <w:r>
        <w:rPr/>
        <w:t>Como punto de partida para el diseño de la base de datos y el chaincode:</w:t>
      </w:r>
    </w:p>
    <w:p>
      <w:pPr>
        <w:pStyle w:val="Normal"/>
        <w:bidi w:val="0"/>
        <w:spacing w:before="0" w:after="200"/>
        <w:jc w:val="start"/>
        <w:rPr/>
      </w:pPr>
      <w:r>
        <w:rPr/>
        <w:t xml:space="preserve"> </w:t>
      </w:r>
    </w:p>
    <w:p>
      <w:pPr>
        <w:pStyle w:val="ListParagraph"/>
        <w:numPr>
          <w:ilvl w:val="0"/>
          <w:numId w:val="1"/>
        </w:numPr>
        <w:bidi w:val="0"/>
        <w:spacing w:before="0" w:after="100"/>
        <w:jc w:val="start"/>
        <w:rPr/>
      </w:pPr>
      <w:r>
        <w:rPr>
          <w:rFonts w:eastAsia="Courier New" w:cs="Courier New" w:ascii="Courier New" w:hAnsi="Courier New"/>
          <w:shd w:fill="F1F5F9" w:val="clear"/>
        </w:rPr>
        <w:t>id</w:t>
      </w:r>
      <w:r>
        <w:rPr/>
        <w:t xml:space="preserve"> — identificador único</w:t>
      </w:r>
    </w:p>
    <w:p>
      <w:pPr>
        <w:pStyle w:val="ListParagraph"/>
        <w:numPr>
          <w:ilvl w:val="0"/>
          <w:numId w:val="1"/>
        </w:numPr>
        <w:bidi w:val="0"/>
        <w:spacing w:before="0" w:after="100"/>
        <w:jc w:val="start"/>
        <w:rPr/>
      </w:pPr>
      <w:r>
        <w:rPr>
          <w:rFonts w:eastAsia="Courier New" w:cs="Courier New" w:ascii="Courier New" w:hAnsi="Courier New"/>
          <w:shd w:fill="F1F5F9" w:val="clear"/>
        </w:rPr>
        <w:t>tipo</w:t>
      </w:r>
      <w:r>
        <w:rPr/>
        <w:t xml:space="preserve"> — IP, dominio, hash, URL, etc.</w:t>
      </w:r>
    </w:p>
    <w:p>
      <w:pPr>
        <w:pStyle w:val="ListParagraph"/>
        <w:numPr>
          <w:ilvl w:val="0"/>
          <w:numId w:val="1"/>
        </w:numPr>
        <w:bidi w:val="0"/>
        <w:spacing w:before="0" w:after="100"/>
        <w:jc w:val="start"/>
        <w:rPr/>
      </w:pPr>
      <w:r>
        <w:rPr>
          <w:rFonts w:eastAsia="Courier New" w:cs="Courier New" w:ascii="Courier New" w:hAnsi="Courier New"/>
          <w:shd w:fill="F1F5F9" w:val="clear"/>
        </w:rPr>
        <w:t>valor</w:t>
      </w:r>
      <w:r>
        <w:rPr/>
        <w:t xml:space="preserve"> — el propio indicador (ej. la IP o el hash)</w:t>
      </w:r>
    </w:p>
    <w:p>
      <w:pPr>
        <w:pStyle w:val="ListParagraph"/>
        <w:numPr>
          <w:ilvl w:val="0"/>
          <w:numId w:val="1"/>
        </w:numPr>
        <w:bidi w:val="0"/>
        <w:spacing w:before="0" w:after="100"/>
        <w:jc w:val="start"/>
        <w:rPr/>
      </w:pPr>
      <w:r>
        <w:rPr>
          <w:rFonts w:eastAsia="Courier New" w:cs="Courier New" w:ascii="Courier New" w:hAnsi="Courier New"/>
          <w:shd w:fill="F1F5F9" w:val="clear"/>
        </w:rPr>
        <w:t>fuente</w:t>
      </w:r>
      <w:r>
        <w:rPr/>
        <w:t xml:space="preserve"> — organización o feed que lo reportó</w:t>
      </w:r>
    </w:p>
    <w:p>
      <w:pPr>
        <w:pStyle w:val="ListParagraph"/>
        <w:numPr>
          <w:ilvl w:val="0"/>
          <w:numId w:val="1"/>
        </w:numPr>
        <w:bidi w:val="0"/>
        <w:spacing w:before="0" w:after="100"/>
        <w:jc w:val="start"/>
        <w:rPr/>
      </w:pPr>
      <w:r>
        <w:rPr>
          <w:rFonts w:eastAsia="Courier New" w:cs="Courier New" w:ascii="Courier New" w:hAnsi="Courier New"/>
          <w:shd w:fill="F1F5F9" w:val="clear"/>
        </w:rPr>
        <w:t>severidad</w:t>
      </w:r>
      <w:r>
        <w:rPr/>
        <w:t xml:space="preserve"> — score calculado por el modelo de IA</w:t>
      </w:r>
    </w:p>
    <w:p>
      <w:pPr>
        <w:pStyle w:val="ListParagraph"/>
        <w:numPr>
          <w:ilvl w:val="0"/>
          <w:numId w:val="1"/>
        </w:numPr>
        <w:bidi w:val="0"/>
        <w:spacing w:before="0" w:after="100"/>
        <w:jc w:val="start"/>
        <w:rPr/>
      </w:pPr>
      <w:r>
        <w:rPr>
          <w:rFonts w:eastAsia="Courier New" w:cs="Courier New" w:ascii="Courier New" w:hAnsi="Courier New"/>
          <w:shd w:fill="F1F5F9" w:val="clear"/>
        </w:rPr>
        <w:t>timestamp</w:t>
      </w:r>
      <w:r>
        <w:rPr/>
        <w:t xml:space="preserve"> — fecha de detección/reporte</w:t>
      </w:r>
    </w:p>
    <w:p>
      <w:pPr>
        <w:pStyle w:val="ListParagraph"/>
        <w:numPr>
          <w:ilvl w:val="0"/>
          <w:numId w:val="1"/>
        </w:numPr>
        <w:bidi w:val="0"/>
        <w:spacing w:before="0" w:after="100"/>
        <w:jc w:val="start"/>
        <w:rPr/>
      </w:pPr>
      <w:r>
        <w:rPr>
          <w:rFonts w:eastAsia="Courier New" w:cs="Courier New" w:ascii="Courier New" w:hAnsi="Courier New"/>
          <w:shd w:fill="F1F5F9" w:val="clear"/>
        </w:rPr>
        <w:t>hash_blockchain</w:t>
      </w:r>
      <w:r>
        <w:rPr/>
        <w:t xml:space="preserve"> — referencia al registro inmutable correspondiente</w:t>
      </w:r>
    </w:p>
    <w:p>
      <w:pPr>
        <w:pStyle w:val="ListParagraph"/>
        <w:numPr>
          <w:ilvl w:val="0"/>
          <w:numId w:val="1"/>
        </w:numPr>
        <w:bidi w:val="0"/>
        <w:spacing w:before="0" w:after="100"/>
        <w:jc w:val="start"/>
        <w:rPr/>
      </w:pPr>
      <w:r>
        <w:rPr>
          <w:rFonts w:eastAsia="Courier New" w:cs="Courier New" w:ascii="Courier New" w:hAnsi="Courier New"/>
          <w:shd w:fill="F1F5F9" w:val="clear"/>
        </w:rPr>
        <w:t>estado</w:t>
      </w:r>
      <w:r>
        <w:rPr/>
        <w:t xml:space="preserve"> — activo, resuelto, falso positivo</w:t>
      </w:r>
    </w:p>
    <w:p>
      <w:pPr>
        <w:pStyle w:val="Normal"/>
        <w:bidi w:val="0"/>
        <w:spacing w:before="0" w:after="200"/>
        <w:jc w:val="start"/>
        <w:rPr/>
      </w:pPr>
      <w:r>
        <w:rPr/>
        <w:t xml:space="preserve"> </w:t>
      </w:r>
    </w:p>
    <w:p>
      <w:pPr>
        <w:pStyle w:val="Normal"/>
        <w:pBdr>
          <w:bottom w:val="single" w:sz="6" w:space="1" w:color="000000"/>
        </w:pBdr>
        <w:bidi w:val="0"/>
        <w:spacing w:before="0" w:after="120"/>
        <w:jc w:val="start"/>
        <w:rPr/>
      </w:pPr>
      <w:r>
        <w:rPr/>
      </w:r>
    </w:p>
    <w:p>
      <w:pPr>
        <w:pStyle w:val="Normal"/>
        <w:bidi w:val="0"/>
        <w:spacing w:before="0" w:after="200"/>
        <w:jc w:val="start"/>
        <w:rPr/>
      </w:pPr>
      <w:r>
        <w:rPr/>
        <w:t xml:space="preserve"> </w:t>
      </w:r>
    </w:p>
    <w:p>
      <w:pPr>
        <w:pStyle w:val="Heading2"/>
        <w:bidi w:val="0"/>
        <w:spacing w:before="240" w:after="200"/>
        <w:jc w:val="start"/>
        <w:rPr/>
      </w:pPr>
      <w:r>
        <w:rPr/>
        <w:t>10. Plan de trabajo (cronograma orientativo)</w:t>
      </w:r>
    </w:p>
    <w:p>
      <w:pPr>
        <w:pStyle w:val="Normal"/>
        <w:bidi w:val="0"/>
        <w:spacing w:before="0" w:after="200"/>
        <w:jc w:val="start"/>
        <w:rPr/>
      </w:pPr>
      <w:r>
        <w:rPr/>
        <w:t xml:space="preserve"> </w:t>
      </w:r>
    </w:p>
    <w:tbl>
      <w:tblPr>
        <w:tblStyle w:val="13"/>
        <w:tblW w:w="4950" w:type="pct"/>
        <w:jc w:val="start"/>
        <w:tblInd w:w="0" w:type="dxa"/>
        <w:tblLayout w:type="fixed"/>
        <w:tblCellMar>
          <w:top w:w="80" w:type="dxa"/>
          <w:start w:w="120" w:type="dxa"/>
          <w:bottom w:w="80" w:type="dxa"/>
          <w:end w:w="120" w:type="dxa"/>
        </w:tblCellMar>
      </w:tblPr>
      <w:tblGrid>
        <w:gridCol w:w="2782"/>
        <w:gridCol w:w="4182"/>
        <w:gridCol w:w="1971"/>
      </w:tblGrid>
      <w:tr>
        <w:trPr>
          <w:tblHeader w:val="true"/>
        </w:trPr>
        <w:tc>
          <w:tcPr>
            <w:tcW w:w="2782"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b/>
                <w:bCs/>
                <w:kern w:val="0"/>
                <w:sz w:val="20"/>
              </w:rPr>
              <w:t>Fase</w:t>
            </w:r>
          </w:p>
        </w:tc>
        <w:tc>
          <w:tcPr>
            <w:tcW w:w="4182"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b/>
                <w:bCs/>
                <w:kern w:val="0"/>
                <w:sz w:val="20"/>
              </w:rPr>
              <w:t>Contenido</w:t>
            </w:r>
          </w:p>
        </w:tc>
        <w:tc>
          <w:tcPr>
            <w:tcW w:w="1971"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b/>
                <w:bCs/>
                <w:kern w:val="0"/>
                <w:sz w:val="20"/>
              </w:rPr>
              <w:t>Duración estimada</w:t>
            </w:r>
          </w:p>
        </w:tc>
      </w:tr>
      <w:tr>
        <w:trPr/>
        <w:tc>
          <w:tcPr>
            <w:tcW w:w="2782"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1. Diseño y modelado</w:t>
            </w:r>
          </w:p>
        </w:tc>
        <w:tc>
          <w:tcPr>
            <w:tcW w:w="4182"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Modelo de datos, diagrama de arquitectura, casos de uso</w:t>
            </w:r>
          </w:p>
        </w:tc>
        <w:tc>
          <w:tcPr>
            <w:tcW w:w="1971"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1-2 semanas</w:t>
            </w:r>
          </w:p>
        </w:tc>
      </w:tr>
      <w:tr>
        <w:trPr/>
        <w:tc>
          <w:tcPr>
            <w:tcW w:w="2782"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2. Dataset y modelo de IA</w:t>
            </w:r>
          </w:p>
        </w:tc>
        <w:tc>
          <w:tcPr>
            <w:tcW w:w="4182"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Descarga de datos, entrenamiento del modelo de scoring, pruebas con LLM local</w:t>
            </w:r>
          </w:p>
        </w:tc>
        <w:tc>
          <w:tcPr>
            <w:tcW w:w="1971"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2 semanas</w:t>
            </w:r>
          </w:p>
        </w:tc>
      </w:tr>
      <w:tr>
        <w:trPr/>
        <w:tc>
          <w:tcPr>
            <w:tcW w:w="2782"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3. Microservicios base</w:t>
            </w:r>
          </w:p>
        </w:tc>
        <w:tc>
          <w:tcPr>
            <w:tcW w:w="4182"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API Gateway, ingesta/normalización, base de datos</w:t>
            </w:r>
          </w:p>
        </w:tc>
        <w:tc>
          <w:tcPr>
            <w:tcW w:w="1971"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3 semanas</w:t>
            </w:r>
          </w:p>
        </w:tc>
      </w:tr>
      <w:tr>
        <w:trPr/>
        <w:tc>
          <w:tcPr>
            <w:tcW w:w="2782"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4. Red blockchain</w:t>
            </w:r>
          </w:p>
        </w:tc>
        <w:tc>
          <w:tcPr>
            <w:tcW w:w="4182"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Despliegue de Hyperledger Fabric, chaincode de registro</w:t>
            </w:r>
          </w:p>
        </w:tc>
        <w:tc>
          <w:tcPr>
            <w:tcW w:w="1971"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3 semanas</w:t>
            </w:r>
          </w:p>
        </w:tc>
      </w:tr>
      <w:tr>
        <w:trPr/>
        <w:tc>
          <w:tcPr>
            <w:tcW w:w="2782"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5. Integración end-to-end</w:t>
            </w:r>
          </w:p>
        </w:tc>
        <w:tc>
          <w:tcPr>
            <w:tcW w:w="4182"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Conexión de todas las capas, dashboard React</w:t>
            </w:r>
          </w:p>
        </w:tc>
        <w:tc>
          <w:tcPr>
            <w:tcW w:w="1971"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2 semanas</w:t>
            </w:r>
          </w:p>
        </w:tc>
      </w:tr>
      <w:tr>
        <w:trPr/>
        <w:tc>
          <w:tcPr>
            <w:tcW w:w="2782"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6. Pruebas, documentación y memoria</w:t>
            </w:r>
          </w:p>
        </w:tc>
        <w:tc>
          <w:tcPr>
            <w:tcW w:w="4182"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Testing, redacción de la memoria, preparación de la defensa</w:t>
            </w:r>
          </w:p>
        </w:tc>
        <w:tc>
          <w:tcPr>
            <w:tcW w:w="1971"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3-4 semanas</w:t>
            </w:r>
          </w:p>
        </w:tc>
      </w:tr>
    </w:tbl>
    <w:p>
      <w:pPr>
        <w:pStyle w:val="Normal"/>
        <w:bidi w:val="0"/>
        <w:spacing w:before="240" w:after="0"/>
        <w:jc w:val="start"/>
        <w:rPr/>
      </w:pPr>
      <w:r>
        <w:rPr/>
        <w:t xml:space="preserve"> </w:t>
      </w:r>
    </w:p>
    <w:p>
      <w:pPr>
        <w:pStyle w:val="Normal"/>
        <w:bidi w:val="0"/>
        <w:spacing w:before="0" w:after="200"/>
        <w:jc w:val="start"/>
        <w:rPr/>
      </w:pPr>
      <w:r>
        <w:rPr/>
        <w:t xml:space="preserve"> </w:t>
      </w:r>
    </w:p>
    <w:p>
      <w:pPr>
        <w:pStyle w:val="Normal"/>
        <w:bidi w:val="0"/>
        <w:spacing w:before="0" w:after="120"/>
        <w:jc w:val="start"/>
        <w:rPr/>
      </w:pPr>
      <w:r>
        <w:rPr>
          <w:b/>
          <w:bCs/>
        </w:rPr>
        <w:t>Duración total estimada:</w:t>
      </w:r>
      <w:r>
        <w:rPr/>
        <w:t xml:space="preserve"> 14-16 semanas a dedicación parcial (compatible con clases), o 8-10 semanas a dedicación intensiva.</w:t>
      </w:r>
    </w:p>
    <w:p>
      <w:pPr>
        <w:pStyle w:val="Normal"/>
        <w:bidi w:val="0"/>
        <w:spacing w:before="0" w:after="200"/>
        <w:jc w:val="start"/>
        <w:rPr/>
      </w:pPr>
      <w:r>
        <w:rPr/>
        <w:t xml:space="preserve"> </w:t>
      </w:r>
    </w:p>
    <w:p>
      <w:pPr>
        <w:pStyle w:val="Normal"/>
        <w:pBdr>
          <w:bottom w:val="single" w:sz="6" w:space="1" w:color="000000"/>
        </w:pBdr>
        <w:bidi w:val="0"/>
        <w:spacing w:before="0" w:after="120"/>
        <w:jc w:val="start"/>
        <w:rPr/>
      </w:pPr>
      <w:r>
        <w:rPr/>
      </w:r>
    </w:p>
    <w:p>
      <w:pPr>
        <w:pStyle w:val="Normal"/>
        <w:bidi w:val="0"/>
        <w:spacing w:before="0" w:after="200"/>
        <w:jc w:val="start"/>
        <w:rPr/>
      </w:pPr>
      <w:r>
        <w:rPr/>
        <w:t xml:space="preserve"> </w:t>
      </w:r>
    </w:p>
    <w:p>
      <w:pPr>
        <w:pStyle w:val="Heading2"/>
        <w:bidi w:val="0"/>
        <w:spacing w:before="240" w:after="200"/>
        <w:jc w:val="start"/>
        <w:rPr/>
      </w:pPr>
      <w:r>
        <w:rPr/>
        <w:t>11. Presupuesto y coste</w:t>
      </w:r>
    </w:p>
    <w:p>
      <w:pPr>
        <w:pStyle w:val="Normal"/>
        <w:bidi w:val="0"/>
        <w:spacing w:before="0" w:after="200"/>
        <w:jc w:val="start"/>
        <w:rPr/>
      </w:pPr>
      <w:r>
        <w:rPr/>
        <w:t xml:space="preserve"> </w:t>
      </w:r>
    </w:p>
    <w:p>
      <w:pPr>
        <w:pStyle w:val="Normal"/>
        <w:bidi w:val="0"/>
        <w:spacing w:before="0" w:after="120"/>
        <w:jc w:val="start"/>
        <w:rPr/>
      </w:pPr>
      <w:r>
        <w:rPr/>
        <w:t xml:space="preserve">El proyecto puede desarrollarse íntegramente </w:t>
      </w:r>
      <w:r>
        <w:rPr>
          <w:b/>
          <w:bCs/>
        </w:rPr>
        <w:t>sin coste económico</w:t>
      </w:r>
      <w:r>
        <w:rPr/>
        <w:t>, siempre que se mantenga en un entorno local:</w:t>
      </w:r>
    </w:p>
    <w:p>
      <w:pPr>
        <w:pStyle w:val="Normal"/>
        <w:bidi w:val="0"/>
        <w:spacing w:before="0" w:after="200"/>
        <w:jc w:val="start"/>
        <w:rPr/>
      </w:pPr>
      <w:r>
        <w:rPr/>
        <w:t xml:space="preserve"> </w:t>
      </w:r>
    </w:p>
    <w:p>
      <w:pPr>
        <w:pStyle w:val="ListParagraph"/>
        <w:numPr>
          <w:ilvl w:val="0"/>
          <w:numId w:val="1"/>
        </w:numPr>
        <w:bidi w:val="0"/>
        <w:spacing w:before="0" w:after="100"/>
        <w:jc w:val="start"/>
        <w:rPr/>
      </w:pPr>
      <w:r>
        <w:rPr/>
        <w:t>Todo el software listado en la sección 7 es gratuito y open source.</w:t>
      </w:r>
    </w:p>
    <w:p>
      <w:pPr>
        <w:pStyle w:val="ListParagraph"/>
        <w:numPr>
          <w:ilvl w:val="0"/>
          <w:numId w:val="1"/>
        </w:numPr>
        <w:bidi w:val="0"/>
        <w:spacing w:before="0" w:after="100"/>
        <w:jc w:val="start"/>
        <w:rPr/>
      </w:pPr>
      <w:r>
        <w:rPr/>
        <w:t>El entrenamiento del modelo de IA se realiza en local, sin necesidad de GPU en la nube.</w:t>
      </w:r>
    </w:p>
    <w:p>
      <w:pPr>
        <w:pStyle w:val="ListParagraph"/>
        <w:numPr>
          <w:ilvl w:val="0"/>
          <w:numId w:val="1"/>
        </w:numPr>
        <w:bidi w:val="0"/>
        <w:spacing w:before="0" w:after="100"/>
        <w:jc w:val="start"/>
        <w:rPr/>
      </w:pPr>
      <w:r>
        <w:rPr/>
        <w:t>La red blockchain es una red de pruebas local, sin interacción con redes públicas ni gas.</w:t>
      </w:r>
    </w:p>
    <w:p>
      <w:pPr>
        <w:pStyle w:val="ListParagraph"/>
        <w:numPr>
          <w:ilvl w:val="0"/>
          <w:numId w:val="1"/>
        </w:numPr>
        <w:bidi w:val="0"/>
        <w:spacing w:before="0" w:after="100"/>
        <w:jc w:val="start"/>
        <w:rPr/>
      </w:pPr>
      <w:r>
        <w:rPr/>
        <w:t>Los datasets utilizados son de acceso gratuito.</w:t>
      </w:r>
    </w:p>
    <w:p>
      <w:pPr>
        <w:pStyle w:val="Normal"/>
        <w:bidi w:val="0"/>
        <w:spacing w:before="0" w:after="200"/>
        <w:jc w:val="start"/>
        <w:rPr/>
      </w:pPr>
      <w:r>
        <w:rPr/>
        <w:t xml:space="preserve"> </w:t>
      </w:r>
    </w:p>
    <w:p>
      <w:pPr>
        <w:pStyle w:val="Normal"/>
        <w:bidi w:val="0"/>
        <w:spacing w:before="0" w:after="120"/>
        <w:jc w:val="start"/>
        <w:rPr/>
      </w:pPr>
      <w:r>
        <w:rPr>
          <w:b/>
          <w:bCs/>
        </w:rPr>
        <w:t>Gastos opcionales (no imprescindibles):</w:t>
      </w:r>
    </w:p>
    <w:p>
      <w:pPr>
        <w:pStyle w:val="ListParagraph"/>
        <w:numPr>
          <w:ilvl w:val="0"/>
          <w:numId w:val="1"/>
        </w:numPr>
        <w:bidi w:val="0"/>
        <w:spacing w:before="0" w:after="100"/>
        <w:jc w:val="start"/>
        <w:rPr/>
      </w:pPr>
      <w:r>
        <w:rPr/>
        <w:t>Despliegue de una demo pública en la nube para la presentación final: existen niveles gratuitos suficientes (Oracle Cloud Always Free, Render, Railway, Fly.io).</w:t>
      </w:r>
    </w:p>
    <w:p>
      <w:pPr>
        <w:pStyle w:val="ListParagraph"/>
        <w:numPr>
          <w:ilvl w:val="0"/>
          <w:numId w:val="1"/>
        </w:numPr>
        <w:bidi w:val="0"/>
        <w:spacing w:before="0" w:after="100"/>
        <w:jc w:val="start"/>
        <w:rPr/>
      </w:pPr>
      <w:r>
        <w:rPr/>
        <w:t>Dominio propio para la demo (~10 €/año): puramente estético.</w:t>
      </w:r>
    </w:p>
    <w:p>
      <w:pPr>
        <w:pStyle w:val="ListParagraph"/>
        <w:numPr>
          <w:ilvl w:val="0"/>
          <w:numId w:val="1"/>
        </w:numPr>
        <w:bidi w:val="0"/>
        <w:spacing w:before="0" w:after="100"/>
        <w:jc w:val="start"/>
        <w:rPr/>
      </w:pPr>
      <w:r>
        <w:rPr/>
        <w:t>Uso intensivo de una API comercial de LLM (OpenAI, Anthropic) en lugar de un modelo local: se recomienda evitarlo o limitarlo al nivel gratuito para mantener el coste en cero.</w:t>
      </w:r>
    </w:p>
    <w:p>
      <w:pPr>
        <w:pStyle w:val="Normal"/>
        <w:bidi w:val="0"/>
        <w:spacing w:before="0" w:after="200"/>
        <w:jc w:val="start"/>
        <w:rPr/>
      </w:pPr>
      <w:r>
        <w:rPr/>
        <w:t xml:space="preserve"> </w:t>
      </w:r>
    </w:p>
    <w:p>
      <w:pPr>
        <w:pStyle w:val="Normal"/>
        <w:pBdr>
          <w:bottom w:val="single" w:sz="6" w:space="1" w:color="000000"/>
        </w:pBdr>
        <w:bidi w:val="0"/>
        <w:spacing w:before="0" w:after="120"/>
        <w:jc w:val="start"/>
        <w:rPr/>
      </w:pPr>
      <w:r>
        <w:rPr/>
      </w:r>
    </w:p>
    <w:p>
      <w:pPr>
        <w:pStyle w:val="Normal"/>
        <w:bidi w:val="0"/>
        <w:spacing w:before="0" w:after="200"/>
        <w:jc w:val="start"/>
        <w:rPr/>
      </w:pPr>
      <w:r>
        <w:rPr/>
        <w:t xml:space="preserve"> </w:t>
      </w:r>
    </w:p>
    <w:p>
      <w:pPr>
        <w:pStyle w:val="Heading2"/>
        <w:bidi w:val="0"/>
        <w:spacing w:before="240" w:after="200"/>
        <w:jc w:val="start"/>
        <w:rPr/>
      </w:pPr>
      <w:r>
        <w:rPr/>
        <w:t>12. Riesgos y mitigación</w:t>
      </w:r>
    </w:p>
    <w:p>
      <w:pPr>
        <w:pStyle w:val="Normal"/>
        <w:bidi w:val="0"/>
        <w:spacing w:before="0" w:after="200"/>
        <w:jc w:val="start"/>
        <w:rPr/>
      </w:pPr>
      <w:r>
        <w:rPr/>
        <w:t xml:space="preserve"> </w:t>
      </w:r>
    </w:p>
    <w:tbl>
      <w:tblPr>
        <w:tblStyle w:val="13"/>
        <w:tblW w:w="4950" w:type="pct"/>
        <w:jc w:val="start"/>
        <w:tblInd w:w="0" w:type="dxa"/>
        <w:tblLayout w:type="fixed"/>
        <w:tblCellMar>
          <w:top w:w="80" w:type="dxa"/>
          <w:start w:w="120" w:type="dxa"/>
          <w:bottom w:w="80" w:type="dxa"/>
          <w:end w:w="120" w:type="dxa"/>
        </w:tblCellMar>
      </w:tblPr>
      <w:tblGrid>
        <w:gridCol w:w="4037"/>
        <w:gridCol w:w="4898"/>
      </w:tblGrid>
      <w:tr>
        <w:trPr>
          <w:tblHeader w:val="true"/>
        </w:trPr>
        <w:tc>
          <w:tcPr>
            <w:tcW w:w="4037"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b/>
                <w:bCs/>
                <w:kern w:val="0"/>
                <w:sz w:val="20"/>
              </w:rPr>
              <w:t>Riesgo</w:t>
            </w:r>
          </w:p>
        </w:tc>
        <w:tc>
          <w:tcPr>
            <w:tcW w:w="4898"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b/>
                <w:bCs/>
                <w:kern w:val="0"/>
                <w:sz w:val="20"/>
              </w:rPr>
              <w:t>Mitigación</w:t>
            </w:r>
          </w:p>
        </w:tc>
      </w:tr>
      <w:tr>
        <w:trPr/>
        <w:tc>
          <w:tcPr>
            <w:tcW w:w="4037"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Complejidad de Hyperledger Fabric (curva de aprendizaje alta)</w:t>
            </w:r>
          </w:p>
        </w:tc>
        <w:tc>
          <w:tcPr>
            <w:tcW w:w="4898"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Empezar con la red de pruebas oficial ("test network") antes de personalizar el chaincode</w:t>
            </w:r>
          </w:p>
        </w:tc>
      </w:tr>
      <w:tr>
        <w:trPr/>
        <w:tc>
          <w:tcPr>
            <w:tcW w:w="4037"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Dataset insuficiente o poco representativo para el modelo de IA</w:t>
            </w:r>
          </w:p>
        </w:tc>
        <w:tc>
          <w:tcPr>
            <w:tcW w:w="4898"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Combinar varias fuentes abiertas (MISP + OTX + abuse.ch) y documentar las limitaciones en la memoria</w:t>
            </w:r>
          </w:p>
        </w:tc>
      </w:tr>
      <w:tr>
        <w:trPr/>
        <w:tc>
          <w:tcPr>
            <w:tcW w:w="4037"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Alcance demasiado ambicioso para el tiempo disponible</w:t>
            </w:r>
          </w:p>
        </w:tc>
        <w:tc>
          <w:tcPr>
            <w:tcW w:w="4898"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Priorizar el MVP definido en la sección 4 y dejar el resto como "trabajo futuro"</w:t>
            </w:r>
          </w:p>
        </w:tc>
      </w:tr>
      <w:tr>
        <w:trPr/>
        <w:tc>
          <w:tcPr>
            <w:tcW w:w="4037"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Integración entre las tres capas (Java, IA en Python, blockchain)</w:t>
            </w:r>
          </w:p>
        </w:tc>
        <w:tc>
          <w:tcPr>
            <w:tcW w:w="4898" w:type="dxa"/>
            <w:tcBorders>
              <w:top w:val="single" w:sz="4" w:space="0" w:color="000000"/>
              <w:start w:val="single" w:sz="4" w:space="0" w:color="000000"/>
              <w:bottom w:val="single" w:sz="4" w:space="0" w:color="000000"/>
              <w:end w:val="single" w:sz="4" w:space="0" w:color="000000"/>
            </w:tcBorders>
          </w:tcPr>
          <w:p>
            <w:pPr>
              <w:pStyle w:val="Normal"/>
              <w:bidi w:val="0"/>
              <w:jc w:val="start"/>
              <w:rPr>
                <w:kern w:val="0"/>
                <w:sz w:val="20"/>
              </w:rPr>
            </w:pPr>
            <w:r>
              <w:rPr>
                <w:kern w:val="0"/>
                <w:sz w:val="20"/>
              </w:rPr>
              <w:t>Definir contratos de API claros (REST/JSON) entre capas desde el principio</w:t>
            </w:r>
          </w:p>
        </w:tc>
      </w:tr>
    </w:tbl>
    <w:p>
      <w:pPr>
        <w:pStyle w:val="Normal"/>
        <w:bidi w:val="0"/>
        <w:spacing w:before="240" w:after="0"/>
        <w:jc w:val="start"/>
        <w:rPr/>
      </w:pPr>
      <w:r>
        <w:rPr/>
        <w:t xml:space="preserve"> </w:t>
      </w:r>
    </w:p>
    <w:p>
      <w:pPr>
        <w:pStyle w:val="Normal"/>
        <w:bidi w:val="0"/>
        <w:spacing w:before="0" w:after="200"/>
        <w:jc w:val="start"/>
        <w:rPr/>
      </w:pPr>
      <w:r>
        <w:rPr/>
        <w:t xml:space="preserve"> </w:t>
      </w:r>
    </w:p>
    <w:p>
      <w:pPr>
        <w:pStyle w:val="Normal"/>
        <w:pBdr>
          <w:bottom w:val="single" w:sz="6" w:space="1" w:color="000000"/>
        </w:pBdr>
        <w:bidi w:val="0"/>
        <w:spacing w:before="0" w:after="120"/>
        <w:jc w:val="start"/>
        <w:rPr/>
      </w:pPr>
      <w:r>
        <w:rPr/>
      </w:r>
    </w:p>
    <w:p>
      <w:pPr>
        <w:pStyle w:val="Normal"/>
        <w:bidi w:val="0"/>
        <w:spacing w:before="0" w:after="200"/>
        <w:jc w:val="start"/>
        <w:rPr/>
      </w:pPr>
      <w:r>
        <w:rPr/>
        <w:t xml:space="preserve"> </w:t>
      </w:r>
    </w:p>
    <w:p>
      <w:pPr>
        <w:pStyle w:val="Heading2"/>
        <w:bidi w:val="0"/>
        <w:spacing w:before="240" w:after="200"/>
        <w:jc w:val="start"/>
        <w:rPr/>
      </w:pPr>
      <w:r>
        <w:rPr/>
        <w:t>13. Criterios de éxito</w:t>
      </w:r>
    </w:p>
    <w:p>
      <w:pPr>
        <w:pStyle w:val="Normal"/>
        <w:bidi w:val="0"/>
        <w:spacing w:before="0" w:after="200"/>
        <w:jc w:val="start"/>
        <w:rPr/>
      </w:pPr>
      <w:r>
        <w:rPr/>
        <w:t xml:space="preserve"> </w:t>
      </w:r>
    </w:p>
    <w:p>
      <w:pPr>
        <w:pStyle w:val="ListParagraph"/>
        <w:numPr>
          <w:ilvl w:val="0"/>
          <w:numId w:val="1"/>
        </w:numPr>
        <w:bidi w:val="0"/>
        <w:spacing w:before="0" w:after="100"/>
        <w:jc w:val="start"/>
        <w:rPr/>
      </w:pPr>
      <w:r>
        <w:rPr/>
        <w:t>El sistema ingiere IOCs de al menos una fuente externa real.</w:t>
      </w:r>
    </w:p>
    <w:p>
      <w:pPr>
        <w:pStyle w:val="ListParagraph"/>
        <w:numPr>
          <w:ilvl w:val="0"/>
          <w:numId w:val="1"/>
        </w:numPr>
        <w:bidi w:val="0"/>
        <w:spacing w:before="0" w:after="100"/>
        <w:jc w:val="start"/>
        <w:rPr/>
      </w:pPr>
      <w:r>
        <w:rPr/>
        <w:t>El modelo de IA asigna una puntuación de riesgo coherente y explicable.</w:t>
      </w:r>
    </w:p>
    <w:p>
      <w:pPr>
        <w:pStyle w:val="ListParagraph"/>
        <w:numPr>
          <w:ilvl w:val="0"/>
          <w:numId w:val="1"/>
        </w:numPr>
        <w:bidi w:val="0"/>
        <w:spacing w:before="0" w:after="100"/>
        <w:jc w:val="start"/>
        <w:rPr/>
      </w:pPr>
      <w:r>
        <w:rPr/>
        <w:t>Cada IOC compartido queda registrado de forma verificable en la red blockchain.</w:t>
      </w:r>
    </w:p>
    <w:p>
      <w:pPr>
        <w:pStyle w:val="ListParagraph"/>
        <w:numPr>
          <w:ilvl w:val="0"/>
          <w:numId w:val="1"/>
        </w:numPr>
        <w:bidi w:val="0"/>
        <w:spacing w:before="0" w:after="100"/>
        <w:jc w:val="start"/>
        <w:rPr/>
      </w:pPr>
      <w:r>
        <w:rPr/>
        <w:t>El dashboard muestra alertas priorizadas de forma clara para un analista.</w:t>
      </w:r>
    </w:p>
    <w:p>
      <w:pPr>
        <w:pStyle w:val="ListParagraph"/>
        <w:numPr>
          <w:ilvl w:val="0"/>
          <w:numId w:val="1"/>
        </w:numPr>
        <w:bidi w:val="0"/>
        <w:spacing w:before="0" w:after="100"/>
        <w:jc w:val="start"/>
        <w:rPr/>
      </w:pPr>
      <w:r>
        <w:rPr/>
        <w:t>La memoria documenta claramente el problema de negocio, la arquitectura y los resultados obtenidos.</w:t>
      </w:r>
    </w:p>
    <w:p>
      <w:pPr>
        <w:pStyle w:val="Normal"/>
        <w:bidi w:val="0"/>
        <w:spacing w:before="0" w:after="200"/>
        <w:jc w:val="start"/>
        <w:rPr/>
      </w:pPr>
      <w:r>
        <w:rPr/>
        <w:t xml:space="preserve"> </w:t>
      </w:r>
    </w:p>
    <w:p>
      <w:pPr>
        <w:pStyle w:val="Normal"/>
        <w:pBdr>
          <w:bottom w:val="single" w:sz="6" w:space="1" w:color="000000"/>
        </w:pBdr>
        <w:bidi w:val="0"/>
        <w:spacing w:before="0" w:after="120"/>
        <w:jc w:val="start"/>
        <w:rPr/>
      </w:pPr>
      <w:r>
        <w:rPr/>
      </w:r>
    </w:p>
    <w:p>
      <w:pPr>
        <w:pStyle w:val="Normal"/>
        <w:bidi w:val="0"/>
        <w:spacing w:before="0" w:after="200"/>
        <w:jc w:val="start"/>
        <w:rPr/>
      </w:pPr>
      <w:r>
        <w:rPr/>
        <w:t xml:space="preserve"> </w:t>
      </w:r>
    </w:p>
    <w:p>
      <w:pPr>
        <w:pStyle w:val="Heading2"/>
        <w:bidi w:val="0"/>
        <w:spacing w:before="240" w:after="200"/>
        <w:jc w:val="start"/>
        <w:rPr/>
      </w:pPr>
      <w:r>
        <w:rPr/>
        <w:t>14. Alineación con el sector (Indra / Minsait Cyber)</w:t>
      </w:r>
    </w:p>
    <w:p>
      <w:pPr>
        <w:pStyle w:val="Normal"/>
        <w:bidi w:val="0"/>
        <w:spacing w:before="0" w:after="200"/>
        <w:jc w:val="start"/>
        <w:rPr/>
      </w:pPr>
      <w:r>
        <w:rPr/>
        <w:t xml:space="preserve"> </w:t>
      </w:r>
    </w:p>
    <w:p>
      <w:pPr>
        <w:pStyle w:val="Normal"/>
        <w:bidi w:val="0"/>
        <w:spacing w:before="0" w:after="120"/>
        <w:jc w:val="start"/>
        <w:rPr/>
      </w:pPr>
      <w:r>
        <w:rPr/>
        <w:t>El proyecto se apoya en tendencias que el propio sector está señalando de cara a 2026: refuerzo de la seguridad de la cadena de suministro de software, gestión continua de la exposición a amenazas, automatización de operaciones de seguridad, y adopción segura de la inteligencia artificial en un contexto de creciente tensión geopolítica. A nivel de grupo, Indra está reforzando explícitamente sus capacidades en ciberdefensa e inteligencia artificial como líneas estratégicas. Un proyecto que demuestre de forma práctica cómo combinar microservicios, IA y blockchain para resolver un problema real de intercambio de inteligencia de amenazas resulta, por tanto, directamente relevante para el discurso actual de un departamento de ciberseguridad como Minsait Cyber.</w:t>
      </w:r>
    </w:p>
    <w:p>
      <w:pPr>
        <w:pStyle w:val="Normal"/>
        <w:bidi w:val="0"/>
        <w:spacing w:before="0" w:after="200"/>
        <w:jc w:val="start"/>
        <w:rPr/>
      </w:pPr>
      <w:r>
        <w:rPr/>
        <w:t xml:space="preserve"> </w:t>
      </w:r>
    </w:p>
    <w:p>
      <w:pPr>
        <w:pStyle w:val="Normal"/>
        <w:pBdr>
          <w:bottom w:val="single" w:sz="6" w:space="1" w:color="000000"/>
        </w:pBdr>
        <w:bidi w:val="0"/>
        <w:spacing w:before="0" w:after="120"/>
        <w:jc w:val="start"/>
        <w:rPr/>
      </w:pPr>
      <w:r>
        <w:rPr/>
      </w:r>
    </w:p>
    <w:p>
      <w:pPr>
        <w:pStyle w:val="Normal"/>
        <w:bidi w:val="0"/>
        <w:spacing w:before="0" w:after="200"/>
        <w:jc w:val="start"/>
        <w:rPr/>
      </w:pPr>
      <w:r>
        <w:rPr/>
        <w:t xml:space="preserve"> </w:t>
      </w:r>
    </w:p>
    <w:p>
      <w:pPr>
        <w:pStyle w:val="Heading2"/>
        <w:bidi w:val="0"/>
        <w:spacing w:before="240" w:after="200"/>
        <w:jc w:val="start"/>
        <w:rPr/>
      </w:pPr>
      <w:r>
        <w:rPr/>
        <w:t>15. Fuentes consultadas</w:t>
      </w:r>
    </w:p>
    <w:p>
      <w:pPr>
        <w:pStyle w:val="Normal"/>
        <w:bidi w:val="0"/>
        <w:spacing w:before="0" w:after="200"/>
        <w:jc w:val="start"/>
        <w:rPr/>
      </w:pPr>
      <w:r>
        <w:rPr/>
        <w:t xml:space="preserve"> </w:t>
      </w:r>
    </w:p>
    <w:p>
      <w:pPr>
        <w:pStyle w:val="ListParagraph"/>
        <w:numPr>
          <w:ilvl w:val="0"/>
          <w:numId w:val="1"/>
        </w:numPr>
        <w:bidi w:val="0"/>
        <w:spacing w:before="0" w:after="100"/>
        <w:jc w:val="start"/>
        <w:rPr/>
      </w:pPr>
      <w:r>
        <w:rPr/>
        <w:t>Minsait Cyber — tendencias de ciberseguridad para 2026 (Computer Weekly en español, infochannel.info, agenciaeluniversal.mx)</w:t>
      </w:r>
    </w:p>
    <w:p>
      <w:pPr>
        <w:pStyle w:val="ListParagraph"/>
        <w:numPr>
          <w:ilvl w:val="0"/>
          <w:numId w:val="1"/>
        </w:numPr>
        <w:bidi w:val="0"/>
        <w:spacing w:before="0" w:after="100"/>
        <w:jc w:val="start"/>
        <w:rPr/>
      </w:pPr>
      <w:r>
        <w:rPr/>
        <w:t>Indra Group — reestructuración de negocio hacia ciberdefensa, IA y tecnologías estratégicas (elconciso.es)</w:t>
      </w:r>
    </w:p>
    <w:p>
      <w:pPr>
        <w:pStyle w:val="ListParagraph"/>
        <w:numPr>
          <w:ilvl w:val="0"/>
          <w:numId w:val="1"/>
        </w:numPr>
        <w:bidi w:val="0"/>
        <w:spacing w:before="0" w:after="100"/>
        <w:jc w:val="start"/>
        <w:rPr/>
      </w:pPr>
      <w:r>
        <w:rPr/>
        <w:t>Minsait — información corporativa sobre áreas de actividad y ciberseguridad (EOI, indragroup.com)</w:t>
      </w:r>
    </w:p>
    <w:p>
      <w:pPr>
        <w:pStyle w:val="Normal"/>
        <w:bidi w:val="0"/>
        <w:spacing w:before="0" w:after="200"/>
        <w:jc w:val="start"/>
        <w:rPr/>
      </w:pPr>
      <w:r>
        <w:rPr/>
        <w:t xml:space="preserve"> </w:t>
      </w:r>
    </w:p>
    <w:p>
      <w:pPr>
        <w:pStyle w:val="Normal"/>
        <w:pBdr>
          <w:bottom w:val="single" w:sz="6" w:space="1" w:color="000000"/>
        </w:pBdr>
        <w:bidi w:val="0"/>
        <w:spacing w:before="0" w:after="120"/>
        <w:jc w:val="start"/>
        <w:rPr/>
      </w:pPr>
      <w:r>
        <w:rPr/>
      </w:r>
    </w:p>
    <w:p>
      <w:pPr>
        <w:pStyle w:val="Normal"/>
        <w:bidi w:val="0"/>
        <w:spacing w:before="0" w:after="200"/>
        <w:jc w:val="start"/>
        <w:rPr/>
      </w:pPr>
      <w:r>
        <w:rPr/>
        <w:t xml:space="preserve"> </w:t>
      </w:r>
    </w:p>
    <w:p>
      <w:pPr>
        <w:pStyle w:val="Normal"/>
        <w:bidi w:val="0"/>
        <w:spacing w:before="0" w:after="120"/>
        <w:jc w:val="start"/>
        <w:rPr/>
      </w:pPr>
      <w:r>
        <w:rPr>
          <w:i/>
          <w:iCs/>
        </w:rPr>
        <w:t>Este informe está pensado como documento vivo de trabajo: se recomienda revisarlo y ajustarlo a medida que avance el desarrollo del proyecto.</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ourier New">
    <w:charset w:val="00" w:characterSet="windows-1252"/>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space"/>
      <w:lvlText w:val=""/>
      <w:lvlJc w:val="start"/>
      <w:pPr>
        <w:tabs>
          <w:tab w:val="num" w:pos="0"/>
        </w:tabs>
        <w:ind w:start="0" w:hanging="180"/>
      </w:pPr>
      <w:rPr>
        <w:rFonts w:ascii="Wingdings" w:hAnsi="Wingdings" w:cs="Wingdings" w:hint="default"/>
      </w:rPr>
    </w:lvl>
    <w:lvl w:ilvl="1">
      <w:start w:val="1"/>
      <w:numFmt w:val="bullet"/>
      <w:suff w:val="space"/>
      <w:lvlText w:val=""/>
      <w:lvlJc w:val="start"/>
      <w:pPr>
        <w:tabs>
          <w:tab w:val="num" w:pos="0"/>
        </w:tabs>
        <w:ind w:start="0" w:hanging="180"/>
      </w:pPr>
      <w:rPr>
        <w:rFonts w:ascii="Wingdings 2" w:hAnsi="Wingdings 2" w:cs="Wingdings 2" w:hint="default"/>
      </w:rPr>
    </w:lvl>
    <w:lvl w:ilvl="2">
      <w:start w:val="1"/>
      <w:numFmt w:val="bullet"/>
      <w:suff w:val="space"/>
      <w:lvlText w:val="■"/>
      <w:lvlJc w:val="start"/>
      <w:pPr>
        <w:tabs>
          <w:tab w:val="num" w:pos="0"/>
        </w:tabs>
        <w:ind w:start="0" w:hanging="180"/>
      </w:pPr>
      <w:rPr>
        <w:rFonts w:ascii="OpenSymbol" w:hAnsi="OpenSymbol" w:cs="OpenSymbol" w:hint="default"/>
      </w:rPr>
    </w:lvl>
    <w:lvl w:ilvl="3">
      <w:start w:val="1"/>
      <w:numFmt w:val="bullet"/>
      <w:suff w:val="space"/>
      <w:lvlText w:val=""/>
      <w:lvlJc w:val="start"/>
      <w:pPr>
        <w:tabs>
          <w:tab w:val="num" w:pos="0"/>
        </w:tabs>
        <w:ind w:start="0" w:hanging="180"/>
      </w:pPr>
      <w:rPr>
        <w:rFonts w:ascii="Wingdings" w:hAnsi="Wingdings" w:cs="Wingdings" w:hint="default"/>
      </w:rPr>
    </w:lvl>
    <w:lvl w:ilvl="4">
      <w:start w:val="1"/>
      <w:numFmt w:val="bullet"/>
      <w:suff w:val="space"/>
      <w:lvlText w:val=""/>
      <w:lvlJc w:val="start"/>
      <w:pPr>
        <w:tabs>
          <w:tab w:val="num" w:pos="0"/>
        </w:tabs>
        <w:ind w:start="0" w:hanging="180"/>
      </w:pPr>
      <w:rPr>
        <w:rFonts w:ascii="Wingdings 2" w:hAnsi="Wingdings 2" w:cs="Wingdings 2" w:hint="default"/>
      </w:rPr>
    </w:lvl>
    <w:lvl w:ilvl="5">
      <w:start w:val="1"/>
      <w:numFmt w:val="bullet"/>
      <w:suff w:val="space"/>
      <w:lvlText w:val="■"/>
      <w:lvlJc w:val="start"/>
      <w:pPr>
        <w:tabs>
          <w:tab w:val="num" w:pos="0"/>
        </w:tabs>
        <w:ind w:start="0" w:hanging="180"/>
      </w:pPr>
      <w:rPr>
        <w:rFonts w:ascii="OpenSymbol" w:hAnsi="OpenSymbol" w:cs="OpenSymbol" w:hint="default"/>
      </w:rPr>
    </w:lvl>
    <w:lvl w:ilvl="6">
      <w:start w:val="1"/>
      <w:numFmt w:val="bullet"/>
      <w:suff w:val="space"/>
      <w:lvlText w:val=""/>
      <w:lvlJc w:val="start"/>
      <w:pPr>
        <w:tabs>
          <w:tab w:val="num" w:pos="0"/>
        </w:tabs>
        <w:ind w:start="0" w:hanging="180"/>
      </w:pPr>
      <w:rPr>
        <w:rFonts w:ascii="Wingdings" w:hAnsi="Wingdings" w:cs="Wingdings" w:hint="default"/>
      </w:rPr>
    </w:lvl>
    <w:lvl w:ilvl="7">
      <w:start w:val="1"/>
      <w:numFmt w:val="bullet"/>
      <w:suff w:val="space"/>
      <w:lvlText w:val=""/>
      <w:lvlJc w:val="start"/>
      <w:pPr>
        <w:tabs>
          <w:tab w:val="num" w:pos="0"/>
        </w:tabs>
        <w:ind w:start="0" w:hanging="180"/>
      </w:pPr>
      <w:rPr>
        <w:rFonts w:ascii="Wingdings 2" w:hAnsi="Wingdings 2" w:cs="Wingdings 2" w:hint="default"/>
      </w:rPr>
    </w:lvl>
    <w:lvl w:ilvl="8">
      <w:start w:val="1"/>
      <w:numFmt w:val="bullet"/>
      <w:suff w:val="space"/>
      <w:lvlText w:val="■"/>
      <w:lvlJc w:val="start"/>
      <w:pPr>
        <w:tabs>
          <w:tab w:val="num" w:pos="0"/>
        </w:tabs>
        <w:ind w:start="0" w:hanging="18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lang w:val="es-E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9" w:qFormat="1"/>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99"/>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pPr>
    <w:rPr>
      <w:rFonts w:ascii="Calibri" w:hAnsi="Calibri" w:eastAsia="宋体" w:cs="" w:asciiTheme="minorHAnsi" w:cstheme="minorBidi" w:eastAsiaTheme="minorEastAsia" w:hAnsiTheme="minorHAnsi"/>
      <w:color w:val="auto"/>
      <w:kern w:val="0"/>
      <w:sz w:val="24"/>
      <w:szCs w:val="24"/>
      <w:lang w:val="es-ES" w:eastAsia="zh-CN" w:bidi="hi-IN"/>
    </w:rPr>
  </w:style>
  <w:style w:type="paragraph" w:styleId="Heading1">
    <w:name w:val="heading 1"/>
    <w:basedOn w:val="Ttulo"/>
    <w:next w:val="Normal"/>
    <w:uiPriority w:val="0"/>
    <w:qFormat/>
    <w:pPr>
      <w:jc w:val="start"/>
    </w:pPr>
    <w:rPr>
      <w:rFonts w:ascii="Calibri" w:hAnsi="Calibri" w:eastAsia="宋体" w:cs="" w:asciiTheme="minorHAnsi" w:cstheme="minorBidi" w:eastAsiaTheme="minorEastAsia" w:hAnsiTheme="minorHAnsi"/>
      <w:b/>
      <w:bCs/>
      <w:color w:val="000000"/>
      <w:sz w:val="40"/>
      <w:szCs w:val="40"/>
    </w:rPr>
  </w:style>
  <w:style w:type="paragraph" w:styleId="Heading2">
    <w:name w:val="heading 2"/>
    <w:basedOn w:val="Ttulo"/>
    <w:next w:val="Normal"/>
    <w:uiPriority w:val="0"/>
    <w:qFormat/>
    <w:pPr>
      <w:jc w:val="start"/>
    </w:pPr>
    <w:rPr>
      <w:rFonts w:ascii="Calibri" w:hAnsi="Calibri" w:eastAsia="宋体" w:cs="" w:asciiTheme="minorHAnsi" w:cstheme="minorBidi" w:eastAsiaTheme="minorEastAsia" w:hAnsiTheme="minorHAnsi"/>
      <w:b/>
      <w:bCs/>
      <w:color w:val="000000"/>
      <w:sz w:val="36"/>
      <w:szCs w:val="36"/>
    </w:rPr>
  </w:style>
  <w:style w:type="paragraph" w:styleId="Heading3">
    <w:name w:val="heading 3"/>
    <w:basedOn w:val="Ttulo"/>
    <w:next w:val="Normal"/>
    <w:uiPriority w:val="0"/>
    <w:qFormat/>
    <w:pPr>
      <w:jc w:val="start"/>
    </w:pPr>
    <w:rPr>
      <w:rFonts w:ascii="Calibri" w:hAnsi="Calibri" w:eastAsia="宋体" w:cs="" w:asciiTheme="minorHAnsi" w:cstheme="minorBidi" w:eastAsiaTheme="minorEastAsia" w:hAnsiTheme="minorHAnsi"/>
      <w:b/>
      <w:bCs/>
      <w:color w:val="000000"/>
      <w:sz w:val="32"/>
      <w:szCs w:val="32"/>
    </w:rPr>
  </w:style>
  <w:style w:type="paragraph" w:styleId="Heading4">
    <w:name w:val="heading 4"/>
    <w:basedOn w:val="Ttulo"/>
    <w:next w:val="Normal"/>
    <w:uiPriority w:val="0"/>
    <w:qFormat/>
    <w:pPr>
      <w:jc w:val="start"/>
    </w:pPr>
    <w:rPr>
      <w:rFonts w:ascii="Calibri" w:hAnsi="Calibri" w:eastAsia="宋体" w:cs="" w:asciiTheme="minorHAnsi" w:cstheme="minorBidi" w:eastAsiaTheme="minorEastAsia" w:hAnsiTheme="minorHAnsi"/>
      <w:b/>
      <w:bCs/>
      <w:color w:val="000000"/>
      <w:sz w:val="28"/>
      <w:szCs w:val="28"/>
    </w:rPr>
  </w:style>
  <w:style w:type="paragraph" w:styleId="Heading5">
    <w:name w:val="heading 5"/>
    <w:basedOn w:val="Ttulo"/>
    <w:next w:val="Normal"/>
    <w:uiPriority w:val="0"/>
    <w:qFormat/>
    <w:pPr>
      <w:jc w:val="start"/>
    </w:pPr>
    <w:rPr>
      <w:rFonts w:ascii="Calibri" w:hAnsi="Calibri" w:eastAsia="宋体" w:cs="" w:asciiTheme="minorHAnsi" w:cstheme="minorBidi" w:eastAsiaTheme="minorEastAsia" w:hAnsiTheme="minorHAnsi"/>
      <w:b/>
      <w:bCs/>
      <w:color w:val="000000"/>
      <w:sz w:val="24"/>
      <w:szCs w:val="24"/>
    </w:rPr>
  </w:style>
  <w:style w:type="paragraph" w:styleId="Heading6">
    <w:name w:val="heading 6"/>
    <w:basedOn w:val="Ttulo"/>
    <w:next w:val="Normal"/>
    <w:uiPriority w:val="0"/>
    <w:qFormat/>
    <w:pPr>
      <w:jc w:val="start"/>
    </w:pPr>
    <w:rPr>
      <w:rFonts w:ascii="Calibri" w:hAnsi="Calibri" w:eastAsia="宋体" w:cs="" w:asciiTheme="minorHAnsi" w:cstheme="minorBidi" w:eastAsiaTheme="minorEastAsia" w:hAnsiTheme="minorHAnsi"/>
      <w:b/>
      <w:bCs/>
      <w:color w:val="000000"/>
      <w:sz w:val="20"/>
      <w:szCs w:val="20"/>
    </w:rPr>
  </w:style>
  <w:style w:type="character" w:styleId="DefaultParagraphFont" w:default="1">
    <w:name w:val="Default Paragraph Font"/>
    <w:uiPriority w:val="0"/>
    <w:semiHidden/>
    <w:qFormat/>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uiPriority w:val="99"/>
    <w:unhideWhenUsed/>
    <w:rPr>
      <w:color w:val="0563C1"/>
      <w:u w:val="single"/>
    </w:rPr>
  </w:style>
  <w:style w:type="character" w:styleId="FootnoteTextChar" w:customStyle="1">
    <w:name w:val="Footnote Text Char"/>
    <w:uiPriority w:val="99"/>
    <w:semiHidden/>
    <w:unhideWhenUsed/>
    <w:qFormat/>
    <w:rPr>
      <w:sz w:val="20"/>
      <w:szCs w:val="20"/>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FootnoteText">
    <w:name w:val="footnote text"/>
    <w:basedOn w:val="Normal"/>
    <w:link w:val="FootnoteTextChar"/>
    <w:uiPriority w:val="99"/>
    <w:semiHidden/>
    <w:unhideWhenUsed/>
    <w:qFormat/>
    <w:pPr>
      <w:spacing w:lineRule="auto" w:line="240" w:before="0" w:after="0"/>
      <w:jc w:val="start"/>
    </w:pPr>
    <w:rPr>
      <w:rFonts w:ascii="Calibri" w:hAnsi="Calibri" w:eastAsia="宋体" w:cs="" w:asciiTheme="minorHAnsi" w:cstheme="minorBidi" w:eastAsiaTheme="minorEastAsia" w:hAnsiTheme="minorHAnsi"/>
      <w:sz w:val="20"/>
      <w:szCs w:val="20"/>
    </w:rPr>
  </w:style>
  <w:style w:type="paragraph" w:styleId="Title">
    <w:name w:val="Title"/>
    <w:basedOn w:val="Ttulo"/>
    <w:uiPriority w:val="0"/>
    <w:qFormat/>
    <w:pPr>
      <w:jc w:val="start"/>
    </w:pPr>
    <w:rPr>
      <w:rFonts w:ascii="Calibri" w:hAnsi="Calibri" w:eastAsia="宋体" w:cs="" w:asciiTheme="minorHAnsi" w:cstheme="minorBidi" w:eastAsiaTheme="minorEastAsia" w:hAnsiTheme="minorHAnsi"/>
      <w:sz w:val="56"/>
      <w:szCs w:val="56"/>
    </w:rPr>
  </w:style>
  <w:style w:type="paragraph" w:styleId="ListParagraph">
    <w:name w:val="List Paragraph"/>
    <w:uiPriority w:val="0"/>
    <w:qFormat/>
    <w:pPr>
      <w:widowControl w:val="false"/>
      <w:bidi w:val="0"/>
      <w:jc w:val="start"/>
    </w:pPr>
    <w:rPr>
      <w:rFonts w:ascii="Calibri" w:hAnsi="Calibri" w:eastAsia="宋体" w:cs="" w:asciiTheme="minorHAnsi" w:cstheme="minorBidi" w:eastAsiaTheme="minorEastAsia" w:hAnsiTheme="minorHAnsi"/>
      <w:color w:val="auto"/>
      <w:kern w:val="0"/>
      <w:sz w:val="24"/>
      <w:szCs w:val="24"/>
      <w:lang w:val="es-ES" w:eastAsia="zh-CN" w:bidi="hi-IN"/>
    </w:rPr>
  </w:style>
  <w:style w:type="table" w:default="1" w:styleId="13">
    <w:name w:val="Normal Table"/>
    <w:uiPriority w:val="0"/>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
  <TotalTime>25</TotalTime>
  <Application>LibreOffice/26.2.6.1$Windows_X86_64 LibreOffice_project/d1ee4fa77ef37aa4cfa80ea6fd156dcae5d60263</Application>
  <AppVersion>15.0000</AppVersion>
  <Pages>10</Pages>
  <Words>1994</Words>
  <Characters>11302</Characters>
  <CharactersWithSpaces>13156</CharactersWithSpaces>
  <Paragraphs>244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2026-09-07T20:26:00Z</dcterms:created>
  <dc:creator>Un-named</dc:creator>
  <dc:description/>
  <dc:language>es-ES</dc:language>
  <cp:lastModifiedBy/>
  <dcterms:modified xsi:type="dcterms:W3CDTF">2026-10-03T12:10:26Z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1033-11.2.0.9150</vt:lpwstr>
  </property>
</Properties>
</file>