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ADMITGRAPH</w:t>
        <w:br/>
        <w:t>Production Build Blueprint</w:t>
      </w:r>
    </w:p>
    <w:p>
      <w:pPr>
        <w:jc w:val="center"/>
      </w:pPr>
      <w:r>
        <w:rPr>
          <w:i/>
        </w:rPr>
        <w:t>SerpApi Hackathon 2026 • Database + Backend + Frontend + API + OpenCode Specification</w:t>
      </w:r>
    </w:p>
    <w:p>
      <w:r>
        <w:t>This document converts the supplied AdmitGraph hackathon development report into a build-ready implementation package. The supplied report defines AdmitGraph as a live, evidence-backed study-abroad strategy engine whose core loop is PROFILE → DISCOVER → VERIFY → MATCH → RISK-CHECK → PLAN → MONITOR.</w:t>
      </w:r>
    </w:p>
    <w:p>
      <w:pPr>
        <w:pStyle w:val="Heading1"/>
      </w:pPr>
      <w:r>
        <w:t>1. Product North Star</w:t>
      </w:r>
    </w:p>
    <w:p>
      <w:r>
        <w:t>AdmitGraph should help a first-time student understand what studying abroad involves, collect only the information needed to make a decision, research live public evidence, explain fit and risk, and produce a robust application strategy.</w:t>
      </w:r>
    </w:p>
    <w:p>
      <w:pPr>
        <w:pStyle w:val="Heading1"/>
      </w:pPr>
      <w:r>
        <w:t>2. Architecture</w:t>
      </w:r>
    </w:p>
    <w:p>
      <w:r>
        <w:t>Next.js + React + TypeScript frontend; FastAPI + Python backend; PostgreSQL system of record; Redis for cache/queue; SerpApi behind a typed provider adapter; structured-output LLM behind an internal interface; asynchronous research orchestration; evidence-first persistence.</w:t>
      </w:r>
    </w:p>
    <w:p>
      <w:pPr>
        <w:pStyle w:val="Heading1"/>
      </w:pPr>
      <w:r>
        <w:t>3. Database Philosophy</w:t>
      </w:r>
    </w:p>
    <w:p>
      <w:r>
        <w:t>The database is intentionally normalized around profiles, education, tests, programs, intakes, requirements, sources, search runs, evidence, conflicts, assessments, risks, strategy runs, tasks, and monitoring snapshots. Historical versions are preserved so recommendations remain auditable.</w:t>
      </w:r>
    </w:p>
    <w:p>
      <w:pPr>
        <w:pStyle w:val="Heading1"/>
      </w:pPr>
      <w:r>
        <w:t>4. User Experience</w:t>
      </w:r>
    </w:p>
    <w:p>
      <w:r>
        <w:t>Progressive onboarding teaches terminology while collecting data. The main dashboard prioritizes strategy health, actionable risks, Reach/Target/Lower-risk programs, eligibility, evidence, deadlines, and next actions. The user should not need prior study-abroad knowledge.</w:t>
      </w:r>
    </w:p>
    <w:p>
      <w:pPr>
        <w:pStyle w:val="Heading1"/>
      </w:pPr>
      <w:r>
        <w:t>5. SerpApi</w:t>
      </w:r>
    </w:p>
    <w:p>
      <w:r>
        <w:t>Google Search is the P0 engine. Google Jobs and Google News strengthen the MVP. Scholar, Trends and Maps are optional. The backend must record queries, parameters, provider search IDs, results, retrieval times, cache status and normalized evidence.</w:t>
      </w:r>
    </w:p>
    <w:p>
      <w:pPr>
        <w:pStyle w:val="Heading1"/>
      </w:pPr>
      <w:r>
        <w:t>6. Intelligence Rules</w:t>
      </w:r>
    </w:p>
    <w:p>
      <w:r>
        <w:t>Deterministic matching and scoring come first. LLMs may normalize ambiguous information and explain decisions, but may not invent requirements. Unknown data remains UNKNOWN. Conflicting evidence is displayed as conflicting.</w:t>
      </w:r>
    </w:p>
    <w:p>
      <w:pPr>
        <w:pStyle w:val="Heading1"/>
      </w:pPr>
      <w:r>
        <w:t>7. Winning Features</w:t>
      </w:r>
    </w:p>
    <w:p>
      <w:r>
        <w:t>Risk-first recommendations, evidence graph, failure simulation, freshness-aware monitoring, source conflict detection, plan health, and counterfactual strategy regeneration create a stronger differentiation than a normal university finder.</w:t>
      </w:r>
    </w:p>
    <w:p>
      <w:pPr>
        <w:pStyle w:val="Heading1"/>
      </w:pPr>
      <w:r>
        <w:t>8. OpenCode Execution</w:t>
      </w:r>
    </w:p>
    <w:p>
      <w:r>
        <w:t>The included OpenCode master prompt instructs the coding agent to read the specification first, build the stack in phases, implement migrations, typed provider adapters, services, tests, frontend flows, and production hardening without inventing missing requirements.</w:t>
      </w:r>
    </w:p>
    <w:p>
      <w:pPr>
        <w:pStyle w:val="Heading1"/>
      </w:pPr>
      <w:r>
        <w:t>9. Deliverables in the project package</w:t>
      </w:r>
    </w:p>
    <w:p>
      <w:pPr>
        <w:pStyle w:val="ListBullet"/>
      </w:pPr>
      <w:r>
        <w:t>docs/MASTER_SPEC.md — complete product and system specification</w:t>
      </w:r>
    </w:p>
    <w:p>
      <w:pPr>
        <w:pStyle w:val="ListBullet"/>
      </w:pPr>
      <w:r>
        <w:t>database/schema.sql — production-oriented PostgreSQL schema</w:t>
      </w:r>
    </w:p>
    <w:p>
      <w:pPr>
        <w:pStyle w:val="ListBullet"/>
      </w:pPr>
      <w:r>
        <w:t>api/API_CONTRACT.md — frontend/backend API contract</w:t>
      </w:r>
    </w:p>
    <w:p>
      <w:pPr>
        <w:pStyle w:val="ListBullet"/>
      </w:pPr>
      <w:r>
        <w:t>backend/BACKEND_SPEC.md — service architecture and implementation rules</w:t>
      </w:r>
    </w:p>
    <w:p>
      <w:pPr>
        <w:pStyle w:val="ListBullet"/>
      </w:pPr>
      <w:r>
        <w:t>frontend/FRONTEND_SPEC.md — UX and frontend implementation rules</w:t>
      </w:r>
    </w:p>
    <w:p>
      <w:pPr>
        <w:pStyle w:val="ListBullet"/>
      </w:pPr>
      <w:r>
        <w:t>serpapi_docs/SERPAPI_INTEGRATION.md — verified SerpApi integration notes</w:t>
      </w:r>
    </w:p>
    <w:p>
      <w:pPr>
        <w:pStyle w:val="ListBullet"/>
      </w:pPr>
      <w:r>
        <w:t>prompts/OPENCODE_MASTER_PROMPT.md — copy-ready coding-agent instructions</w:t>
      </w:r>
    </w:p>
    <w:p>
      <w:pPr>
        <w:pStyle w:val="ListBullet"/>
      </w:pPr>
      <w:r>
        <w:t>tests/TEST_PLAN.md — unit, integration, security and end-to-end tests</w:t>
      </w:r>
    </w:p>
    <w:p>
      <w:pPr>
        <w:pStyle w:val="ListBullet"/>
      </w:pPr>
      <w:r>
        <w:t>deployment/ENVIRONMENT.md and docker-compose.yml — local/deployment configuration</w:t>
      </w:r>
    </w:p>
    <w:p>
      <w:pPr>
        <w:pStyle w:val="Heading1"/>
      </w:pPr>
      <w:r>
        <w:t>10. Recommended hackathon strategy</w:t>
      </w:r>
    </w:p>
    <w:p>
      <w:r>
        <w:t>Do not try to build a massive study-abroad marketplace. The supplied report explicitly recommends a narrow, deep and reliable MVP, with Germany + MSc as the concrete demo while keeping the architecture country-agnostic. The strongest demo should show live SerpApi retrieval, a personalized portfolio, an eligibility matrix, a concrete risk, the evidence chain, failure simulation, and change monitoring.</w:t>
      </w:r>
    </w:p>
    <w:p>
      <w:pPr>
        <w:pStyle w:val="Heading1"/>
      </w:pPr>
      <w:r>
        <w:t>11. Important product safety rules</w:t>
      </w:r>
    </w:p>
    <w:p>
      <w:pPr>
        <w:pStyle w:val="ListBullet"/>
      </w:pPr>
      <w:r>
        <w:t>Never present an admission probability as fact.</w:t>
      </w:r>
    </w:p>
    <w:p>
      <w:pPr>
        <w:pStyle w:val="ListBullet"/>
      </w:pPr>
      <w:r>
        <w:t>Never fabricate tuition, deadlines, visa requirements, scholarships, prerequisites or job statistics.</w:t>
      </w:r>
    </w:p>
    <w:p>
      <w:pPr>
        <w:pStyle w:val="ListBullet"/>
      </w:pPr>
      <w:r>
        <w:t>Every dynamic claim requires source, timestamp and confidence.</w:t>
      </w:r>
    </w:p>
    <w:p>
      <w:pPr>
        <w:pStyle w:val="ListBullet"/>
      </w:pPr>
      <w:r>
        <w:t>Official university/government sources take precedence for requirements, but conflicting evidence must remain visible.</w:t>
      </w:r>
    </w:p>
    <w:p>
      <w:pPr>
        <w:pStyle w:val="ListBullet"/>
      </w:pPr>
      <w:r>
        <w:t>Visa/legal information is informational and must link to official government sources.</w:t>
      </w:r>
    </w:p>
    <w:p>
      <w:pPr>
        <w:pStyle w:val="ListBullet"/>
      </w:pPr>
      <w:r>
        <w:t>Keep API keys server-side.</w:t>
      </w:r>
    </w:p>
    <w:p>
      <w:pPr>
        <w:pStyle w:val="ListBullet"/>
      </w:pPr>
      <w:r>
        <w:t>Treat student data as sensitive application data and minimize retention.</w:t>
      </w:r>
    </w:p>
    <w:p>
      <w:pPr>
        <w:pStyle w:val="Heading1"/>
      </w:pPr>
      <w:r>
        <w:t>12. Official SerpApi references used for this blueprint</w:t>
      </w:r>
    </w:p>
    <w:p>
      <w:r>
        <w:t>https://serpapi.com/search-api</w:t>
      </w:r>
    </w:p>
    <w:p>
      <w:r>
        <w:t>https://serpapi.com/google-jobs-api</w:t>
      </w:r>
    </w:p>
    <w:p>
      <w:r>
        <w:t>https://serpapi.com/google-news-api</w:t>
      </w:r>
    </w:p>
    <w:p>
      <w:r>
        <w:t>https://serpapi.com/google-scholar-api</w:t>
      </w:r>
    </w:p>
    <w:p>
      <w:r>
        <w:t>https://serpapi.com/google-trends-api</w:t>
      </w:r>
    </w:p>
    <w:p>
      <w:r>
        <w:t>https://serpapi.com/google-maps-api</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