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ingest news and financial reports in a single prompt, which can dilute relevant signals. We develop a two-stage filtering framework in which news nominates a candidate stock pool and financial reports refine it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Risk barely moved: annualized volatility 28.1% against 27.8%, maximum drawdown −23.2% against −22.4%, and median Sharpe 1.70 against 1.34. That configuration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beat an equal-weighted portfolio of the eligible universe and random portfolios matched on holding count, whereas the unfiltered baseline does not, indicating selection skill rather than sector exposure alone. Comparisons with the S&amp;P 500 and sector indices are context only. The framework beats the broad index mainly because its universe is technology-heavy. These results indicate that the structural organization of information is a first-class design variable for LLM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 xml:space="preserve">Robust financial analysis requires integrating qualitative sentiment — extracted from earnings reports and news sources — with quantitative metrics such as historical price, volume, and risk profiles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((S. An, Q. Li, J. Lu, D. Yin, X. Sun. FinVerse: an autonomous agent system for versatile financial analysis. arXiv, 2024, https://doi.org/10.48550/arXiv.2406.06379.)). Capitalizing on their natural language understanding capabilities, LLMs are increasingly applied to financial markets to generate directional signals — buy, hold, or sell recommendations — by synthesizing information from news, earnings reports, and regulatory filings ((A. Lopez-Lira, Y. Tang. Can ChatGPT forecast stock price movements? return predictability and large language models. SSRN. 2023, https://doi.org/10.2139/ssrn.4412788.))</w:t>
      </w:r>
      <w:r>
        <w:rPr>
          <w:vertAlign w:val="superscript"/>
        </w:rPr>
        <w:t xml:space="preserve">,</w:t>
      </w:r>
      <w:r>
        <w:t xml:space="preserve"> ((Y. Xiao, E. Sun, D. Luo, W. Wang. TradingAgents: multi-agents LLM financial trading framework. arXiv, 2024, https://doi.org/10.48550/arXiv.2412.20138.))</w:t>
      </w:r>
      <w:r>
        <w:rPr>
          <w:vertAlign w:val="superscript"/>
        </w:rPr>
        <w:t xml:space="preserve">,</w:t>
      </w:r>
      <w:r>
        <w:t xml:space="preserve"> ((H. Ding, Y. Li, J. Wang, H. Chen. Large language model agent in financial trading: a survey. arXiv, 2024, https://doi.org/10.48550/arXiv.2408.06361.)).</w:t>
      </w:r>
    </w:p>
    <w:p w14:paraId="4E45DE95" w14:textId="77777777" w:rsidR="00557FAC" w:rsidRDefault="00824C87">
      <w:pPr>
        <w:spacing w:before="40" w:after="40"/>
        <w:jc w:val="both"/>
      </w:pPr>
      <w:r>
        <w:t xml:space="preserve">Most LLM-based investment research targets short-term horizons — high-frequency trading or single-day price prediction ((A. Lopez-Lira, Y. Tang. Can ChatGPT forecast stock price movements? return predictability and large language models. SSRN. 2023, https://doi.org/10.2139/ssrn.4412788.))</w:t>
      </w:r>
      <w:r>
        <w:rPr>
          <w:vertAlign w:val="superscript"/>
        </w:rPr>
        <w:t xml:space="preserve">,</w:t>
      </w:r>
      <w:r>
        <w:t xml:space="preserve"> ((Y. Xiao, E. Sun, D. Luo, W. Wang. TradingAgents: multi-agents LLM financial trading framework. arXiv, 2024, https://doi.org/10.48550/arXiv.2412.20138.))</w:t>
      </w:r>
      <w:r>
        <w:rPr>
          <w:vertAlign w:val="superscript"/>
        </w:rPr>
        <w:t xml:space="preserve">,</w:t>
      </w:r>
      <w:r>
        <w:t xml:space="preserve"> ((W. W. Li, H. Kim, M. Cucuringu, T. Ma. Can LLM-based financial investing strategies outperform the market in the long run? arXiv, 2025, https://doi.org/10.48550/arXiv.2505.07078.)). A growing subset explores longer horizons ((W. W. Li, H. Kim, M. Cucuringu, T. Ma. Can LLM-based financial investing strategies outperform the market in the long run? arXiv, 2025, https://doi.org/10.48550/arXiv.2505.07078.))</w:t>
      </w:r>
      <w:r>
        <w:rPr>
          <w:vertAlign w:val="superscript"/>
        </w:rPr>
        <w:t xml:space="preserve">,</w:t>
      </w:r>
      <w:r>
        <w:t xml:space="preserve"> ((D. Blitz, M. X. Hanauer, T. Hoogteijling, C. Howard. The term structure of machine learning alpha. The Journal of Financial Data Science. Vol. 5, pg. 40–65, 2023, https://doi.org/10.3905/jfds.2023.1.135.)), but few studies guard against lookahead bias by restricting the model to information available at the simulated decision date, and few target holding periods beyond one quarter ((W. W. Li, H. Kim, M. Cucuringu, T. Ma. Can LLM-based financial investing strategies outperform the market in the long run? arXiv, 2025, https://doi.org/10.48550/arXiv.2505.07078.)). This gap motivates the present work: whether a structured LLM pipeline can generate reliable strategies over 12-month holding periods under a forward-usable protocol in which every decision uses only information available at that date. The models themselves postdate the earliest simulated decision dates, so it is the protocol, not the specific model, that transfers.</w:t>
      </w:r>
    </w:p>
    <w:p w14:paraId="6978CF78" w14:textId="77777777" w:rsidR="00557FAC" w:rsidRDefault="00824C87">
      <w:pPr>
        <w:spacing w:before="40" w:after="40"/>
        <w:jc w:val="both"/>
      </w:pPr>
      <w:r>
        <w:t xml:space="preserve">LLM capacity for summarization ((G. Lu, S. B. Larcher, T. Tran. Hybrid long document summarization using C2F-FAR and ChatGPT: a practical study. arXiv, 2023, https://doi.org/10.48550/arXiv.2306.01169.)), information extraction, and generation suits market trend monitoring, risk factor identification, and investment decision support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((S. An, Q. Li, J. Lu, D. Yin, X. Sun. FinVerse: an autonomous agent system for versatile financial analysis. arXiv, 2024, https://doi.org/10.48550/arXiv.2406.06379.)). As these models have scaled, their ability to process heterogeneous financial data has grown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((H. Naveed, A. U. Khan, S. Qiu, M. Saqib, S. Anwar, M. Usman, N. Akhtar, N. Barnes, A. Mian. A comprehensive overview of large language models. ACM Transactions on Intelligent Systems and Technology. Vol. 16, no. 5, 2025, https://doi.org/10.1145/3744746.)), but opacity makes it hard to audit whether outputs reflect genuine reasoning or spurious pre-training correlations ((B. Cao, S. Wang, X. Lin, X. Wu, H. Zhang, L. M. Ni, J. Guo. From deep learning to LLMs: a survey of AI in quantitative investment. arXiv, 2025, https://doi.org/10.48550/arXiv.2503.21422.))</w:t>
      </w:r>
      <w:r>
        <w:rPr>
          <w:vertAlign w:val="superscript"/>
        </w:rPr>
        <w:t xml:space="preserve">,</w:t>
      </w:r>
      <w:r>
        <w:t xml:space="preserve"> ((I. Mirzadeh, K. Alizadeh, H. Shahrokhi, O. Tuzel, S. Bengio, M. Farajtabar. GSM-symbolic: understanding the limitations of mathematical reasoning in large language models. International Conference on Learning Representations (ICLR 2025). 2025, https://openreview.net/forum?id=AjXkRZIvjB.)). Because undetected biases propagate into consequential decisions ((B. Cao, S. Wang, X. Lin, X. Wu, H. Zhang, L. M. Ni, J. Guo. From deep learning to LLMs: a survey of AI in quantitative investment. arXiv, 2025, https://doi.org/10.48550/arXiv.2503.21422.))</w:t>
      </w:r>
      <w:r>
        <w:rPr>
          <w:vertAlign w:val="superscript"/>
        </w:rPr>
        <w:t xml:space="preserve">,</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 principled deployment frameworks matter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((I. Okpala, A. Golgoon, A. R. Kannan. Agentic AI systems applied to tasks in financial services: modeling and model risk management crews. arXiv, 2025, https://doi.org/10.48550/arXiv.2502.05439.)).</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t xml:space="preserve">LLMs synthesize heterogeneous financial data to extract predictive market signals ((A. Lopez-Lira, Y. Tang. Can ChatGPT forecast stock price movements? return predictability and large language models. SSRN. 2023, https://doi.org/10.2139/ssrn.4412788.))</w:t>
      </w:r>
      <w:r>
        <w:rPr>
          <w:vertAlign w:val="superscript"/>
        </w:rPr>
        <w:t xml:space="preserve">,</w:t>
      </w:r>
      <w:r>
        <w:t xml:space="preserve"> ((H. Ding, Y. Li, J. Wang, H. Chen. Large language model agent in financial trading: a survey. arXiv, 2024, https://doi.org/10.48550/arXiv.2408.06361.))</w:t>
      </w:r>
      <w:r>
        <w:rPr>
          <w:vertAlign w:val="superscript"/>
        </w:rPr>
        <w:t xml:space="preserve">,</w:t>
      </w:r>
      <w:r>
        <w:t xml:space="preserve"> ((G. Fatouros, K. Metaxas, J. Soldatos, M. Karathanassis. MarketSenseAI 2.0: enhancing stock analysis through LLM agents. arXiv, 2025, https://doi.org/10.48550/arXiv.2502.00415.)). Integrating them with conventional forecasting improved predictive accuracy, attributed to capturing relationships between news sentiment and price movements ((A. Lopez-Lira, Y. Tang. Can ChatGPT forecast stock price movements? return predictability and large language models. SSRN. 2023, https://doi.org/10.2139/ssrn.4412788.))</w:t>
      </w:r>
      <w:r>
        <w:rPr>
          <w:vertAlign w:val="superscript"/>
        </w:rPr>
        <w:t xml:space="preserve">,</w:t>
      </w:r>
      <w:r>
        <w:t xml:space="preserve"> ((G. Fatouros, K. Metaxas, J. Soldatos, M. Karathanassis. MarketSenseAI 2.0: enhancing stock analysis through LLM agents. arXiv, 2025, https://doi.org/10.48550/arXiv.2502.00415.))</w:t>
      </w:r>
      <w:r>
        <w:rPr>
          <w:vertAlign w:val="superscript"/>
        </w:rPr>
        <w:t xml:space="preserve">,</w:t>
      </w:r>
      <w:r>
        <w:t xml:space="preserve"> ((J. Cheng, P. Chin. AAPM: large language model agent-based asset pricing models. arXiv, 2024, https://doi.org/10.48550/arXiv.2409.17266.)). A complementary line combines document embeddings with LLM-generated representations to proxy investor sentiment and macroeconomic conditions ((G. Fatouros, K. Metaxas, J. Soldatos, M. Karathanassis. MarketSenseAI 2.0: enhancing stock analysis through LLM agents. arXiv, 2025, https://doi.org/10.48550/arXiv.2502.00415.))</w:t>
      </w:r>
      <w:r>
        <w:rPr>
          <w:vertAlign w:val="superscript"/>
        </w:rPr>
        <w:t xml:space="preserve">,</w:t>
      </w:r>
      <w:r>
        <w:t xml:space="preserve"> ((C. Choi, A. Lopez-Lira, Y. Lee, J. Kwon, M. Kim, J. Hwang, M. Ha, C. Kim, J. Ha, S. Yun, J. Kim. Structuring the unstructured: a multi-agent system for extracting and querying financial KPIs and guidance. arXiv, 2025, https://doi.org/10.48550/arXiv.2505.19197.)). reducing manual overhead and enabling more scalable modeling pipelines ((G. Fatouros, K. Metaxas, J. Soldatos, M. Karathanassis. MarketSenseAI 2.0: enhancing stock analysis through LLM agents. arXiv, 2025, https://doi.org/10.48550/arXiv.2502.00415.))</w:t>
      </w:r>
      <w:r>
        <w:rPr>
          <w:vertAlign w:val="superscript"/>
        </w:rPr>
        <w:t xml:space="preserve">,</w:t>
      </w:r>
      <w:r>
        <w:t xml:space="preserve"> ((C. Choi, A. Lopez-Lira, Y. Lee, J. Kwon, M. Kim, J. Hwang, M. Ha, C. Kim, J. Ha, S. Yun, J. Kim. Structuring the unstructured: a multi-agent system for extracting and querying financial KPIs and guidance. arXiv, 2025, https://doi.org/10.48550/arXiv.2505.19197.)).</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t xml:space="preserve">Beyond single-model deployments, LLMs are increasingly employed as components of multi-agent trading systems, in which specialized agents interact to simulate market dynamics and refine portfolio strategies ((Y. Xiao, E. Sun, D. Luo, W. Wang. TradingAgents: multi-agents LLM financial trading framework. arXiv, 2024, https://doi.org/10.48550/arXiv.2412.20138.))</w:t>
      </w:r>
      <w:r>
        <w:rPr>
          <w:vertAlign w:val="superscript"/>
        </w:rPr>
        <w:t xml:space="preserve">,</w:t>
      </w:r>
      <w:r>
        <w:t xml:space="preserve">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r>
        <w:rPr>
          <w:vertAlign w:val="superscript"/>
        </w:rPr>
        <w:t xml:space="preserve">,</w:t>
      </w:r>
      <w:r>
        <w:t xml:space="preserve"> ((X. Han, N. Wang, S. Che, H. Yang, K. Zhang, S. X. Xu. Enhancing investment analysis: optimizing AI-agent collaboration in financial research. Proceedings of the 5th ACM International Conference on AI in Finance. 2024, https://doi.org/10.1145/3677052.3698645.))</w:t>
      </w:r>
      <w:r>
        <w:rPr>
          <w:vertAlign w:val="superscript"/>
        </w:rPr>
        <w:t xml:space="preserve">,</w:t>
      </w:r>
      <w:r>
        <w:t xml:space="preserve"> ((C. Zhang, X. Liu, M. Jin, Z. Zhang, L. Li, Z. Wang, W. Hua, D. Shu, S. Zhu, X. Jin, S. Li, M. Du, Y. Zhang. When AI meets finance (StockAgent): large language model-based stock trading in simulated real-world environments. arXiv, 2024, https://doi.org/10.48550/arXiv.2407.18957.)). Layered memory and role-differentiated designs let agents retain historical context and adapt as conditions evolve, ((Y. Li, Y. Yu, H. Li, Z. Chen, K. Khashanah. TradingGPT: multi-agent system with layered memory and distinct characters for enhanced financial trading performance. arXiv, 2023, https://doi.org/10.48550/arXiv.2309.03736.))</w:t>
      </w:r>
      <w:r>
        <w:rPr>
          <w:vertAlign w:val="superscript"/>
        </w:rPr>
        <w:t xml:space="preserve">,</w:t>
      </w:r>
      <w:r>
        <w:t xml:space="preserve"> ((Y. Yu, H. Li, Z. Chen, Y. Jiang, Y. Li, D. Zhang, R. Liu, J. W. Suchow, K. Khashanah. FinMem: a performance-enhanced LLM trading agent with layered memory and character design. Proceedings of the AAAI Symposium Series. Vol. 3, pg. 595–597, 2024, https://doi.org/10.1609/aaaiss.v3i1.31290.)). and multi-agent configurations frequently outperform single-agent baselines because strategy diversity reduces the overfitting seen in isolated backtests ((X. Han, N. Wang, S. Che, H. Yang, K. Zhang, S. X. Xu. Enhancing investment analysis: optimizing AI-agent collaboration in financial research. Proceedings of the 5th ACM International Conference on AI in Finance. 2024, https://doi.org/10.1145/3677052.3698645.))</w:t>
      </w:r>
      <w:r>
        <w:rPr>
          <w:vertAlign w:val="superscript"/>
        </w:rPr>
        <w:t xml:space="preserve">,</w:t>
      </w:r>
      <w:r>
        <w:t xml:space="preserve"> ((T. Guo, H. Shen, J. Huang, Z. Mao, J. Luo, B. Chen, Z. Chen, L. Liu, B. Xia, X. Liu, Y. Ma, M. Zhang. MASS: multi-agent simulation scaling for portfolio construction. arXiv, 2025, https://doi.org/10.48550/arXiv.2505.10278.)). Agents are typically assigned distinct functions — allocation, risk assessment, monitoring ((Y. Xiao, E. Sun, D. Luo, W. Wang. TradingAgents: multi-agents LLM financial trading framework. arXiv, 2024, https://doi.org/10.48550/arXiv.2412.20138.))</w:t>
      </w:r>
      <w:r>
        <w:rPr>
          <w:vertAlign w:val="superscript"/>
        </w:rPr>
        <w:t xml:space="preserve">,</w:t>
      </w:r>
      <w:r>
        <w:t xml:space="preserve">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r>
        <w:rPr>
          <w:vertAlign w:val="superscript"/>
        </w:rPr>
        <w:t xml:space="preserve">,</w:t>
      </w:r>
      <w:r>
        <w:t xml:space="preserve"> ((J. Li, J. Zhang, H. Li, Y. Shen. An agent framework for real-time financial information searching with large language models. arXiv, 2025, https://doi.org/10.48550/arXiv.2502.15684.)). Representative frameworks such as 3S-Trader ((K. Chen, H. Ahmad, D. Goel, C. Szabo. 3S-trader: a multi-LLM framework for adaptive stock scoring, strategy, and selection in portfolio optimization. arXiv, 2025, https://doi.org/10.48550/arXiv.2510.17393.)), AlphaAgents ((T. Zhao, J. Lyu, S. Jones, H. Garber, S. Pasquali, D. Mehta. AlphaAgents: large language model-based multi-agents for equity portfolio constructions. arXiv, 2025, https://doi.org/10.48550/arXiv.2508.11152.)), FinRobot ((T. Zhou, P. Wang, Y. Wu, H. Yang. FinRobot: AI agent for equity research and valuation with large language models. arXiv, 2024, https://doi.org/10.48550/arXiv.2411.08804.)), and tool-augmented multimodal foundation agents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 xml:space="preserve">LLMs infer investor sentiment and forecast market movements from news and social media ((A. Lopez-Lira, Y. Tang. Can ChatGPT forecast stock price movements? return predictability and large language models. SSRN. 2023, https://doi.org/10.2139/ssrn.4412788.))</w:t>
      </w:r>
      <w:r>
        <w:rPr>
          <w:bCs/>
          <w:vertAlign w:val="superscript"/>
        </w:rPr>
        <w:t xml:space="preserve">,</w:t>
      </w:r>
      <w:r>
        <w:rPr>
          <w:bCs/>
        </w:rPr>
        <w:t xml:space="preserve"> ((G. Fatouros, K. Metaxas, J. Soldatos, M. Karathanassis. MarketSenseAI 2.0: enhancing stock analysis through LLM agents. arXiv, 2025, https://doi.org/10.48550/arXiv.2502.00415.))</w:t>
      </w:r>
      <w:r>
        <w:rPr>
          <w:bCs/>
          <w:vertAlign w:val="superscript"/>
        </w:rPr>
        <w:t xml:space="preserve">,</w:t>
      </w:r>
      <w:r>
        <w:rPr>
          <w:bCs/>
        </w:rPr>
        <w:t xml:space="preserve"> ((P. C. Tetlock. Giving content to investor sentiment: the role of media in the stock market. The Journal of Finance. Vol. 62, pg. 1139–1168, 2007, https://doi.org/10.1111/j.1540-6261.2007.01232.x.)). Pre-training on large financial corpora lets them parse specialized terminology and rhetorical structure, mapping text to price movements ((A. Lopez-Lira, Y. Tang. Can ChatGPT forecast stock price movements? return predictability and large language models. SSRN. 2023, https://doi.org/10.2139/ssrn.4412788.))</w:t>
      </w:r>
      <w:r>
        <w:rPr>
          <w:bCs/>
          <w:vertAlign w:val="superscript"/>
        </w:rPr>
        <w:t xml:space="preserve">,</w:t>
      </w:r>
      <w:r>
        <w:rPr>
          <w:bCs/>
        </w:rPr>
        <w:t xml:space="preserve"> ((J. Lee, N. Stevens, S. C. Han, M. Song. A survey of large language models in finance (FinLLMs). Neural Computing and Applications. Vol. 37, pg. 24853–24867, 2025, https://doi.org/10.1007/s00521-024-10495-6.)). Sentiment-augmented models have been reported to identify early trend reversals ((A. Lopez-Lira, Y. Tang. Can ChatGPT forecast stock price movements? return predictability and large language models. SSRN. 2023, https://doi.org/10.2139/ssrn.4412788.))</w:t>
      </w:r>
      <w:r>
        <w:rPr>
          <w:bCs/>
          <w:vertAlign w:val="superscript"/>
        </w:rPr>
        <w:t xml:space="preserve">,</w:t>
      </w:r>
      <w:r>
        <w:rPr>
          <w:bCs/>
        </w:rPr>
        <w:t xml:space="preserve"> ((P. C. Tetlock. Giving content to investor sentiment: the role of media in the stock market. The Journal of Finance. Vol. 62, pg. 1139–1168, 2007, https://doi.org/10.1111/j.1540-6261.2007.01232.x.)). Processing unstructured data at scale enables more agile, information-rich strategies ((Y. Nie, Y. Kong, X. Dong, J. M. Mulvey, H. V. Poor, Q. Wen, S. Zohren. A survey of large language models for financial applications: progress, prospects and challenges. arXiv, 2024, https://doi.org/10.48550/arXiv.2406.11903.))</w:t>
      </w:r>
      <w:r>
        <w:rPr>
          <w:bCs/>
          <w:vertAlign w:val="superscript"/>
        </w:rPr>
        <w:t xml:space="preserve">,</w:t>
      </w:r>
      <w:r>
        <w:rPr>
          <w:bCs/>
        </w:rPr>
        <w:t xml:space="preserve"> ((J. Li, J. Zhang, H. Li, Y. Shen. An agent framework for real-time financial information searching with large language models. arXiv, 2025, https://doi.org/10.48550/arXiv.2502.15684.)). This extends foundational work showing that media-derived content yields quantifiable sentiment signals with measurable impact on equity prices ((A. Lopez-Lira, Y. Tang. Can ChatGPT forecast stock price movements? return predictability and large language models. SSRN. 2023, https://doi.org/10.2139/ssrn.4412788.))</w:t>
      </w:r>
      <w:r>
        <w:rPr>
          <w:bCs/>
          <w:vertAlign w:val="superscript"/>
        </w:rPr>
        <w:t xml:space="preserve">,</w:t>
      </w:r>
      <w:r>
        <w:rPr>
          <w:bCs/>
        </w:rPr>
        <w:t xml:space="preserve"> ((P. C. Tetlock. Giving content to investor sentiment: the role of media in the stock market. The Journal of Finance. Vol. 62, pg. 1139–1168, 2007, https://doi.org/10.1111/j.1540-6261.2007.01232.x.)).</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 xml:space="preserve">Beyond static single-pass designs, self-improving and feedback-driven agent systems have produced further gains in automated trading ((Y. Yu, H. Li, Z. Chen, Y. Jiang, Y. Li, D. Zhang, R. Liu, J. W. Suchow, K. Khashanah. FinMem: a performance-enhanced LLM trading agent with layered memory and character design. Proceedings of the AAAI Symposium Series. Vol. 3, pg. 595–597, 2024, https://doi.org/10.1609/aaaiss.v3i1.31290.))</w:t>
      </w:r>
      <w:r>
        <w:rPr>
          <w:vertAlign w:val="superscript"/>
        </w:rPr>
        <w:t xml:space="preserve">,</w:t>
      </w:r>
      <w:r>
        <w:t xml:space="preserve"> ((S. Wang, H. Yuan, L. M. Ni, J. Guo. QuantAgent: seeking holy grail in trading by self-improving large language model. arXiv, 2024, https://doi.org/10.48550/arXiv.2402.03755.)). Such systems refine their strategies iteratively through feedback from simulated markets or accumulated trading knowledge ((C. Zhang, X. Liu, M. Jin, Z. Zhang, L. Li, Z. Wang, W. Hua, D. Shu, S. Zhu, X. Jin, S. Li, M. Du, Y. Zhang. When AI meets finance (StockAgent): large language model-based stock trading in simulated real-world environments. arXiv, 2024, https://doi.org/10.48550/arXiv.2407.18957.))</w:t>
      </w:r>
      <w:r>
        <w:rPr>
          <w:vertAlign w:val="superscript"/>
        </w:rPr>
        <w:t xml:space="preserve">,</w:t>
      </w:r>
      <w:r>
        <w:t xml:space="preserve"> ((S. Wang, H. Yuan, L. M. Ni, J. Guo. QuantAgent: seeking holy grail in trading by self-improving large language model. arXiv, 2024, https://doi.org/10.48550/arXiv.2402.03755.)), and framing portfolio management as a sequential decision problem provides a principled balance between exploring new strategies and exploiting established ones ((S. Wang, H. Yuan, L. M. Ni, J. Guo. QuantAgent: seeking holy grail in trading by self-improving large language model. arXiv, 2024, https://doi.org/10.48550/arXiv.2402.03755.)). This adaptability suits non-stationary market regimes ((Y. Xiao, E. Sun, D. Luo, W. Wang. TradingAgents: multi-agents LLM financial trading framework. arXiv, 2024, https://doi.org/10.48550/arXiv.2412.20138.))</w:t>
      </w:r>
      <w:r>
        <w:rPr>
          <w:vertAlign w:val="superscript"/>
        </w:rPr>
        <w:t xml:space="preserve">,</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t xml:space="preserve">Systematic benchmarking provides a principled basis for evaluating financial LLMs ((J. Lee, N. Stevens, S. C. Han, M. Song. A survey of large language models in finance (FinLLMs). Neural Computing and Applications. Vol. 37, pg. 24853–24867, 2025, https://doi.org/10.1007/s00521-024-10495-6.))</w:t>
      </w:r>
      <w:r>
        <w:rPr>
          <w:vertAlign w:val="superscript"/>
        </w:rPr>
        <w:t xml:space="preserve">,</w:t>
      </w:r>
      <w:r>
        <w:t xml:space="preserve"> ((K. Anjum, M. A. Arshad, K. Hayawi, E. Polyzos, A. Tariq, M. A. Serhani, L. Batool, B. Lund, N. R. Mannuru, R. V. K. Bevara, T. Mahbub, M. Z. Akram, S. Shahriar. Domain specific benchmarks for evaluating multimodal large language models. arXiv, 2025, https://doi.org/10.48550/arXiv.2506.12958.))</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 Standardized datasets enable comparison across models on textual comprehension, sentiment extraction, and portfolio optimization ((J. Lee, N. Stevens, S. C. Han, M. Song. A survey of large language models in finance (FinLLMs). Neural Computing and Applications. Vol. 37, pg. 24853–24867, 2025, https://doi.org/10.1007/s00521-024-10495-6.))</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 Accuracy alone is insufficient — models must perform under live-market pressures ((W. W. Li, H. Kim, M. Cucuringu, T. Ma. Can LLM-based financial investing strategies outperform the market in the long run? arXiv, 2025, https://doi.org/10.48550/arXiv.2505.07078.))</w:t>
      </w:r>
      <w:r>
        <w:rPr>
          <w:vertAlign w:val="superscript"/>
        </w:rPr>
        <w:t xml:space="preserve">,</w:t>
      </w:r>
      <w:r>
        <w:t xml:space="preserve"> ((C. Zhang, X. Liu, M. Jin, Z. Zhang, L. Li, Z. Wang, W. Hua, D. Shu, S. Zhu, X. Jin, S. Li, M. Du, Y. Zhang. When AI meets finance (StockAgent): large language model-based stock trading in simulated real-world environments. arXiv, 2024, https://doi.org/10.48550/arXiv.2407.18957.))</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 — so benchmark development remains essential to separate genuine advances from artifacts of favorable evaluation conditions ((A. Lopez-Lira, Y. Tang. Can ChatGPT forecast stock price movements? return predictability and large language models. SSRN. 2023, https://doi.org/10.2139/ssrn.4412788.))</w:t>
      </w:r>
      <w:r>
        <w:rPr>
          <w:vertAlign w:val="superscript"/>
        </w:rPr>
        <w:t xml:space="preserve">,</w:t>
      </w:r>
      <w:r>
        <w:t xml:space="preserve"> ((W. W. Li, H. Kim, M. Cucuringu, T. Ma. Can LLM-based financial investing strategies outperform the market in the long run? arXiv, 2025, https://doi.org/10.48550/arXiv.2505.07078.))</w:t>
      </w:r>
      <w:r>
        <w:rPr>
          <w:vertAlign w:val="superscript"/>
        </w:rPr>
        <w:t xml:space="preserve">,</w:t>
      </w:r>
      <w:r>
        <w:t xml:space="preserve">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p w14:paraId="16EF4F29" w14:textId="77777777" w:rsidR="00557FAC" w:rsidRDefault="00824C87">
      <w:pPr>
        <w:spacing w:before="40" w:after="40"/>
        <w:jc w:val="both"/>
      </w:pPr>
      <w:r>
        <w:t>A critical concern in this literature is evaluation bias. A rigorous testing framework, FINSABER ((W. W. Li, H. Kim, M. Cucuringu, T. Ma. Can LLM-based financial investing strategies outperform the market in the long run? arXiv, 2025, https://doi.org/10.48550/arXiv.2505.07078.)),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Re-tested over 20 years across a wider range of stocks, popular LLM strategies’ apparent advantages disappeared or weakened substantially, and they performed poorly across market regimes — too cautious in bull markets, too aggressive in bear markets. Those findings motivate the evaluation design used here: long horizons, matched comparisons, and explicit controls for all three biases.</w:t>
      </w:r>
    </w:p>
    <w:p w14:paraId="75BC9FBF" w14:textId="77777777" w:rsidR="00557FAC" w:rsidRDefault="00824C87">
      <w:pPr>
        <w:spacing w:before="40" w:after="40"/>
        <w:jc w:val="both"/>
      </w:pPr>
      <w:r>
        <w:t>Collectively these studies show LLMs can generate competitive strategies, but they focus on model capability — larger architectures, multi-agent systems, reinforcement learning, sentiment extraction. Little attention has gone to the structural architecture of information delivery. This gap motivates our central question: can restructuring the information flow presented to an LLM 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 xml:space="preserve">Several limitations constrain LLMs in investment contexts. A primary concern is their documented inability to perform reliable numerical computation ((I. Mirzadeh, K. Alizadeh, H. Shahrokhi, O. Tuzel, S. Bengio, M. Farajtabar. GSM-symbolic: understanding the limitations of mathematical reasoning in large language models. International Conference on Learning Representations (ICLR 2025). 2025, https://openreview.net/forum?id=AjXkRZIvjB.)):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 xml:space="preserve">A second challenge is hallucination: LLMs can fabricate or misrepresent information with high apparent confidence ((Y. Zhang, Y. Li, L. Cui, D. Cai, L. Liu, T. Fu, X. Huang, E. Zhao, Y. Zhang, C. Xu, Y. Chen, L. Wang, A. T. Luu, W. Bi, F. Shi, S. Shi. Siren’s song in the AI ocean: a survey on hallucination in large language models. Computational Linguistics. Vol. 51, pg. 1373–1418, 2025, https://doi.org/10.1162/coli.a.16.)). In an investment context this yields recommendations built on non-existent events, incorrect figures, or invented analyst reports. Subtle hallucinations — small distortions in attributed facts or plausible-sounding mischaracterizations of company performance — may pass undetected and propagate through the pipeline, compounding over a holding period.</w:t>
      </w:r>
    </w:p>
    <w:p w14:paraId="0626F88F" w14:textId="77777777" w:rsidR="00557FAC" w:rsidRDefault="00824C87">
      <w:pPr>
        <w:spacing w:before="40" w:after="40"/>
        <w:jc w:val="both"/>
      </w:pPr>
      <w:r>
        <w:t>A third challenge is implicit bias introduced through LLM pre-training. Because LLMs are trained to a fixed knowledge cutoff, they may encode awareness of events postdating a historical analysis date, supplying look-ahead information no real investor could possess. This leakage is particularly problematic for backtesting: strategies that appear profitable retrospectively may be artifacts of latent knowledge rather than genuine analytical insight.</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pipeline for long-term investment strategy generation. It decomposes the task into a news-based candidate selection stage, in which the LLM identifies candidate stocks from curated financial news, and a financial report validation stage, in which it reads company reports for each candidate and produces a smaller, higher-conviction portfolio. Sequential rather than simultaneous evaluation of information sources is the central methodological contribution.</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the S&amp;P 500 comparison is context only.</w:t>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Two-stage LLM filtering framework: Stage One news-based candidate selection, Stage Two financial-report validation, with unfiltered and Ranked baselines"/>
            <wp:cNvGraphicFramePr/>
            <a:graphic xmlns:a="http://schemas.openxmlformats.org/drawingml/2006/main">
              <a:graphicData uri="http://schemas.openxmlformats.org/drawingml/2006/picture">
                <pic:pic xmlns:pic="http://schemas.openxmlformats.org/drawingml/2006/picture">
                  <pic:nvPicPr>
                    <pic:cNvPr id="0" name="image1.png" descr="Figure 1 framework diagram"/>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The framework has four phases. First, historical news articles are collected from a fixed pre-analysis window. These prompt the LLM to nominate candidate stocks with qualitative justifications, which is Stage One. Financial reports are then retrieved for each candidate and evaluated in a second stage, producing a smaller set of final recommendations. Those selections and their allocation weights build a long-only portfolio, evaluated over a predefined horizon. The notation X→Y denotes this structure: X candidates identified in Stage One, Y final selections after report validation in Stage Two.</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 xml:space="preserve">Separating qualitative reasoning (news narratives, report language) from quantitative evaluation — deterministic calculation of returns, volatility and benchmark comparisons in external code — assigns each component to the tool best suited to it and lets performance differences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 xml:space="preserve">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These cover all filer classes for quarterly reports and, for annual reports, all but non-accelerated filers, whose deadline can extend to 90 days — a residual edge case, as the selections are dominated by large-capitalization filers on the shorter deadlines.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 xml:space="preserve">Raw news often contains material irrelevant to investment decisions — 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062EEA2F" w14:textId="77777777" w:rsidR="00557FAC" w:rsidRDefault="00824C87">
      <w:pPr>
        <w:spacing w:before="40" w:after="40"/>
        <w:jc w:val="both"/>
      </w:pPr>
      <w:r>
        <w:t xml:space="preserve">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26.2% and a false-omission rate of 44.5%.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 xml:space="preserve">Large language models are known to exhibit hallucinations and implicit bias ((Y. Zhang, Y. Li, L. Cui, D. Cai, L. Liu, T. Fu, X. Huang, E. Zhao, Y. Zhang, C. Xu, Y. Chen, L. Wang, A. T. Luu, W. Bi, F. Shi, S. Shi. Siren’s song in the AI ocean: a survey on hallucination in large language models. Computational Linguistics. Vol. 51, pg. 1373–1418, 2025, https://doi.org/10.1162/coli.a.16.)), particularly when prompted with open-ended tasks or 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 xml:space="preserve">Three language models were evaluated: GPT-4o, GPT-4o-mini, and GPT-5.1. Each was invoked through the OpenAI API using the provider’s 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 xml:space="preserve">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windows begin on the first of the month, so the earliest GPT-5.1 window opens on October 1, 2024, the day after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Risk was comparable: annualized volatility 28.1% against 27.8%, maximum drawdown −23.2% against −22.4%, and median Sharpe 1.70 against 1.34. The filtered configuration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9994"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699"/>
        <w:gridCol w:w="1325"/>
        <w:gridCol w:w="1411"/>
        <w:gridCol w:w="1267"/>
        <w:gridCol w:w="1037"/>
        <w:gridCol w:w="1670"/>
        <w:gridCol w:w="1584"/>
      </w:tblGrid>
      <w:tr w:rsidR="00557FAC" w14:paraId="541E463D" w14:textId="77777777">
        <w:trPr>
          <w:tblHeader/>
        </w:trPr>
        <w:tc>
          <w:tcPr>
            <w:tcW w:w="1699"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1325"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1411"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1267"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1037"/>
          </w:tcPr>
          <w:p>
            <w:r>
              <w:rPr>
                <w:b/>
                <w:bCs/>
                <w:sz w:val="20"/>
                <w:szCs w:val="20"/>
              </w:rPr>
              <w:t>Sharpe</w:t>
            </w:r>
          </w:p>
        </w:tc>
        <w:tc>
          <w:tcPr>
            <w:tcW w:type="dxa" w:w="1670"/>
          </w:tcPr>
          <w:p>
            <w:r>
              <w:rPr>
                <w:b/>
                <w:bCs/>
                <w:sz w:val="20"/>
                <w:szCs w:val="20"/>
              </w:rPr>
              <w:t>Win vs Unfiltered (%)</w:t>
            </w:r>
          </w:p>
        </w:tc>
        <w:tc>
          <w:tcPr>
            <w:tcW w:type="dxa" w:w="1584"/>
          </w:tcPr>
          <w:p>
            <w:r>
              <w:rPr>
                <w:b/>
                <w:bCs/>
                <w:sz w:val="20"/>
                <w:szCs w:val="20"/>
              </w:rPr>
              <w:t>95% CI (Win %)</w:t>
            </w:r>
          </w:p>
        </w:tc>
      </w:tr>
      <w:tr w:rsidR="00557FAC" w14:paraId="2B51AC8B" w14:textId="77777777">
        <w:tc>
          <w:tcPr>
            <w:tcW w:w="1699"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1325"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1411"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1267" w:type="dxa"/>
            <w:vAlign w:val="center"/>
          </w:tcPr>
          <w:p w14:paraId="0F32CF91" w14:textId="77777777" w:rsidR="00557FAC" w:rsidRDefault="00824C87">
            <w:pPr>
              <w:jc w:val="center"/>
              <w:rPr>
                <w:rFonts w:ascii="Arial" w:eastAsia="Arial" w:hAnsi="Arial" w:cs="Arial"/>
                <w:sz w:val="18"/>
                <w:szCs w:val="18"/>
              </w:rPr>
            </w:pPr>
            <w:r>
              <w:t>−23.2</w:t>
            </w:r>
          </w:p>
        </w:tc>
        <w:tc>
          <w:tcPr>
            <w:tcW w:type="dxa" w:w="1037"/>
          </w:tcPr>
          <w:p>
            <w:r>
              <w:rPr>
                <w:sz w:val="20"/>
                <w:szCs w:val="20"/>
              </w:rPr>
              <w:t>1.70</w:t>
            </w:r>
          </w:p>
        </w:tc>
        <w:tc>
          <w:tcPr>
            <w:tcW w:type="dxa" w:w="1670"/>
          </w:tcPr>
          <w:p>
            <w:r>
              <w:rPr>
                <w:sz w:val="20"/>
                <w:szCs w:val="20"/>
              </w:rPr>
              <w:t>81.5</w:t>
            </w:r>
          </w:p>
        </w:tc>
        <w:tc>
          <w:tcPr>
            <w:tcW w:type="dxa" w:w="1584"/>
          </w:tcPr>
          <w:p>
            <w:r>
              <w:rPr>
                <w:sz w:val="20"/>
                <w:szCs w:val="20"/>
              </w:rPr>
              <w:t>[61.9, 93.7]</w:t>
            </w:r>
          </w:p>
        </w:tc>
      </w:tr>
      <w:tr w:rsidR="00557FAC" w14:paraId="44C6EDC8" w14:textId="77777777">
        <w:tc>
          <w:tcPr>
            <w:tcW w:w="1699"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1325"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1411"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1267" w:type="dxa"/>
            <w:vAlign w:val="center"/>
          </w:tcPr>
          <w:p w14:paraId="25B2507F" w14:textId="77777777" w:rsidR="00557FAC" w:rsidRDefault="00824C87">
            <w:pPr>
              <w:jc w:val="center"/>
              <w:rPr>
                <w:rFonts w:ascii="Arial" w:eastAsia="Arial" w:hAnsi="Arial" w:cs="Arial"/>
                <w:sz w:val="18"/>
                <w:szCs w:val="18"/>
              </w:rPr>
            </w:pPr>
            <w:r>
              <w:t>−23.6</w:t>
            </w:r>
          </w:p>
        </w:tc>
        <w:tc>
          <w:tcPr>
            <w:tcW w:type="dxa" w:w="1037"/>
          </w:tcPr>
          <w:p>
            <w:r>
              <w:rPr>
                <w:sz w:val="20"/>
                <w:szCs w:val="20"/>
              </w:rPr>
              <w:t>1.61</w:t>
            </w:r>
          </w:p>
        </w:tc>
        <w:tc>
          <w:tcPr>
            <w:tcW w:type="dxa" w:w="1670"/>
          </w:tcPr>
          <w:p>
            <w:r>
              <w:rPr>
                <w:sz w:val="20"/>
                <w:szCs w:val="20"/>
              </w:rPr>
              <w:t>77.8</w:t>
            </w:r>
          </w:p>
        </w:tc>
        <w:tc>
          <w:tcPr>
            <w:tcW w:type="dxa" w:w="1584"/>
          </w:tcPr>
          <w:p>
            <w:r>
              <w:rPr>
                <w:sz w:val="20"/>
                <w:szCs w:val="20"/>
              </w:rPr>
              <w:t>[57.7, 91.4]</w:t>
            </w:r>
          </w:p>
        </w:tc>
      </w:tr>
      <w:tr w:rsidR="00557FAC" w14:paraId="3ECB05AF" w14:textId="77777777">
        <w:tc>
          <w:tcPr>
            <w:tcW w:w="1699"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1325"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1411"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1267" w:type="dxa"/>
            <w:vAlign w:val="center"/>
          </w:tcPr>
          <w:p w14:paraId="0B2C5524" w14:textId="77777777" w:rsidR="00557FAC" w:rsidRDefault="00824C87">
            <w:pPr>
              <w:jc w:val="center"/>
              <w:rPr>
                <w:rFonts w:ascii="Arial" w:eastAsia="Arial" w:hAnsi="Arial" w:cs="Arial"/>
                <w:sz w:val="18"/>
                <w:szCs w:val="18"/>
              </w:rPr>
            </w:pPr>
            <w:r>
              <w:t>−23.0</w:t>
            </w:r>
          </w:p>
        </w:tc>
        <w:tc>
          <w:tcPr>
            <w:tcW w:type="dxa" w:w="1037"/>
          </w:tcPr>
          <w:p>
            <w:r>
              <w:rPr>
                <w:sz w:val="20"/>
                <w:szCs w:val="20"/>
              </w:rPr>
              <w:t>1.54</w:t>
            </w:r>
          </w:p>
        </w:tc>
        <w:tc>
          <w:tcPr>
            <w:tcW w:type="dxa" w:w="1670"/>
          </w:tcPr>
          <w:p>
            <w:r>
              <w:rPr>
                <w:sz w:val="20"/>
                <w:szCs w:val="20"/>
              </w:rPr>
              <w:t>74.1</w:t>
            </w:r>
          </w:p>
        </w:tc>
        <w:tc>
          <w:tcPr>
            <w:tcW w:type="dxa" w:w="1584"/>
          </w:tcPr>
          <w:p>
            <w:r>
              <w:rPr>
                <w:sz w:val="20"/>
                <w:szCs w:val="20"/>
              </w:rPr>
              <w:t>[53.7, 88.9]</w:t>
            </w:r>
          </w:p>
        </w:tc>
      </w:tr>
      <w:tr w:rsidR="00557FAC" w14:paraId="33205DF9" w14:textId="77777777">
        <w:tc>
          <w:tcPr>
            <w:tcW w:w="1699"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1325"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1411"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1267" w:type="dxa"/>
            <w:vAlign w:val="center"/>
          </w:tcPr>
          <w:p w14:paraId="35EF29B9" w14:textId="77777777" w:rsidR="00557FAC" w:rsidRDefault="00824C87">
            <w:pPr>
              <w:jc w:val="center"/>
              <w:rPr>
                <w:rFonts w:ascii="Arial" w:eastAsia="Arial" w:hAnsi="Arial" w:cs="Arial"/>
                <w:sz w:val="18"/>
                <w:szCs w:val="18"/>
              </w:rPr>
            </w:pPr>
            <w:r>
              <w:t>−24.2</w:t>
            </w:r>
          </w:p>
        </w:tc>
        <w:tc>
          <w:tcPr>
            <w:tcW w:type="dxa" w:w="1037"/>
          </w:tcPr>
          <w:p>
            <w:r>
              <w:rPr>
                <w:sz w:val="20"/>
                <w:szCs w:val="20"/>
              </w:rPr>
              <w:t>1.55</w:t>
            </w:r>
          </w:p>
        </w:tc>
        <w:tc>
          <w:tcPr>
            <w:tcW w:type="dxa" w:w="1670"/>
          </w:tcPr>
          <w:p>
            <w:r>
              <w:rPr>
                <w:sz w:val="20"/>
                <w:szCs w:val="20"/>
              </w:rPr>
              <w:t>74.1</w:t>
            </w:r>
          </w:p>
        </w:tc>
        <w:tc>
          <w:tcPr>
            <w:tcW w:type="dxa" w:w="1584"/>
          </w:tcPr>
          <w:p>
            <w:r>
              <w:rPr>
                <w:sz w:val="20"/>
                <w:szCs w:val="20"/>
              </w:rPr>
              <w:t>[53.7, 88.9]</w:t>
            </w:r>
          </w:p>
        </w:tc>
      </w:tr>
      <w:tr w:rsidR="00557FAC" w14:paraId="31FF5E91" w14:textId="77777777">
        <w:tc>
          <w:tcPr>
            <w:tcW w:w="1699"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1325"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1411"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1267" w:type="dxa"/>
            <w:vAlign w:val="center"/>
          </w:tcPr>
          <w:p w14:paraId="13013FF5" w14:textId="77777777" w:rsidR="00557FAC" w:rsidRDefault="00824C87">
            <w:pPr>
              <w:jc w:val="center"/>
              <w:rPr>
                <w:rFonts w:ascii="Arial" w:eastAsia="Arial" w:hAnsi="Arial" w:cs="Arial"/>
                <w:sz w:val="18"/>
                <w:szCs w:val="18"/>
              </w:rPr>
            </w:pPr>
            <w:r>
              <w:t>−22.4</w:t>
            </w:r>
          </w:p>
        </w:tc>
        <w:tc>
          <w:tcPr>
            <w:tcW w:type="dxa" w:w="1037"/>
          </w:tcPr>
          <w:p>
            <w:r>
              <w:rPr>
                <w:sz w:val="20"/>
                <w:szCs w:val="20"/>
              </w:rPr>
              <w:t>1.34</w:t>
            </w:r>
          </w:p>
        </w:tc>
        <w:tc>
          <w:tcPr>
            <w:tcW w:type="dxa" w:w="1670"/>
          </w:tcPr>
          <w:p>
            <w:r>
              <w:rPr>
                <w:sz w:val="20"/>
                <w:szCs w:val="20"/>
              </w:rPr>
              <w:t>—</w:t>
            </w:r>
          </w:p>
        </w:tc>
        <w:tc>
          <w:tcPr>
            <w:tcW w:type="dxa" w:w="1584"/>
          </w:tcPr>
          <w:p>
            <w:r>
              <w:rPr>
                <w:sz w:val="20"/>
                <w:szCs w:val="20"/>
              </w:rPr>
              <w:t>—</w:t>
            </w:r>
          </w:p>
        </w:tc>
      </w:tr>
      <w:tr w:rsidR="00557FAC" w14:paraId="034A9A8C" w14:textId="77777777">
        <w:tc>
          <w:tcPr>
            <w:tcW w:w="1699"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1325"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1411"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1267" w:type="dxa"/>
            <w:vAlign w:val="center"/>
          </w:tcPr>
          <w:p w14:paraId="060EDD40" w14:textId="77777777" w:rsidR="00557FAC" w:rsidRDefault="00824C87">
            <w:pPr>
              <w:jc w:val="center"/>
              <w:rPr>
                <w:rFonts w:ascii="Arial" w:eastAsia="Arial" w:hAnsi="Arial" w:cs="Arial"/>
                <w:sz w:val="18"/>
                <w:szCs w:val="18"/>
              </w:rPr>
            </w:pPr>
            <w:r>
              <w:t>−22.3</w:t>
            </w:r>
          </w:p>
        </w:tc>
        <w:tc>
          <w:tcPr>
            <w:tcW w:type="dxa" w:w="1037"/>
          </w:tcPr>
          <w:p>
            <w:r>
              <w:rPr>
                <w:sz w:val="20"/>
                <w:szCs w:val="20"/>
              </w:rPr>
              <w:t>1.43</w:t>
            </w:r>
          </w:p>
        </w:tc>
        <w:tc>
          <w:tcPr>
            <w:tcW w:type="dxa" w:w="1670"/>
          </w:tcPr>
          <w:p>
            <w:r>
              <w:rPr>
                <w:sz w:val="20"/>
                <w:szCs w:val="20"/>
              </w:rPr>
              <w:t>40.7</w:t>
            </w:r>
          </w:p>
        </w:tc>
        <w:tc>
          <w:tcPr>
            <w:tcW w:type="dxa" w:w="1584"/>
          </w:tcPr>
          <w:p>
            <w:r>
              <w:rPr>
                <w:sz w:val="20"/>
                <w:szCs w:val="20"/>
              </w:rPr>
              <w:t>[22.4, 61.2]</w:t>
            </w:r>
          </w:p>
        </w:tc>
      </w:tr>
      <w:tr w:rsidR="00557FAC" w14:paraId="4B1A151F" w14:textId="77777777">
        <w:tc>
          <w:tcPr>
            <w:tcW w:w="1699"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1325"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1411"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1267" w:type="dxa"/>
            <w:vAlign w:val="center"/>
          </w:tcPr>
          <w:p w14:paraId="7485C66C" w14:textId="77777777" w:rsidR="00557FAC" w:rsidRDefault="00824C87">
            <w:pPr>
              <w:jc w:val="center"/>
              <w:rPr>
                <w:rFonts w:ascii="Arial" w:eastAsia="Arial" w:hAnsi="Arial" w:cs="Arial"/>
                <w:sz w:val="18"/>
                <w:szCs w:val="18"/>
              </w:rPr>
            </w:pPr>
            <w:r>
              <w:t>−22.6</w:t>
            </w:r>
          </w:p>
        </w:tc>
        <w:tc>
          <w:tcPr>
            <w:tcW w:type="dxa" w:w="1037"/>
          </w:tcPr>
          <w:p>
            <w:r>
              <w:rPr>
                <w:sz w:val="20"/>
                <w:szCs w:val="20"/>
              </w:rPr>
              <w:t>1.43</w:t>
            </w:r>
          </w:p>
        </w:tc>
        <w:tc>
          <w:tcPr>
            <w:tcW w:type="dxa" w:w="1670"/>
          </w:tcPr>
          <w:p>
            <w:r>
              <w:rPr>
                <w:sz w:val="20"/>
                <w:szCs w:val="20"/>
              </w:rPr>
              <w:t>40.7</w:t>
            </w:r>
          </w:p>
        </w:tc>
        <w:tc>
          <w:tcPr>
            <w:tcW w:type="dxa" w:w="1584"/>
          </w:tcPr>
          <w:p>
            <w:r>
              <w:rPr>
                <w:sz w:val="20"/>
                <w:szCs w:val="20"/>
              </w:rPr>
              <w:t>[22.4, 61.2]</w:t>
            </w:r>
          </w:p>
        </w:tc>
      </w:tr>
      <w:tr w:rsidR="00557FAC" w14:paraId="1FF352F3" w14:textId="77777777">
        <w:tc>
          <w:tcPr>
            <w:tcW w:w="1699"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1325"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1411"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1267" w:type="dxa"/>
            <w:vAlign w:val="center"/>
          </w:tcPr>
          <w:p w14:paraId="78C10540" w14:textId="77777777" w:rsidR="00557FAC" w:rsidRDefault="00824C87">
            <w:pPr>
              <w:jc w:val="center"/>
              <w:rPr>
                <w:rFonts w:ascii="Arial" w:eastAsia="Arial" w:hAnsi="Arial" w:cs="Arial"/>
                <w:sz w:val="18"/>
                <w:szCs w:val="18"/>
              </w:rPr>
            </w:pPr>
            <w:r>
              <w:t>−21.8</w:t>
            </w:r>
          </w:p>
        </w:tc>
        <w:tc>
          <w:tcPr>
            <w:tcW w:type="dxa" w:w="1037"/>
          </w:tcPr>
          <w:p>
            <w:r>
              <w:rPr>
                <w:sz w:val="20"/>
                <w:szCs w:val="20"/>
              </w:rPr>
              <w:t>1.35</w:t>
            </w:r>
          </w:p>
        </w:tc>
        <w:tc>
          <w:tcPr>
            <w:tcW w:type="dxa" w:w="1670"/>
          </w:tcPr>
          <w:p>
            <w:r>
              <w:rPr>
                <w:sz w:val="20"/>
                <w:szCs w:val="20"/>
              </w:rPr>
              <w:t>33.3</w:t>
            </w:r>
          </w:p>
        </w:tc>
        <w:tc>
          <w:tcPr>
            <w:tcW w:type="dxa" w:w="1584"/>
          </w:tcPr>
          <w:p>
            <w:r>
              <w:rPr>
                <w:sz w:val="20"/>
                <w:szCs w:val="20"/>
              </w:rPr>
              <w:t>[16.5, 54.0]</w:t>
            </w:r>
          </w:p>
        </w:tc>
      </w:tr>
      <w:tr w:rsidR="00557FAC" w14:paraId="7A9BD63E" w14:textId="77777777">
        <w:tc>
          <w:tcPr>
            <w:tcW w:w="1699"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1325"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1411"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1267" w:type="dxa"/>
            <w:vAlign w:val="center"/>
          </w:tcPr>
          <w:p w14:paraId="5F41CE7F" w14:textId="77777777" w:rsidR="00557FAC" w:rsidRDefault="00824C87">
            <w:pPr>
              <w:jc w:val="center"/>
              <w:rPr>
                <w:rFonts w:ascii="Arial" w:eastAsia="Arial" w:hAnsi="Arial" w:cs="Arial"/>
                <w:sz w:val="18"/>
                <w:szCs w:val="18"/>
              </w:rPr>
            </w:pPr>
            <w:r>
              <w:t>−21.7</w:t>
            </w:r>
          </w:p>
        </w:tc>
        <w:tc>
          <w:tcPr>
            <w:tcW w:type="dxa" w:w="1037"/>
          </w:tcPr>
          <w:p>
            <w:r>
              <w:rPr>
                <w:sz w:val="20"/>
                <w:szCs w:val="20"/>
              </w:rPr>
              <w:t>1.40</w:t>
            </w:r>
          </w:p>
        </w:tc>
        <w:tc>
          <w:tcPr>
            <w:tcW w:type="dxa" w:w="1670"/>
          </w:tcPr>
          <w:p>
            <w:r>
              <w:rPr>
                <w:sz w:val="20"/>
                <w:szCs w:val="20"/>
              </w:rPr>
              <w:t>29.6</w:t>
            </w:r>
          </w:p>
        </w:tc>
        <w:tc>
          <w:tcPr>
            <w:tcW w:type="dxa" w:w="1584"/>
          </w:tcPr>
          <w:p>
            <w:r>
              <w:rPr>
                <w:sz w:val="20"/>
                <w:szCs w:val="20"/>
              </w:rPr>
              <w:t>[13.8, 50.2]</w:t>
            </w:r>
          </w:p>
        </w:tc>
      </w:tr>
      <w:tr w:rsidR="00557FAC" w14:paraId="08871623" w14:textId="77777777">
        <w:tc>
          <w:tcPr>
            <w:tcW w:w="1699"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1325"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1411"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1267" w:type="dxa"/>
            <w:vAlign w:val="center"/>
          </w:tcPr>
          <w:p w14:paraId="1F1BCCA8" w14:textId="77777777" w:rsidR="00557FAC" w:rsidRDefault="00824C87">
            <w:pPr>
              <w:jc w:val="center"/>
              <w:rPr>
                <w:rFonts w:ascii="Arial" w:eastAsia="Arial" w:hAnsi="Arial" w:cs="Arial"/>
                <w:sz w:val="18"/>
                <w:szCs w:val="18"/>
              </w:rPr>
            </w:pPr>
            <w:r>
              <w:t>−21.6</w:t>
            </w:r>
          </w:p>
        </w:tc>
        <w:tc>
          <w:tcPr>
            <w:tcW w:type="dxa" w:w="1037"/>
          </w:tcPr>
          <w:p>
            <w:r>
              <w:rPr>
                <w:sz w:val="20"/>
                <w:szCs w:val="20"/>
              </w:rPr>
              <w:t>1.30</w:t>
            </w:r>
          </w:p>
        </w:tc>
        <w:tc>
          <w:tcPr>
            <w:tcW w:type="dxa" w:w="1670"/>
          </w:tcPr>
          <w:p>
            <w:r>
              <w:rPr>
                <w:sz w:val="20"/>
                <w:szCs w:val="20"/>
              </w:rPr>
              <w:t>18.5</w:t>
            </w:r>
          </w:p>
        </w:tc>
        <w:tc>
          <w:tcPr>
            <w:tcW w:type="dxa" w:w="1584"/>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 xml:space="preserve">Table 1. GPT-5.1 mean ROI, risk, and win rate versus the unfiltered baseline, by filtering configuration (sorted by mean ROI). Annualized volatility and maximum drawdown (Max DD) are means across runs; Sharpe is the median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unfiltered baseline, holding the evaluation window and generation group fixed.</w:t>
      </w:r>
    </w:p>
    <w:p w14:paraId="152EDF7D" w14:textId="77777777" w:rsidR="00557FAC" w:rsidRDefault="00824C87">
      <w:pPr>
        <w:spacing w:before="40" w:after="40"/>
        <w:jc w:val="both"/>
      </w:pPr>
      <w:r>
        <w:t xml:space="preserve">Filtering substantially improved GPT-5.1’s performance (Figure 2):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of ten or twenty candidates, narrowed by a roughly two-to-one ratio. That gives the model enough candidates to rank meaningfully while keeping the final portfolio focused. 5→3 is an informative exception: with only five candidates, its pool is too small to reach the top of the return range. Its tight selection makes it the most stable configuration (see Return Variance and Consistency Comparison), but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sequential structure or simply the amount of material in the prompt. Holding the candidate documents fixed for GPT-5.1’s 20→10 configuration across all nine windows (two to four generations per condition), we compared the full pipeline against five ablation arms: a single prompt over the full candidate pool, a trimmed single-pass prompt over the identical shortlist (the “budget-matched” arm), a sequential variant that shows the reports but eliminates no candidates, a sequential variant retaining the entire pool, and a variant with the financial reports shuffled across tickers (arm labels and token counts in Table S5a). The full pipeline gave the highest mean ROI of any arm (52.4%), leading the trimmed single-pass variant by 5.0 percentage points in six of nine windows (Wilcoxon p = 0.055) and the full-pool single prompt by 3.3 points, also in six of nine (p = 0.25). Per-condition token counts were logged (Table S5a). The three sequential arms are matched to within 0.1% on arm-specific prompt tokens, so the loss from shuffling the reports is a content effect and not a length effect; the single-pass arms carry roughly twice that input — unavoidably, since a single prompt holding the same documents as the two-stage pipeline must carry in one call what the pipeline splits across two, so a single-pass arm can match the pipeline’s per-prompt budget only by dropping documents, as the trimmed arm does. The two single-pass arms therefore bracket the length confound: the shorter, trimmed arm does not outperform the fuller one (mean ROI 47.2% against 49.0%), prompt length does not predict return once the window is controlled (r = +0.03 across 204 arm-runs), and the pipeline’s margin over both is therefore not attributable to context length. Token counts and full paired statistics are in the Supplementary Information.</w:t>
      </w:r>
    </w:p>
    <w:p w14:paraId="1738AD5A" w14:textId="77777777" w:rsidR="000D0B6D" w:rsidRDefault="000D0B6D">
      <w:pPr>
        <w:jc w:val="both"/>
      </w:pPr>
      <w:r>
        <w:t xml:space="preserve">The same ablation isolates the narrowing step. Showing the reports but eliminating no candidates trailed the full pipeline by 3.7 percentage points (five of nine windows; Wilcoxon p = 0.570), and the variant retaining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sectPr w:rsidR="00557FAC">
          <w:type w:val="continuous"/>
          <w:pgSz w:w="12240" w:h="15840"/>
          <w:pgMar w:top="1080" w:right="1080" w:bottom="1080" w:left="1080" w:header="708" w:footer="708" w:gutter="0"/>
          <w:cols w:num="2" w:space="720" w:equalWidth="0">
            <w:col w:w="4500" w:space="720"/>
            <w:col w:w="4500" w:space="0"/>
          </w:cols>
        </w:sectPr>
      </w:pPr>
      <w:r>
        <w:t xml:space="preserve">Formal paired statistics support these comparisons. For each configuration, the per-window ROI difference against the matched unfiltered baseline was evaluated with an exact sign test and a Wilcoxon signed-rank test, with a bootstrap 95% confidence interval on the median difference. On this 27-pair basis — which pairs replicate-group means and therefore overstates the independent information in the design — the four moderate configurations differ significantly from the baseline (20→10: sign-test p = 0.002, Wilcoxon p &lt; 0.001; 10→5: p = 0.006; 10→3 and 20→5: p = 0.019), the mid-table configurations are statistically indistinguishable from it, and 30→5 is significantly worse (5/27 wins; p = 0.002). At the window level (n = 9), obtained by collapsing GPT-5.1’s three replicate generations per window, 20→10 remains significant (8/9 wins; sign-test p = 0.039; Wilcoxon p = 0.027), 20→5 remains significant by the sign test (8/9 wins; p = 0.039; Wilcoxon p = 0.129), and 30→5 remains significantly negative (0/9 wins; p = 0.004), while 10→5 and 10→3 (7/9 wins each; sign-test p = 0.180; Wilcoxon p = 0.098) fall short of significance at that resolution. Window-level results for every configuration appear in the Supplementary Information, and per-configuration confidence intervals accompany every win rate in Table 1.</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 xml:space="preserve">For GPT-5.1, the most consistent configurations were the highly selective 5→3 (CV 26.3%) and the unfiltered baseline (27.1%), with 20→10 close behind (30.5%). The highest-returning configurations — 10→5, 20→5, and 10→3 — 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the sum, across that sector’s holdings, of each position’s initial weight times its window return, divided by the portfolio’s total return. Both quantities are pooled across runs; averaging gives the same result, since the per-run count cancels. Because individual contributions can be negative, a sector’s return share can exceed or fall below its weight share.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 xml:space="preserve">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 — it survives removing each portfolio’s best contributor largely intact — 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lastRenderedPageBreak/>
        <w:t xml:space="preserve">Annualized volatility is similar across configurations (about 22–28%) and maximum drawdowns cluster between −21.6% and −24.2%,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transferable lesson: how information given to a language model is structured is itself a determinant of investment performance, separate from model choice. Presenting a moderate shortlist and asking the model to narrow it consistently produced the strongest returns. That beat both letting the model select from an unstructured prompt and forcing it to discard most of an oversized pool. Because the gain comes from pipeline design rather than a larger model, it is available at essentially no additional cost. The component ablation reported above points the same way, with the report-validation stage carrying the clearest signal.</w:t>
      </w:r>
    </w:p>
    <w:p w14:paraId="5779821B" w14:textId="77777777" w:rsidR="00557FAC" w:rsidRDefault="00824C87">
      <w:pPr>
        <w:spacing w:before="40" w:after="40"/>
        <w:jc w:val="both"/>
      </w:pPr>
      <w:r>
        <w:t>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for frontier-class models is to begin from roughly ten to twenty candidates and narrow by about half; weaker models peaked at smaller pools, suggesting the optimal request scales with capability. The final portfolio size can then match an investor’s diversification preference without sacrificing the structural advantage. We present this padding account as a hypothesis consistent with the observed pattern rather than a directly measured mechanism. Testing it directly would require the Stage One candidate lists, which were not retained in the run records — each run stores only its final portfolio — so a candidate-overlap and Stage-One-rank-versus-realized-return analysis is left to future work, for which candidate logging has been added.</w:t>
      </w:r>
    </w:p>
    <w:p w14:paraId="6B81293C" w14:textId="77777777" w:rsidR="00557FAC" w:rsidRDefault="00824C87">
      <w:pPr>
        <w:spacing w:before="40" w:after="40"/>
        <w:jc w:val="both"/>
      </w:pPr>
      <w:r>
        <w:t>Because the unfiltered baseline already beat the market benchmark, the contribution specific to the two-stage design is its consistent improvement over that baseline under matched conditions, not the market outperformance itself. Deliberate information design is thus an inexpensive,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 xml:space="preserve">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neither absolute performance nor the filtering advantage itself has been tested in a sustained downturn. Because the best configuration (20→10) was identified as the maximum mean ROI across ten configurations evaluated on the same windows used to report it, the headline 60.6% carries a degree of selection inflation. A split-sample check bounds it: selecting on the first five windows alone identifies the same configuration, which then returns 71.40% on the four held-out windows against 55.88% for the matched unfiltered baseline (+15.52 pp, winning three of four), so the choice does not depend on having seen the evaluation period. The matched-baseline win rate and its exact confidence interval, which do not depend on selecting the top configuration after the fact, remain the more conservative summary. Finally, the financial-report source does not flag 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 The news screen also bounds what the pipeline can see: its estimated recall against human readings is well below one (26.2–41.0% re-weighted) and all articles come from a single outlet, so candidates are nominated from a coverage-limited subset of the relevant news; high precision keeps off-topic material out, but sensitivity to the screening threshold is untested.</w:t>
      </w:r>
    </w:p>
    <w:p w14:paraId="546C6389" w14:textId="77777777" w:rsidR="00557FAC" w:rsidRDefault="00824C87">
      <w:pPr>
        <w:jc w:val="both"/>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That added on the order of fifteen percentage points of mean ROI over the unfiltered baseline, and beat it in most matched evaluation windows. We present the ratio as a working hypothesis consistent with the tested grid rather than a rule.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are publicly available at https://github.com/JathinBat/LLM-Two-Stage-Portfolio-Filtering: the news-screening, Stage One, Stage Two, and unfiltered and Ranked baseline prompts; the complete evaluation-window list; the per-run outputs (tickers, weights, and decision dates); and the analysis scripts, including the paired-difference statistics and the risk-metric and benchmark reconstructions. News content from The New York Times and financial reports from Alpha Vantage are not redistributed, per each provider’s terms; the retrieval queries, date windows, and timestamp conventions needed to rebuild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