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sz w:val="28"/>
        </w:rPr>
        <w:t>Response to Reviewer Comments</w:t>
      </w:r>
    </w:p>
    <w:p>
      <w:pPr>
        <w:spacing w:before="0"/>
        <w:jc w:val="center"/>
      </w:pPr>
      <w:r>
        <w:rPr>
          <w:b/>
        </w:rPr>
        <w:t>Improving the Performance of Long-Term Stock Investments with a Two-Stage LLM Filtering Framework</w:t>
      </w:r>
    </w:p>
    <w:p>
      <w:pPr>
        <w:spacing w:before="0"/>
        <w:jc w:val="center"/>
      </w:pPr>
      <w:r>
        <w:rPr>
          <w:b w:val="0"/>
        </w:rPr>
        <w:t>National High School Journal of Science</w:t>
      </w:r>
    </w:p>
    <w:p/>
    <w:p>
      <w:pPr>
        <w:spacing w:before="0"/>
        <w:jc w:val="both"/>
      </w:pPr>
      <w:r>
        <w:rPr>
          <w:b w:val="0"/>
        </w:rPr>
        <w:t>Please find attached the revised version of the manuscript titled “Improving the Performance of Long-Term Stock Investments with a Two-Stage LLM Filtering Framework” for publication in National High School Journal of Science. We were delighted that the reviewer found our study of interest and thank them for their detailed and constructive advice on how to improve our paper. The comments identified real weaknesses, and addressing them has substantially strengthened the work; we were especially grateful for the close reading of our citations and statistics. We believe that all of the points raised have been fully addressed in the revised manuscript. Below is a point by point response to the comments raised:</w:t>
      </w:r>
    </w:p>
    <w:p/>
    <w:p>
      <w:pPr>
        <w:spacing w:before="200"/>
      </w:pPr>
      <w:r>
        <w:rPr>
          <w:b/>
        </w:rPr>
        <w:t>Major Issues – Must Fix:</w:t>
      </w:r>
    </w:p>
    <w:p>
      <w:pPr>
        <w:spacing w:before="160"/>
        <w:ind w:left="504" w:hanging="360"/>
        <w:jc w:val="both"/>
      </w:pPr>
      <w:r>
        <w:rPr>
          <w:b w:val="0"/>
        </w:rPr>
        <w:t>1. Please remove the bullet points.</w:t>
      </w:r>
    </w:p>
    <w:p>
      <w:pPr>
        <w:spacing w:before="0"/>
        <w:ind w:left="1008" w:hanging="360"/>
        <w:jc w:val="both"/>
      </w:pPr>
      <w:r>
        <w:rPr>
          <w:b w:val="0"/>
        </w:rPr>
        <w:t>•  The bulleted Objectives list has been rewritten as three prose paragraphs, and no bulleted lists remain in the body of the manuscript.</w:t>
      </w:r>
    </w:p>
    <w:p>
      <w:pPr>
        <w:spacing w:before="160"/>
        <w:ind w:left="504" w:hanging="360"/>
        <w:jc w:val="both"/>
      </w:pPr>
      <w:r>
        <w:rPr>
          <w:b w:val="0"/>
        </w:rPr>
        <w:t>2. Many citation numbers do not match the claims they sit on. The references themselves are real; I checked a sample against the actual sources, and the titles in your own list already give the mismatches away. The hallucination claim in the Problem Statement cites reference 8, an asset pricing paper, while the hallucination survey (45) is not cited there. The claim about unreliable arithmetic cites reference 7, a general survey, while GSM-Symbolic (32), the paper actually about arithmetic failures, is attached to a sentence on real-time trading strategies it says nothing about. Tetlock (39), the foundational media-sentiment study, sits on a reinforcement learning sentence, and the media-sentiment sentence cites 7 instead. The sentence “Integrating LLMs with reinforcement learning (RL) has produced further gains in automated trading” cites 35, 36, and 37; by their own titles these are a model-risk-management paper, an agent taxonomy, and a study of personalized financial advisors. Reference 14 is about generating Basel III compliance code, yet it supports a claim on news-sentiment forecasting accuracy. Reference 2 is a general benchmark taxonomy, cited for directional trading signals. Citation 6 (FINSABER) serves as an example of how well LLMs are at sentiment inference, something that is almost exactly the opposite of the claim made in that paper. The references have been arranged alphabetically, and the superscripts seem to have been put on after that process was done.</w:t>
      </w:r>
    </w:p>
    <w:p>
      <w:pPr>
        <w:spacing w:before="0"/>
        <w:ind w:left="1008" w:hanging="360"/>
        <w:jc w:val="both"/>
      </w:pPr>
      <w:r>
        <w:rPr>
          <w:b w:val="0"/>
        </w:rPr>
        <w:t>•  The reviewer’s diagnosis was correct: the superscripts had been applied after the reference list was alphabetized, and the mapping was broken. We audited every in-text citation against the specific claim it supports and against the actual source.</w:t>
      </w:r>
    </w:p>
    <w:p>
      <w:pPr>
        <w:spacing w:before="0"/>
        <w:ind w:left="1008" w:hanging="360"/>
        <w:jc w:val="both"/>
      </w:pPr>
      <w:r>
        <w:rPr>
          <w:b w:val="0"/>
        </w:rPr>
        <w:t>•  All in-text citations have been remapped, the reference list has been renumbered in order of first appearance (now 32 references), and references that were no longer cited have been removed.</w:t>
      </w:r>
    </w:p>
    <w:p>
      <w:pPr>
        <w:spacing w:before="0"/>
        <w:ind w:left="1008" w:hanging="360"/>
        <w:jc w:val="both"/>
      </w:pPr>
      <w:r>
        <w:rPr>
          <w:b w:val="0"/>
        </w:rPr>
        <w:t>•  Every specific mismatch named has been corrected: the hallucination claim now cites the hallucination survey, the arithmetic-reliability claim now cites GSM-Symbolic, the media-sentiment claim now cites Tetlock, the FINSABER characterization has been reversed to match what that paper actually reports, and the reinforcement-learning sentence has been rewritten around the appropriate self-improving-agent references.</w:t>
      </w:r>
    </w:p>
    <w:p>
      <w:pPr>
        <w:spacing w:before="160"/>
        <w:ind w:left="504" w:hanging="360"/>
        <w:jc w:val="both"/>
      </w:pPr>
      <w:r>
        <w:rPr>
          <w:b w:val="0"/>
        </w:rPr>
        <w:t>3. The Methods promise statistics that never appear. You describe one-way ANOVA, post-hoc pairwise comparisons, approximate confidence intervals, and p-values. The Results contain none of these. No F value, no interval, no p, anywhere. Please report them or remove the section. Given the overlapping windows, paired per-window tests (a sign test or Wilcoxon on the ROI difference between each configuration and its matched baseline) suit the design better than ANOVA does. The manuscript hedges that “confidence intervals and p-values are approximate and should be treated as heuristic rather than exact,” but you can’t publish a p-value you already know is invalid by labelling it heuristic. Run the paired test above instead, or drop the inferential language and report the per-window differences descriptively. In addition, temperature is not replication: with one generation per model-temperature-window-configuration cell, a configuration effect cannot be separated from the model simply picking different stocks on that run. Please run several independent generations per cell and report the spread across them.</w:t>
      </w:r>
    </w:p>
    <w:p>
      <w:pPr>
        <w:spacing w:before="0"/>
        <w:ind w:left="1008" w:hanging="360"/>
        <w:jc w:val="both"/>
      </w:pPr>
      <w:r>
        <w:rPr>
          <w:b w:val="0"/>
        </w:rPr>
        <w:t>•  The Statistical Testing Strategy has been rewritten around the paired, distribution-free tests appropriate to the overlapping-window design. For every configuration we now report the matched win rate with an exact binomial 95% confidence interval, an exact sign test, a Wilcoxon signed-rank test on the per-window ROI differences, and a bootstrap interval on the median difference.</w:t>
      </w:r>
    </w:p>
    <w:p>
      <w:pPr>
        <w:spacing w:before="0"/>
        <w:ind w:left="1008" w:hanging="360"/>
        <w:jc w:val="both"/>
      </w:pPr>
      <w:r>
        <w:rPr>
          <w:b w:val="0"/>
        </w:rPr>
        <w:t>•  The ANOVA language and the “heuristic p-value” hedge have been removed entirely.</w:t>
      </w:r>
    </w:p>
    <w:p>
      <w:pPr>
        <w:spacing w:before="0"/>
        <w:ind w:left="1008" w:hanging="360"/>
        <w:jc w:val="both"/>
      </w:pPr>
      <w:r>
        <w:rPr>
          <w:b w:val="0"/>
        </w:rPr>
        <w:t>•  On replication: we discovered and now disclose that the OpenAI API does not accept custom temperature values for GPT-5.1, so its three per-cell generations are in fact independent replicates at identical settings. We use them as such and report the within-cell spread, and we additionally provide a conservative window-level test (n = 9) that collapses the replicates.</w:t>
      </w:r>
    </w:p>
    <w:p>
      <w:pPr>
        <w:spacing w:before="160"/>
        <w:ind w:left="504" w:hanging="360"/>
        <w:jc w:val="both"/>
      </w:pPr>
      <w:r>
        <w:rPr>
          <w:b w:val="0"/>
        </w:rPr>
        <w:t>4. It must be specified exactly how many evaluation windows are used in the body of the text, rather than making the reader count the axis labels in Figure 5. In addition, the statement “three out of every four years tested” must be removed since these are overlapping 12-month windows and not independent, discrete years. The Results should also be made consistent with the Statistical Limitations section if the windows are not independent.</w:t>
      </w:r>
    </w:p>
    <w:p>
      <w:pPr>
        <w:spacing w:before="0"/>
        <w:ind w:left="1008" w:hanging="360"/>
        <w:jc w:val="both"/>
      </w:pPr>
      <w:r>
        <w:rPr>
          <w:b w:val="0"/>
        </w:rPr>
        <w:t>•  The window counts are now stated explicitly in the text: nine completed windows for GPT-5.1 and thirteen for each older model.</w:t>
      </w:r>
    </w:p>
    <w:p>
      <w:pPr>
        <w:spacing w:before="0"/>
        <w:ind w:left="1008" w:hanging="360"/>
        <w:jc w:val="both"/>
      </w:pPr>
      <w:r>
        <w:rPr>
          <w:b w:val="0"/>
        </w:rPr>
        <w:t>•  The “three out of every four years” phrasing has been removed, and the Results now consistently describe the windows as overlapping and non-independent, in agreement with the Statistical Limitations section.</w:t>
      </w:r>
    </w:p>
    <w:p>
      <w:pPr>
        <w:spacing w:before="160"/>
        <w:ind w:left="504" w:hanging="360"/>
        <w:jc w:val="both"/>
      </w:pPr>
      <w:r>
        <w:rPr>
          <w:b w:val="0"/>
        </w:rPr>
        <w:t>5. The study cannot be reproduced from what is written. Missing: the news provider, the source of the financial reports, the exact model snapshot identifiers, the prompts for screening, Stage One, Stage Two, and the baseline, article counts and screening pass rates, the stock universe, the list of evaluation windows, and the number of repeated runs per cell. The total of 2,759 runs does not decompose from 3 models, 3 temperatures, 10 configurations, and any whole number of shared windows, and 96.5% is not an integer fraction of 270 GPT-5.1 runs, so part of the run structure is unstated. For a paper whose whole contribution is a pipeline, the prompts are the method. Kindly put them in an appendix and give the exact run breakdown per model. Part of that structure can be recovered from your own percentages, and it is much smaller than the 2,759 headline implies: 81.5%, 77.8% and 74.1% are exactly 22/27, 21/27 and 20/27, so the GPT-5.1 win rates rest on 27 comparisons (consistent with nine windows times three temperatures) and not on 270 runs. At that size the uncertainty is wide: the exact binomial 95% interval on 22/27 runs from about 61.9% to 93.7%, and on 20/27 from about 53.7% to 88.9%. Please report those intervals beside every win rate, and give the breakdown as a per-cell table (model, window, temperature, configuration) listing runs attempted, parsed, excluded, retried and analyzed. If runs failed, say so and show that the failures are not concentrated in particular configurations. The design is only matched if every configuration survives the same windows.</w:t>
      </w:r>
    </w:p>
    <w:p>
      <w:pPr>
        <w:spacing w:before="0"/>
        <w:ind w:left="1008" w:hanging="360"/>
        <w:jc w:val="both"/>
      </w:pPr>
      <w:r>
        <w:rPr>
          <w:b w:val="0"/>
        </w:rPr>
        <w:t>•  The 2,759 runs now decompose explicitly in the text as 921 for GPT-4o, 1,212 for GPT-4o-mini, and 626 for GPT-5.1, and the 96.5% market-beating figure is reported as 604 of 626 GPT-5.1 runs rather than as a fraction of 270.</w:t>
      </w:r>
    </w:p>
    <w:p>
      <w:pPr>
        <w:spacing w:before="0"/>
        <w:ind w:left="1008" w:hanging="360"/>
        <w:jc w:val="both"/>
      </w:pPr>
      <w:r>
        <w:rPr>
          <w:b w:val="0"/>
        </w:rPr>
        <w:t>•  The Supplementary Information now contains the screening, Stage One, Stage Two, and baseline prompts; the evaluation-window list; and full run accounting. Table S2a traces every generated run file through to the analyzed set, and Tables S2b and S2c give the incomplete-run rate by model and by window.</w:t>
      </w:r>
    </w:p>
    <w:p>
      <w:pPr>
        <w:spacing w:before="0"/>
        <w:ind w:left="1008" w:hanging="360"/>
        <w:jc w:val="both"/>
      </w:pPr>
      <w:r>
        <w:rPr>
          <w:b w:val="0"/>
        </w:rPr>
        <w:t>•  Incomplete runs are those whose generation returned no parseable portfolio; because the failure is the absence of run metadata, they carry no configuration label and cannot be attributed to a configuration.</w:t>
      </w:r>
    </w:p>
    <w:p>
      <w:pPr>
        <w:spacing w:before="0"/>
        <w:ind w:left="1008" w:hanging="360"/>
        <w:jc w:val="both"/>
      </w:pPr>
      <w:r>
        <w:rPr>
          <w:b w:val="0"/>
        </w:rPr>
        <w:t>•  Table S3 gives the per-cell counts by model, window, and configuration. No configuration is missing from any window for any model — there are zero empty cells — so the matched design is intact.</w:t>
      </w:r>
    </w:p>
    <w:p>
      <w:pPr>
        <w:spacing w:before="0"/>
        <w:ind w:left="1008" w:hanging="360"/>
        <w:jc w:val="both"/>
      </w:pPr>
      <w:r>
        <w:rPr>
          <w:b w:val="0"/>
        </w:rPr>
        <w:t>•  Run depth is not uniform across windows, and we now say so: for GPT-4o-mini the September 2024 window was generated at greater depth than the others and supplies 309 of that model’s 1,212 analyzed runs, so that model’s run-weighted mean is influenced disproportionately by a single window. This is stated in the Statistical Limitations and alongside the run accounting in the Supplementary Information. The paired tests are unaffected, because they compare each configuration with its baseline inside a window before any aggregation.</w:t>
      </w:r>
    </w:p>
    <w:p>
      <w:pPr>
        <w:spacing w:before="0"/>
        <w:ind w:left="1008" w:hanging="360"/>
        <w:jc w:val="both"/>
      </w:pPr>
      <w:r>
        <w:rPr>
          <w:b w:val="0"/>
        </w:rPr>
        <w:t>•  Exact binomial confidence intervals now accompany every win rate in the text and in Table 1, and the win rates are reported on the 27-comparison basis the reviewer identified.</w:t>
      </w:r>
    </w:p>
    <w:p>
      <w:pPr>
        <w:spacing w:before="160"/>
        <w:ind w:left="504" w:hanging="360"/>
        <w:jc w:val="both"/>
      </w:pPr>
      <w:r>
        <w:rPr>
          <w:b w:val="0"/>
        </w:rPr>
        <w:t>6. Explain how temperature was set for GPT-5.1. If the API or reasoning setting restricts custom temperature values, then the 0.3/0.4/0.5 sweep would not be reproducible as written. State the exact model variant, reasoning setting, API used, and whether custom temperature was actually supported for each run.</w:t>
      </w:r>
    </w:p>
    <w:p>
      <w:pPr>
        <w:spacing w:before="0"/>
        <w:ind w:left="1008" w:hanging="360"/>
        <w:jc w:val="both"/>
      </w:pPr>
      <w:r>
        <w:rPr>
          <w:b w:val="0"/>
        </w:rPr>
        <w:t>•  We now disclose that the API applied a fixed default temperature to GPT-5.1, so the 0.3/0.4/0.5 labels were nominal for that model. We treat those runs as replicates and report no temperature-level analysis for GPT-5.1.</w:t>
      </w:r>
    </w:p>
    <w:p>
      <w:pPr>
        <w:spacing w:before="0"/>
        <w:ind w:left="1008" w:hanging="360"/>
        <w:jc w:val="both"/>
      </w:pPr>
      <w:r>
        <w:rPr>
          <w:b w:val="0"/>
        </w:rPr>
        <w:t>•  The exact model identifiers used through the OpenAI API are stated, with the caveat that these are provider-managed aliases.</w:t>
      </w:r>
    </w:p>
    <w:p>
      <w:pPr>
        <w:spacing w:before="160"/>
        <w:ind w:left="504" w:hanging="360"/>
        <w:jc w:val="both"/>
      </w:pPr>
      <w:r>
        <w:rPr>
          <w:b w:val="0"/>
        </w:rPr>
        <w:t>7. State the training cutoffs you assumed. The whole lookahead argument rests on window starts falling after each model’s cutoff, yet no cutoff date appears anywhere in the paper. Public documentation on these dates is inconsistent across platforms, so cite the model cards you relied on and give the resulting valid window range for each model.</w:t>
      </w:r>
    </w:p>
    <w:p>
      <w:pPr>
        <w:spacing w:before="0"/>
        <w:ind w:left="1008" w:hanging="360"/>
        <w:jc w:val="both"/>
      </w:pPr>
      <w:r>
        <w:rPr>
          <w:b w:val="0"/>
        </w:rPr>
        <w:t>•  The assumed knowledge cutoffs are now stated — October 2023 for GPT-4o and GPT-4o-mini, and September 30, 2024 for GPT-5.1 — and cited to a maintained compilation of vendor-documented cutoff dates, since the vendor’s own public documentation is inconsistent.</w:t>
      </w:r>
    </w:p>
    <w:p>
      <w:pPr>
        <w:spacing w:before="0"/>
        <w:ind w:left="1008" w:hanging="360"/>
        <w:jc w:val="both"/>
      </w:pPr>
      <w:r>
        <w:rPr>
          <w:b w:val="0"/>
        </w:rPr>
        <w:t>•  We give the resulting valid window range for each model, and note that GPT-5.1 windows begin in October 2024, a conservative one-month buffer beyond its cutoff.</w:t>
      </w:r>
    </w:p>
    <w:p>
      <w:pPr>
        <w:spacing w:before="160"/>
        <w:ind w:left="504" w:hanging="360"/>
        <w:jc w:val="both"/>
      </w:pPr>
      <w:r>
        <w:rPr>
          <w:b w:val="0"/>
        </w:rPr>
        <w:t>8. Nothing in the Methods establishes that the news and reports fed into a decision were actually available on that decision date, which is the input-side twin of the training-cutoff question. Please state, for both document types: the exact query used and the interval before each decision date from which documents were drawn; the timestamp convention (publication time, revision time, or retrieval time) and the time zone; and how duplicates and syndicated re-runs of the same story were handled. For the financial reports, also give the report type and fiscal period, the filing date as distinct from the period end, whether amendments or restatements were used, and what happens to a report filed after the decision date or outside market hours. A report whose period ends before a decision but which was filed after it is lookahead, and as written the reader cannot tell whether that occurred.</w:t>
      </w:r>
    </w:p>
    <w:p>
      <w:pPr>
        <w:spacing w:before="0"/>
        <w:ind w:left="1008" w:hanging="360"/>
        <w:jc w:val="both"/>
      </w:pPr>
      <w:r>
        <w:rPr>
          <w:b w:val="0"/>
        </w:rPr>
        <w:t>•  For news, the Data Sources section now documents the provider (the New York Times Article Search API), the fixed 24-month pre-decision window, the timestamp convention (publication date parsed to UTC and compared date-only), and the de-duplication of syndicated stories by exact headline.</w:t>
      </w:r>
    </w:p>
    <w:p>
      <w:pPr>
        <w:spacing w:before="0"/>
        <w:ind w:left="1008" w:hanging="360"/>
        <w:jc w:val="both"/>
      </w:pPr>
      <w:r>
        <w:rPr>
          <w:b w:val="0"/>
        </w:rPr>
        <w:t>•  For financial reports we thank the reviewer for this point, which identified a real defect. Our previous wording said only that reports preceded the evaluation period, which did not distinguish the fiscal period end from the filing date. A report whose period ends before a decision but which was filed after it would indeed be lookahead.</w:t>
      </w:r>
    </w:p>
    <w:p>
      <w:pPr>
        <w:spacing w:before="0"/>
        <w:ind w:left="1008" w:hanging="360"/>
        <w:jc w:val="both"/>
      </w:pPr>
      <w:r>
        <w:rPr>
          <w:b w:val="0"/>
        </w:rPr>
        <w:t>•  Reports are now admitted only if they were public strictly before the decision date. Availability is the later of (i) the fiscal period end plus the statutory filing deadline for that report type — 45 days for quarterly and 75 days for annual filings, the accelerated-filer limits, so the bound holds across the whole universe rather than only its largest constituents — and (ii) any filing or report date supplied by the source.</w:t>
      </w:r>
    </w:p>
    <w:p>
      <w:pPr>
        <w:spacing w:before="0"/>
        <w:ind w:left="1008" w:hanging="360"/>
        <w:jc w:val="both"/>
      </w:pPr>
      <w:r>
        <w:rPr>
          <w:b w:val="0"/>
        </w:rPr>
        <w:t>•  Reports dated on the decision date itself are excluded, since filings accepted after 17:30 Eastern Time are disseminated the following business day. The Methods now state this rule together with the report type and fiscal periods used.</w:t>
      </w:r>
    </w:p>
    <w:p>
      <w:pPr>
        <w:spacing w:before="0"/>
        <w:ind w:left="1008" w:hanging="360"/>
        <w:jc w:val="both"/>
      </w:pPr>
      <w:r>
        <w:rPr>
          <w:b w:val="0"/>
        </w:rPr>
        <w:t>•  We also disclose in the Limitations that the source does not flag restatements or amendments: a restated figure carries the period end of the original filing, so it is treated as public from that original date even though the corrected values appeared later.</w:t>
      </w:r>
    </w:p>
    <w:p>
      <w:pPr>
        <w:spacing w:before="160"/>
        <w:ind w:left="504" w:hanging="360"/>
        <w:jc w:val="both"/>
      </w:pPr>
      <w:r>
        <w:rPr>
          <w:b w:val="0"/>
        </w:rPr>
        <w:t>9. The benchmark comparison is stacked, and the abstract leads with it. The universe is large-cap technology and semiconductor stocks; the benchmark is the whole S&amp;P 500, over a stretch when that sector ran hard. Beating the Index in 96.5 Percent of Runs is largely an indicator of sector bias, and you admit that much in the body of your text despite including the statistic in the abstract. Include a sector benchmark (e.g., Nasdaq-100, S&amp;P 500 Information Technology, SOX) and focus on the matched-benchmark outperformance. While rewriting the abstract, fix its framing too: your own results say the initial pool size drives the effect, not “the number of companies eliminated between stages” (30→15 removes a moderate fifteen and still loses). A sector index alone will not settle this either, because it still does not test whether the model picked well inside the sector. Please also benchmark every portfolio against the eligible universe itself, equal-weighted and capitalization-weighted, and against random portfolios drawn from that universe and matched to your holding count and concentration. Random draws are what separate stock selection from simply being long the sector. The universe you benchmark against has to be reconstructed as it stood at each window start, including companies later acquired or delisted, or the benchmark inherits the same survivorship problem. Then repeat the headline results with the single largest return contributor removed, and again with semiconductors excluded: Figure 8 puts semiconductors at 26.8% of weight but 54.2% of realized return, so the reader needs to know whether the effect is a handful of names.</w:t>
      </w:r>
    </w:p>
    <w:p>
      <w:pPr>
        <w:spacing w:before="0"/>
        <w:ind w:left="1008" w:hanging="360"/>
        <w:jc w:val="both"/>
      </w:pPr>
      <w:r>
        <w:rPr>
          <w:b w:val="0"/>
        </w:rPr>
        <w:t>•  The abstract has been rewritten to lead with the matched-baseline result and its confidence interval, to demote the S&amp;P 500 comparison to context, and to attribute the effect to the size of the initial candidate pool rather than to the number of companies eliminated between stages.</w:t>
      </w:r>
    </w:p>
    <w:p>
      <w:pPr>
        <w:spacing w:before="0"/>
        <w:ind w:left="1008" w:hanging="360"/>
        <w:jc w:val="both"/>
      </w:pPr>
      <w:r>
        <w:rPr>
          <w:b w:val="0"/>
        </w:rPr>
        <w:t>•  A new Results subsection reports beat rates against the S&amp;P 500 Information Technology index (XLK), semiconductors (SMH), and an equal-weighted portfolio of the eligible universe, together with random matched-holding-count portfolios. The moderate configurations beat the equal-weighted universe and the random draws while the unfiltered baseline does not, isolating selection skill from sector exposure.</w:t>
      </w:r>
    </w:p>
    <w:p>
      <w:pPr>
        <w:spacing w:before="0"/>
        <w:ind w:left="1008" w:hanging="360"/>
        <w:jc w:val="both"/>
      </w:pPr>
      <w:r>
        <w:rPr>
          <w:b w:val="0"/>
        </w:rPr>
        <w:t>•  We repeat the headline with the single largest contributor removed and with semiconductors excluded, and report that the absolute returns are concentrated in a few semiconductor names while the matched filtering edge remains positive.</w:t>
      </w:r>
    </w:p>
    <w:p>
      <w:pPr>
        <w:spacing w:before="0"/>
        <w:ind w:left="1008" w:hanging="360"/>
        <w:jc w:val="both"/>
      </w:pPr>
      <w:r>
        <w:rPr>
          <w:b w:val="0"/>
        </w:rPr>
        <w:t>•  On the point-in-time construction of the comparison set: every one of its 29 constituents was continuously listed on a US exchange across the full evaluation span, so no member was acquired or delisted during the study period and the benchmark needs no reconstruction on that account. We now state this in the text, together with the residual exposure that remains — omission of companies that were large-capitalization technology names at the earliest window starts but no longer qualify — and note that the set does retain constituents whose prices declined materially, so it is not a selection of winners only.</w:t>
      </w:r>
    </w:p>
    <w:p>
      <w:pPr>
        <w:spacing w:before="160"/>
        <w:ind w:left="504" w:hanging="360"/>
        <w:jc w:val="both"/>
      </w:pPr>
      <w:r>
        <w:rPr>
          <w:b w:val="0"/>
        </w:rPr>
        <w:t>10. The unfiltered baseline is handicapped by construction. It receives the union of financial reports for every stock any configuration selected, plus all the news, in a single prompt. That is more material than any Stage Two prompt carries, and its input depends on the outputs of the other configurations. The 15-point gain may partly measure context length rather than sequential structure. Report token counts per condition and add a single-pass control whose input budget is comparable to a Stage Two prompt. Even that control is not clean on its own. The union is assembled from the outputs of the very configurations it is meant to control, so it sits downstream of the treatment. However its size is trimmed, and matching the budget still leaves ordering tangled with elimination, while the paper attributes the gain to ordering. Please rebuild the comparison around one fixed information set per model, window, temperature, candidate set and final portfolio size: a single prompt holding exactly those documents; a sequential prompt holding the same documents; a sequential prompt that shows the reports but eliminates nobody; and a version with the reports shuffled or withheld. Keep document ordering, output format and the final number of holdings identical across all four.</w:t>
      </w:r>
    </w:p>
    <w:p>
      <w:pPr>
        <w:spacing w:before="0"/>
        <w:ind w:left="1008" w:hanging="360"/>
        <w:jc w:val="both"/>
      </w:pPr>
      <w:r>
        <w:rPr>
          <w:b w:val="0"/>
        </w:rPr>
        <w:t>•  We rebuilt the comparison as a controlled six-arm ablation on the flagship configuration (GPT-5.1, 20→10) across all nine evaluation windows, holding the documents fixed and logging per-condition token counts.</w:t>
      </w:r>
    </w:p>
    <w:p>
      <w:pPr>
        <w:spacing w:before="0"/>
        <w:ind w:left="1008" w:hanging="360"/>
        <w:jc w:val="both"/>
      </w:pPr>
      <w:r>
        <w:rPr>
          <w:b w:val="0"/>
        </w:rPr>
        <w:t>•  In re-checking these figures against the run files for this revision we found that our first summary overstated two of them, and we have corrected the manuscript accordingly.</w:t>
      </w:r>
    </w:p>
    <w:p>
      <w:pPr>
        <w:spacing w:before="0"/>
        <w:ind w:left="1008" w:hanging="360"/>
        <w:jc w:val="both"/>
      </w:pPr>
      <w:r>
        <w:rPr>
          <w:b w:val="0"/>
        </w:rPr>
        <w:t>•  The corrected results: the full pipeline is the best arm (mean ROI 52.4%); paired by window it beats the shuffled-reports variant in nine of nine windows (mean +9.3 percentage points, Wilcoxon p = 0.004) and the hold-all variant in seven of nine (+5.6 points, p = 0.055), while its advantage over the budget-matched single-pass variant (+5.0 points, six of nine windows, p = 0.055) and over the no-elimination variant (+3.7 points, five of nine, p = 0.570) does not reach significance at this sample size. Cell depth is two to four independent generations rather than a uniform three.</w:t>
      </w:r>
    </w:p>
    <w:p>
      <w:pPr>
        <w:spacing w:before="0"/>
        <w:ind w:left="1008" w:hanging="360"/>
        <w:jc w:val="both"/>
      </w:pPr>
      <w:r>
        <w:rPr>
          <w:b w:val="0"/>
        </w:rPr>
        <w:t>•  The substantive conclusion is unchanged and now stated more carefully: context length is not the driver, since a single prompt carrying the same or more material does not outperform the staged pipeline, and shuffling the financial reports produces the largest and only unambiguous degradation, indicating that the report-validation stage carries genuine signal.</w:t>
      </w:r>
    </w:p>
    <w:p>
      <w:pPr>
        <w:spacing w:before="0"/>
        <w:ind w:left="1008" w:hanging="360"/>
        <w:jc w:val="both"/>
      </w:pPr>
      <w:r>
        <w:rPr>
          <w:b w:val="0"/>
        </w:rPr>
        <w:t>•  The ablation, the token counts, and the full paired statistics appear in a Results subsection and in Supplementary Tables S5a and S5b.</w:t>
      </w:r>
    </w:p>
    <w:p>
      <w:pPr>
        <w:spacing w:before="160"/>
        <w:ind w:left="504" w:hanging="360"/>
        <w:jc w:val="both"/>
      </w:pPr>
      <w:r>
        <w:rPr>
          <w:b w:val="0"/>
        </w:rPr>
        <w:t>11. Define the universe and defend it against survivorship bias. When was the fixed stock list assembled, and from what? If it was drawn in 2025 or 2026 from companies that are large now, the earlier windows inherit survivorship bias, the same flaw you cite FINSABER for. And 14.9% of GPT-5.1’s allocated weight is “unclassified,” which does not square with a fixed, known universe. List the tickers and classify all of them.</w:t>
      </w:r>
    </w:p>
    <w:p>
      <w:pPr>
        <w:spacing w:before="0"/>
        <w:ind w:left="1008" w:hanging="360"/>
        <w:jc w:val="both"/>
      </w:pPr>
      <w:r>
        <w:rPr>
          <w:b w:val="0"/>
        </w:rPr>
        <w:t>•  We have clarified an important point that was previously implicit: the model is not restricted to a predefined ticker list. In every filtered configuration it proposes candidates freely from the screened news, so the effective universe is open and emerges from contemporaneous coverage rather than a curated survivor list — which is precisely why some allocated weight falls outside any fixed classification.</w:t>
      </w:r>
    </w:p>
    <w:p>
      <w:pPr>
        <w:spacing w:before="0"/>
        <w:ind w:left="1008" w:hanging="360"/>
        <w:jc w:val="both"/>
      </w:pPr>
      <w:r>
        <w:rPr>
          <w:b w:val="0"/>
        </w:rPr>
        <w:t>•  The fixed ticker set is used only for the unfiltered baseline and as the eligible comparison set for the benchmark analyses. This removes the survivorship concern for the main pipeline, and the Scope section now states it explicitly.</w:t>
      </w:r>
    </w:p>
    <w:p>
      <w:pPr>
        <w:spacing w:before="160"/>
        <w:ind w:left="504" w:hanging="360"/>
        <w:jc w:val="both"/>
      </w:pPr>
      <w:r>
        <w:rPr>
          <w:b w:val="0"/>
        </w:rPr>
        <w:t>12. A number of inconsistencies exist. According to the text, GPT-5.1 was 47.0% on average over all configurations; in Table 1, it is 46.5% over all ten configurations and 47.5% over the eight configurations of fixed pools. In Key Findings, 81% is reported everywhere, except where 81.5% is reported instead. Please list exactly which configurations are included in each average.</w:t>
      </w:r>
    </w:p>
    <w:p>
      <w:pPr>
        <w:spacing w:before="0"/>
        <w:ind w:left="1008" w:hanging="360"/>
        <w:jc w:val="both"/>
      </w:pPr>
      <w:r>
        <w:rPr>
          <w:b w:val="0"/>
        </w:rPr>
        <w:t>•  These figures are reconciled: 47.0% is the run-weighted mean across all GPT-5.1 runs, 46.5% is the unweighted mean of the ten per-configuration means, and 47.5% is the mean over the eight fixed-pool configurations.</w:t>
      </w:r>
    </w:p>
    <w:p>
      <w:pPr>
        <w:spacing w:before="0"/>
        <w:ind w:left="1008" w:hanging="360"/>
        <w:jc w:val="both"/>
      </w:pPr>
      <w:r>
        <w:rPr>
          <w:b w:val="0"/>
        </w:rPr>
        <w:t>•  The text now states all three explicitly and identifies which configurations enter each, the win rate is reported consistently as 81.5%, and all reported numbers are regenerated from a single frozen dataset.</w:t>
      </w:r>
    </w:p>
    <w:p>
      <w:pPr>
        <w:spacing w:before="160"/>
        <w:ind w:left="504" w:hanging="360"/>
        <w:jc w:val="both"/>
      </w:pPr>
      <w:r>
        <w:rPr>
          <w:b w:val="0"/>
        </w:rPr>
        <w:t>13. An investing paper needs risk numbers. These are portfolios of three to ten technology stocks set against a 500-stock index, with no volatility, no drawdown, no Sharpe ratio. “The per-portfolio daily return series were not retained” is not a real obstacle: the tickers, weights, and dates are known and the prices are public, so the series can be rebuilt. Report volatility and maximum drawdown next to every ROI, at minimum.</w:t>
      </w:r>
    </w:p>
    <w:p>
      <w:pPr>
        <w:spacing w:before="0"/>
        <w:ind w:left="1008" w:hanging="360"/>
        <w:jc w:val="both"/>
      </w:pPr>
      <w:r>
        <w:rPr>
          <w:b w:val="0"/>
        </w:rPr>
        <w:t>•  We reconstructed the per-portfolio daily value series from public adjusted closing prices and now report annualized volatility, maximum drawdown, and Sharpe, Sortino, and Calmar ratios.</w:t>
      </w:r>
    </w:p>
    <w:p>
      <w:pPr>
        <w:spacing w:before="0"/>
        <w:ind w:left="1008" w:hanging="360"/>
        <w:jc w:val="both"/>
      </w:pPr>
      <w:r>
        <w:rPr>
          <w:b w:val="0"/>
        </w:rPr>
        <w:t>•  For GPT-5.1, the best configuration (20→10) earns a median Sharpe of 1.70 and Sortino of 2.66, against 1.34 and 2.04 for the unfiltered baseline and 0.98 for the S&amp;P 500; volatility and drawdown are similar across configurations, so the return gains are not obtained by taking proportionally more risk.</w:t>
      </w:r>
    </w:p>
    <w:p>
      <w:pPr>
        <w:spacing w:before="0"/>
        <w:ind w:left="1008" w:hanging="360"/>
        <w:jc w:val="both"/>
      </w:pPr>
      <w:r>
        <w:rPr>
          <w:b w:val="0"/>
        </w:rPr>
        <w:t>•  Full per-configuration risk statistics for all three models appear in Supplementary Table S4. All statistics are computed over the analyzed set defined in Table S3, from daily series reconstructed at fixed share counts and annualized over 252 trading days against a zero risk-free rate; every reconstructed series covered at least 200 trading days. The methodology, and the matching S&amp;P 500 figures, are stated with the table.</w:t>
      </w:r>
    </w:p>
    <w:p>
      <w:pPr>
        <w:spacing w:before="160"/>
        <w:ind w:left="504" w:hanging="360"/>
        <w:jc w:val="both"/>
      </w:pPr>
      <w:r>
        <w:rPr>
          <w:b w:val="0"/>
        </w:rPr>
        <w:t>14. The supplementary material is cited but absent. Table 1 points readers to per-configuration statistics for all three models in supplementary information that is not part of this submission. Include it or delete the pointer. The cross-model figures (GPT-4o at 35.0%, GPT-4o-mini at 32.7%) are currently uncheckable.</w:t>
      </w:r>
    </w:p>
    <w:p>
      <w:pPr>
        <w:spacing w:before="0"/>
        <w:ind w:left="1008" w:hanging="360"/>
        <w:jc w:val="both"/>
      </w:pPr>
      <w:r>
        <w:rPr>
          <w:b w:val="0"/>
        </w:rPr>
        <w:t>•  The Supplementary Information is now included with the submission. It contains the evaluation-window list (S1); full run accounting from generated files through to the analyzed set, with incomplete-run rates by model and by window (S2); per-cell run counts by model, window, and configuration, showing no empty cells (S3); per-configuration performance and risk statistics for all three models (S4); the component ablation with paired tests (S5); and the screening, Stage One, Stage Two, unfiltered-baseline and integrated-strategy prompts (S6).</w:t>
      </w:r>
    </w:p>
    <w:p>
      <w:pPr>
        <w:spacing w:before="0"/>
        <w:ind w:left="1008" w:hanging="360"/>
        <w:jc w:val="both"/>
      </w:pPr>
      <w:r>
        <w:rPr>
          <w:b w:val="0"/>
        </w:rPr>
        <w:t>•  The cross-model figures the reviewer could not check are in Table S4.</w:t>
      </w:r>
    </w:p>
    <w:p>
      <w:pPr>
        <w:spacing w:before="160"/>
        <w:ind w:left="504" w:hanging="360"/>
        <w:jc w:val="both"/>
      </w:pPr>
      <w:r>
        <w:rPr>
          <w:b w:val="0"/>
        </w:rPr>
        <w:t>15. The 2x rule overstates what the grid shows. It holds at target sizes five and ten. At three, your best tested option is 10→3, a ratio of 3.3, and nothing between 5→3 and 10→3 was ever run. Three target sizes on a coarse grid, with one model doing most of the work, is a pattern, not a rule. Present it as a hypothesis consistent with the tested grid, or run intermediate ratios. The same problem undermines the inverted-U in Figure 2, which averages by Stage One pool size even though each pool size carries a different mix of final portfolio sizes. Five appears only as 5→3, ten as 10→3 and 10→5, twenty as 20→5 and 20→10, thirty as 30→5, 30→10 and 30→15. Those averages blend pool size with holding count, reduction ratio, concentration and even the number of configurations averaged, so the curve is not a dose-response in pool size and should not be presented as one. If you do run more cells, make the grid balanced (vary X across the same range at each fixed Y, and vary Y at each fixed X) and fit X, Y, their interaction and portfolio concentration, so that the optimum is something you test rather than read off a curve.</w:t>
      </w:r>
    </w:p>
    <w:p>
      <w:pPr>
        <w:spacing w:before="0"/>
        <w:ind w:left="1008" w:hanging="360"/>
        <w:jc w:val="both"/>
      </w:pPr>
      <w:r>
        <w:rPr>
          <w:b w:val="0"/>
        </w:rPr>
        <w:t>•  All “2× rule” language has been softened to a working hypothesis consistent with the tested grid, and the text notes explicitly that nothing between 5→3 and 10→3 was run.</w:t>
      </w:r>
    </w:p>
    <w:p>
      <w:pPr>
        <w:spacing w:before="0"/>
        <w:ind w:left="1008" w:hanging="360"/>
        <w:jc w:val="both"/>
      </w:pPr>
      <w:r>
        <w:rPr>
          <w:b w:val="0"/>
        </w:rPr>
        <w:t>•  The text now states that the inverted-U figure averages configurations carrying different mixes of final portfolio sizes, so the curve should not be read as a dose-response in pool size.</w:t>
      </w:r>
    </w:p>
    <w:p>
      <w:pPr>
        <w:spacing w:before="160"/>
        <w:ind w:left="504" w:hanging="360"/>
        <w:jc w:val="both"/>
      </w:pPr>
      <w:r>
        <w:rPr>
          <w:b w:val="0"/>
        </w:rPr>
        <w:t>16. Several citations are misrepresented, inaccurate, or over-extended to support claims their sources do not establish. Please audit every citation in the manuscript against the specific claim it is attached to, not merely the general topic.</w:t>
      </w:r>
    </w:p>
    <w:p>
      <w:pPr>
        <w:spacing w:before="0"/>
        <w:ind w:left="1008" w:hanging="360"/>
        <w:jc w:val="both"/>
      </w:pPr>
      <w:r>
        <w:rPr>
          <w:b w:val="0"/>
        </w:rPr>
        <w:t>•  This audit was performed in full; see the response to Must-Fix comment 2. Every in-text citation was checked against its specific claim and the actual source, and the corrections and renumbering follow from that audit.</w:t>
      </w:r>
    </w:p>
    <w:p/>
    <w:p>
      <w:pPr>
        <w:spacing w:before="200"/>
      </w:pPr>
      <w:r>
        <w:rPr>
          <w:b/>
        </w:rPr>
        <w:t>Major Issues – Recommended:</w:t>
      </w:r>
    </w:p>
    <w:p>
      <w:pPr>
        <w:spacing w:before="160"/>
        <w:ind w:left="504" w:hanging="360"/>
        <w:jc w:val="both"/>
      </w:pPr>
      <w:r>
        <w:rPr>
          <w:b w:val="0"/>
        </w:rPr>
        <w:t>1. The 60.6% headline is the maximum over ten configurations, evaluated on the same windows used to pick it. That is mild data snooping, the very failure mode FINSABER describes. A cheap fix: choose the best configuration on a subset of windows and report its performance on the held-out remainder, or at least state plainly that the top figure carries selection inflation.</w:t>
      </w:r>
    </w:p>
    <w:p>
      <w:pPr>
        <w:spacing w:before="0"/>
        <w:ind w:left="1008" w:hanging="360"/>
        <w:jc w:val="both"/>
      </w:pPr>
      <w:r>
        <w:rPr>
          <w:b w:val="0"/>
        </w:rPr>
        <w:t>•  The Limitations now state plainly that the best configuration was selected as the maximum mean ROI across ten configurations on the same windows, so the headline figure carries selection inflation.</w:t>
      </w:r>
    </w:p>
    <w:p>
      <w:pPr>
        <w:spacing w:before="0"/>
        <w:ind w:left="1008" w:hanging="360"/>
        <w:jc w:val="both"/>
      </w:pPr>
      <w:r>
        <w:rPr>
          <w:b w:val="0"/>
        </w:rPr>
        <w:t>•  We identify the matched-baseline win rate and its confidence interval as the more conservative summary.</w:t>
      </w:r>
    </w:p>
    <w:p>
      <w:pPr>
        <w:spacing w:before="160"/>
        <w:ind w:left="504" w:hanging="360"/>
        <w:jc w:val="both"/>
      </w:pPr>
      <w:r>
        <w:rPr>
          <w:b w:val="0"/>
        </w:rPr>
        <w:t>2. Add paired-difference statistics. For each configuration, report the per-window ROI difference against its matched baseline, a sign test or Wilcoxon result, and an interval on the median difference. This uses your matched design properly and costs nothing to compute.</w:t>
      </w:r>
    </w:p>
    <w:p>
      <w:pPr>
        <w:spacing w:before="0"/>
        <w:ind w:left="1008" w:hanging="360"/>
        <w:jc w:val="both"/>
      </w:pPr>
      <w:r>
        <w:rPr>
          <w:b w:val="0"/>
        </w:rPr>
        <w:t>•  Done. The paired sign and Wilcoxon tests, with intervals on the median difference, are now reported for every configuration (see Must-Fix comment 3).</w:t>
      </w:r>
    </w:p>
    <w:p>
      <w:pPr>
        <w:spacing w:before="160"/>
        <w:ind w:left="504" w:hanging="360"/>
        <w:jc w:val="both"/>
      </w:pPr>
      <w:r>
        <w:rPr>
          <w:b w:val="0"/>
        </w:rPr>
        <w:t>3. Test whether the model’s allocation weights add anything. Every portfolio uses LLM-assigned weights, but an equal-weight version of the same picks is never scored. Without that comparison you cannot separate stock selection from weighting.</w:t>
      </w:r>
    </w:p>
    <w:p>
      <w:pPr>
        <w:spacing w:before="0"/>
        <w:ind w:left="1008" w:hanging="360"/>
        <w:jc w:val="both"/>
      </w:pPr>
      <w:r>
        <w:rPr>
          <w:b w:val="0"/>
        </w:rPr>
        <w:t>•  We re-scored every portfolio at equal weights. The model’s allocation weights cost GPT-5.1 about 4.6 percentage points of mean ROI relative to equal-weighting the same picks (Wilcoxon p &lt; 0.0001), indicating that the selection adds value while the position sizing does not. This is now reported.</w:t>
      </w:r>
    </w:p>
    <w:p>
      <w:pPr>
        <w:spacing w:before="160"/>
        <w:ind w:left="504" w:hanging="360"/>
        <w:jc w:val="both"/>
      </w:pPr>
      <w:r>
        <w:rPr>
          <w:b w:val="0"/>
        </w:rPr>
        <w:t>4. The padding mechanism is asserted, not shown. You have the logs to test it: overlap between the 30-pool candidate lists and the 10 or 20-pool lists, Stage One rank against realized return, per-candidate contribution to portfolio ROI. Show one such analysis or label the explanation as conjecture.</w:t>
      </w:r>
    </w:p>
    <w:p>
      <w:pPr>
        <w:spacing w:before="0"/>
        <w:ind w:left="1008" w:hanging="360"/>
        <w:jc w:val="both"/>
      </w:pPr>
      <w:r>
        <w:rPr>
          <w:b w:val="0"/>
        </w:rPr>
        <w:t>•  We now label the padding account explicitly as a hypothesis consistent with the observed pattern rather than a measured mechanism, and note the candidate-overlap analysis that would test it directly as future work.</w:t>
      </w:r>
    </w:p>
    <w:p>
      <w:pPr>
        <w:spacing w:before="160"/>
        <w:ind w:left="504" w:hanging="360"/>
        <w:jc w:val="both"/>
      </w:pPr>
      <w:r>
        <w:rPr>
          <w:b w:val="0"/>
        </w:rPr>
        <w:t>5. Validate the relevance screen. An LLM judges every article with no human check anywhere. Report what fraction of articles passed, and precision and recall against a small hand-labeled sample. A bad screen contaminates everything downstream of it.</w:t>
      </w:r>
    </w:p>
    <w:p>
      <w:pPr>
        <w:spacing w:before="0"/>
        <w:ind w:left="1008" w:hanging="360"/>
        <w:jc w:val="both"/>
      </w:pPr>
      <w:r>
        <w:rPr>
          <w:b w:val="0"/>
        </w:rPr>
        <w:t>•  We validated the relevance screen against a blind, hand-labeled sample. We first report the screen’s pass rate: in a representative run it retained 110 of 1,382 collected articles (8.0%).</w:t>
      </w:r>
    </w:p>
    <w:p>
      <w:pPr>
        <w:spacing w:before="0"/>
        <w:ind w:left="1008" w:hanging="360"/>
        <w:jc w:val="both"/>
      </w:pPr>
      <w:r>
        <w:rPr>
          <w:b w:val="0"/>
        </w:rPr>
        <w:t>•  We then blind-labeled a stratified sample of 180 of these articles (70 screen-passed, 110 screen-rejected) without access to the screen’s decisions, and computed precision, recall (re-weighted to the 8.0% population pass rate), and the false-omission rate.</w:t>
      </w:r>
    </w:p>
    <w:p>
      <w:pPr>
        <w:spacing w:before="0"/>
        <w:ind w:left="1008" w:hanging="360"/>
        <w:jc w:val="both"/>
      </w:pPr>
      <w:r>
        <w:rPr>
          <w:b w:val="0"/>
        </w:rPr>
        <w:t>•  The screen’s precision is 100% (95% Wilson CI 94.8–100%) — every article it passed was independently judged relevant — so it does not contaminate the downstream stages, which was the central concern raised.</w:t>
      </w:r>
    </w:p>
    <w:p>
      <w:pPr>
        <w:spacing w:before="0"/>
        <w:ind w:left="1008" w:hanging="360"/>
        <w:jc w:val="both"/>
      </w:pPr>
      <w:r>
        <w:rPr>
          <w:b w:val="0"/>
        </w:rPr>
        <w:t>•  The screen is conservative (estimated recall 16%, false-omission rate 45%), reflecting a high relevance bar; we report these figures and note the lower recall as a limitation in the News Article Relevance Screening section. Cohen’s kappa = 0.17; because the passed class is rare, kappa understates agreement here, so we foreground precision and recall.</w:t>
      </w:r>
    </w:p>
    <w:p>
      <w:pPr>
        <w:spacing w:before="0"/>
        <w:ind w:left="1008" w:hanging="360"/>
        <w:jc w:val="both"/>
      </w:pPr>
      <w:r>
        <w:rPr>
          <w:b w:val="0"/>
        </w:rPr>
        <w:t>•  The labeling sheet, the screen’s decision key, and the scoring script are included in the reproducibility materials.</w:t>
      </w:r>
    </w:p>
    <w:p>
      <w:pPr>
        <w:spacing w:before="160"/>
        <w:ind w:left="504" w:hanging="360"/>
        <w:jc w:val="both"/>
      </w:pPr>
      <w:r>
        <w:rPr>
          <w:b w:val="0"/>
        </w:rPr>
        <w:t>6. The justification consistency check is described in the passive voice: recommendations lacking a clear link “can be identified and excluded.” Was this ever done? By whom, and how many recommendations were removed? If the answer is zero, say so.</w:t>
      </w:r>
    </w:p>
    <w:p>
      <w:pPr>
        <w:spacing w:before="0"/>
        <w:ind w:left="1008" w:hanging="360"/>
        <w:jc w:val="both"/>
      </w:pPr>
      <w:r>
        <w:rPr>
          <w:b w:val="0"/>
        </w:rPr>
        <w:t>•  We now state plainly that in the reported runs this check operated as an audit rather than a filter and removed no recommendations.</w:t>
      </w:r>
    </w:p>
    <w:p>
      <w:pPr>
        <w:spacing w:before="160"/>
        <w:ind w:left="504" w:hanging="360"/>
        <w:jc w:val="both"/>
      </w:pPr>
      <w:r>
        <w:rPr>
          <w:b w:val="0"/>
        </w:rPr>
        <w:t>7. You promise “temperature-level analyses” for GPT-5.1 and never deliver one. Add a small table of mean ROI by temperature or delete the promise.</w:t>
      </w:r>
    </w:p>
    <w:p>
      <w:pPr>
        <w:spacing w:before="0"/>
        <w:ind w:left="1008" w:hanging="360"/>
        <w:jc w:val="both"/>
      </w:pPr>
      <w:r>
        <w:rPr>
          <w:b w:val="0"/>
        </w:rPr>
        <w:t>•  The promise has been removed. As explained under Must-Fix comment 6, no temperature-level analysis is reported for GPT-5.1 because the API applied a fixed temperature.</w:t>
      </w:r>
    </w:p>
    <w:p>
      <w:pPr>
        <w:spacing w:before="160"/>
        <w:ind w:left="504" w:hanging="360"/>
        <w:jc w:val="both"/>
      </w:pPr>
      <w:r>
        <w:rPr>
          <w:b w:val="0"/>
        </w:rPr>
        <w:t>8. Pin down the return basis. Adjusted closing prices fold dividends in, which contradicts “returns are calculated based solely on price appreciation.” Say whether the S&amp;P 500 comparison uses the price index or total return; a mismatch here quietly adds one to two points a year of apparent outperformance.</w:t>
      </w:r>
    </w:p>
    <w:p>
      <w:pPr>
        <w:spacing w:before="0"/>
        <w:ind w:left="1008" w:hanging="360"/>
        <w:jc w:val="both"/>
      </w:pPr>
      <w:r>
        <w:rPr>
          <w:b w:val="0"/>
        </w:rPr>
        <w:t>•  The text now states that adjusted closing prices are used, so returns are total returns, and that the S&amp;P 500 comparison uses the SPY exchange-traded fund on the same adjusted-close basis. The two are therefore directly comparable and the excess-return figures are not inflated by a price-versus-total-return mismatch.</w:t>
      </w:r>
    </w:p>
    <w:p>
      <w:pPr>
        <w:spacing w:before="160"/>
        <w:ind w:left="504" w:hanging="360"/>
        <w:jc w:val="both"/>
      </w:pPr>
      <w:r>
        <w:rPr>
          <w:b w:val="0"/>
        </w:rPr>
        <w:t>9. “Alpha” in this paper means raw excess return over the index. That is not what alpha means in finance. Rename it excess return, or compute a risk-adjusted alpha properly.</w:t>
      </w:r>
    </w:p>
    <w:p>
      <w:pPr>
        <w:spacing w:before="0"/>
        <w:ind w:left="1008" w:hanging="360"/>
        <w:jc w:val="both"/>
      </w:pPr>
      <w:r>
        <w:rPr>
          <w:b w:val="0"/>
        </w:rPr>
        <w:t>•  Renamed throughout to “excess return,” with an explicit note that it is raw excess return over the index, not risk-adjusted alpha.</w:t>
      </w:r>
    </w:p>
    <w:p>
      <w:pPr>
        <w:spacing w:before="160"/>
        <w:ind w:left="504" w:hanging="360"/>
        <w:jc w:val="both"/>
      </w:pPr>
      <w:r>
        <w:rPr>
          <w:b w:val="0"/>
        </w:rPr>
        <w:t>10. Defend “long-term.” Twelve months is medium-term in most of the investing literature, and the title promises long-term stock investments. Define your use of the term early, or soften the title and framing.</w:t>
      </w:r>
    </w:p>
    <w:p>
      <w:pPr>
        <w:spacing w:before="0"/>
        <w:ind w:left="1008" w:hanging="360"/>
        <w:jc w:val="both"/>
      </w:pPr>
      <w:r>
        <w:rPr>
          <w:b w:val="0"/>
        </w:rPr>
        <w:t>•  The Scope section now defines “long-term” as the 12-month buy-and-hold horizon — long relative to the intraday-to-quarterly horizons of the prior LLM-trading literature, though medium-term by traditional investing standards.</w:t>
      </w:r>
    </w:p>
    <w:p>
      <w:pPr>
        <w:spacing w:before="160"/>
        <w:ind w:left="504" w:hanging="360"/>
        <w:jc w:val="both"/>
      </w:pPr>
      <w:r>
        <w:rPr>
          <w:b w:val="0"/>
        </w:rPr>
        <w:t>11. If GPT-5.1 was not available at the time of the earlier simulated windows, then the sentence “under conditions a real investor could reproduce” is too strong. The backtest may still be temporally clean with respect to input data, but the exact model could not have been used by an investor at those earlier decision dates. Rephrase this as a forward-usable protocol rather than a historically available one.</w:t>
      </w:r>
    </w:p>
    <w:p>
      <w:pPr>
        <w:spacing w:before="0"/>
        <w:ind w:left="1008" w:hanging="360"/>
        <w:jc w:val="both"/>
      </w:pPr>
      <w:r>
        <w:rPr>
          <w:b w:val="0"/>
        </w:rPr>
        <w:t>•  Rephrased as a forward-usable protocol, with an explicit note that the specific models were not themselves available at the earliest simulated decision dates.</w:t>
      </w:r>
    </w:p>
    <w:p>
      <w:pPr>
        <w:spacing w:before="160"/>
        <w:ind w:left="504" w:hanging="360"/>
        <w:jc w:val="both"/>
      </w:pPr>
      <w:r>
        <w:rPr>
          <w:b w:val="0"/>
        </w:rPr>
        <w:t>12. Define the sector-contribution metric behind Figure 8. How is “share of total realized ROI” computed, are the weights averaged across runs, and how do negative contributions enter a share that sums to 100%?</w:t>
      </w:r>
    </w:p>
    <w:p>
      <w:pPr>
        <w:spacing w:before="0"/>
        <w:ind w:left="1008" w:hanging="360"/>
        <w:jc w:val="both"/>
      </w:pPr>
      <w:r>
        <w:rPr>
          <w:b w:val="0"/>
        </w:rPr>
        <w:t>•  The metric is now defined: a sector’s share of realized return is the sum over its holdings of each position’s initial weight times its window return, divided by the portfolio’s total return, with both quantities pooled (summed) across runs — equivalently, averaged, since the per-run count cancels.</w:t>
      </w:r>
    </w:p>
    <w:p>
      <w:pPr>
        <w:spacing w:before="0"/>
        <w:ind w:left="1008" w:hanging="360"/>
        <w:jc w:val="both"/>
      </w:pPr>
      <w:r>
        <w:rPr>
          <w:b w:val="0"/>
        </w:rPr>
        <w:t>•  Because contributions can be negative, a sector’s return share can exceed or fall below its weight share, and the shares sum to 100% by construction.</w:t>
      </w:r>
    </w:p>
    <w:p>
      <w:pPr>
        <w:spacing w:before="160"/>
        <w:ind w:left="504" w:hanging="360"/>
        <w:jc w:val="both"/>
      </w:pPr>
      <w:r>
        <w:rPr>
          <w:b w:val="0"/>
        </w:rPr>
        <w:t>13. Keep the Results descriptive. The causal story about oversized pools, and the “Takeaway” sentences inside the captions, belong in the Discussion. Captions should state what a figure shows, not argue the paper’s case.</w:t>
      </w:r>
    </w:p>
    <w:p>
      <w:pPr>
        <w:spacing w:before="0"/>
        <w:ind w:left="1008" w:hanging="360"/>
        <w:jc w:val="both"/>
      </w:pPr>
      <w:r>
        <w:rPr>
          <w:b w:val="0"/>
        </w:rPr>
        <w:t>•  The “Takeaway” sentences have been removed from the figure captions, and the bolded slogans that opened the Results have been folded into ordinary prose. The causal account now sits in the Discussion.</w:t>
      </w:r>
    </w:p>
    <w:p>
      <w:pPr>
        <w:spacing w:before="160"/>
        <w:ind w:left="504" w:hanging="360"/>
        <w:jc w:val="both"/>
      </w:pPr>
      <w:r>
        <w:rPr>
          <w:b w:val="0"/>
        </w:rPr>
        <w:t>14. Add a data and code availability statement. A repository holding the prompts, the window list, and the run outputs would resolve most of the reproducibility gaps in one move.</w:t>
      </w:r>
    </w:p>
    <w:p>
      <w:pPr>
        <w:spacing w:before="0"/>
        <w:ind w:left="1008" w:hanging="360"/>
        <w:jc w:val="both"/>
      </w:pPr>
      <w:r>
        <w:rPr>
          <w:b w:val="0"/>
        </w:rPr>
        <w:t>•  A Data and Code Availability section has been added before the References. The repository is already public, so the reviewer can inspect it during review rather than after acceptance.</w:t>
      </w:r>
    </w:p>
    <w:p>
      <w:pPr>
        <w:spacing w:before="0"/>
        <w:ind w:left="1008" w:hanging="360"/>
        <w:jc w:val="both"/>
      </w:pPr>
      <w:r>
        <w:rPr>
          <w:b w:val="0"/>
        </w:rPr>
        <w:t>•  It states that the following materials are available at https://github.com/JathinBat/LLM-Two-Stage-Portfolio-Filtering: the screening, Stage One, Stage Two, and unfiltered and Ranked baseline prompts; the full evaluation-window list; the per-cell run outputs (tickers, weights, and dates for every run); and the analysis scripts, including the paired-difference tests and the risk-metric and benchmark reconstructions.</w:t>
      </w:r>
    </w:p>
    <w:p>
      <w:pPr>
        <w:spacing w:before="0"/>
        <w:ind w:left="1008" w:hanging="360"/>
        <w:jc w:val="both"/>
      </w:pPr>
      <w:r>
        <w:rPr>
          <w:b w:val="0"/>
        </w:rPr>
        <w:t>•  This directly addresses the reproducibility gaps raised in Must-Fix comments 5 and 8: releasing the prompts, window list, and run outputs lets the pipeline and every reported statistic be reconstructed independently.</w:t>
      </w:r>
    </w:p>
    <w:p>
      <w:pPr>
        <w:spacing w:before="0"/>
        <w:ind w:left="1008" w:hanging="360"/>
        <w:jc w:val="both"/>
      </w:pPr>
      <w:r>
        <w:rPr>
          <w:b w:val="0"/>
        </w:rPr>
        <w:t>•  News content from the New York Times and financial-report content from Alpha Vantage are not redistributed, in keeping with each provider’s terms of use; the retrieval queries and date conventions required to rebuild the corpora are documented in the Methods.</w:t>
      </w:r>
    </w:p>
    <w:p/>
    <w:p>
      <w:pPr>
        <w:spacing w:before="200"/>
      </w:pPr>
      <w:r>
        <w:rPr>
          <w:b/>
        </w:rPr>
        <w:t>Minor Issues:</w:t>
      </w:r>
    </w:p>
    <w:p>
      <w:pPr>
        <w:spacing w:before="160"/>
        <w:ind w:left="504" w:hanging="360"/>
        <w:jc w:val="both"/>
      </w:pPr>
      <w:r>
        <w:rPr>
          <w:b w:val="0"/>
        </w:rPr>
        <w:t>1. Two sentences still carry yellow highlighting left over from editing: “Existing research work has demonstrated the proficiency of LLMs...” and “By leveraging pre-training on large-scale financial datasets...”. Remove the highlights.</w:t>
      </w:r>
    </w:p>
    <w:p>
      <w:pPr>
        <w:spacing w:before="0"/>
        <w:ind w:left="1008" w:hanging="360"/>
        <w:jc w:val="both"/>
      </w:pPr>
      <w:r>
        <w:rPr>
          <w:b w:val="0"/>
        </w:rPr>
        <w:t>•  Removed.</w:t>
      </w:r>
    </w:p>
    <w:p>
      <w:pPr>
        <w:spacing w:before="160"/>
        <w:ind w:left="504" w:hanging="360"/>
        <w:jc w:val="both"/>
      </w:pPr>
      <w:r>
        <w:rPr>
          <w:b w:val="0"/>
        </w:rPr>
        <w:t>2. Stray bold survives mid-sentence in the sentiment section: “enable the development” and “agile.”</w:t>
      </w:r>
    </w:p>
    <w:p>
      <w:pPr>
        <w:spacing w:before="0"/>
        <w:ind w:left="1008" w:hanging="360"/>
        <w:jc w:val="both"/>
      </w:pPr>
      <w:r>
        <w:rPr>
          <w:b w:val="0"/>
        </w:rPr>
        <w:t>•  Removed.</w:t>
      </w:r>
    </w:p>
    <w:p>
      <w:pPr>
        <w:spacing w:before="160"/>
        <w:ind w:left="504" w:hanging="360"/>
        <w:jc w:val="both"/>
      </w:pPr>
      <w:r>
        <w:rPr>
          <w:b w:val="0"/>
        </w:rPr>
        <w:t>3. The style of referencing is not consistent. Citations have mostly been presented using numeric superscripts; however, “Li et al. (2025)” uses author-date referencing, while the FINSABER paragraph lacks a citation number. Please ensure that all in-text citations follow consistent style, use superscript numerical formatting throughout the manuscript.</w:t>
      </w:r>
    </w:p>
    <w:p>
      <w:pPr>
        <w:spacing w:before="0"/>
        <w:ind w:left="1008" w:hanging="360"/>
        <w:jc w:val="both"/>
      </w:pPr>
      <w:r>
        <w:rPr>
          <w:b w:val="0"/>
        </w:rPr>
        <w:t>•  All in-text citations now use numeric superscripts. The author-date instance was removed and the FINSABER paragraph now carries its citation.</w:t>
      </w:r>
    </w:p>
    <w:p>
      <w:pPr>
        <w:spacing w:before="160"/>
        <w:ind w:left="504" w:hanging="360"/>
        <w:jc w:val="both"/>
      </w:pPr>
      <w:r>
        <w:rPr>
          <w:b w:val="0"/>
        </w:rPr>
        <w:t>4. Reference details require cleaning up. Some published papers cite the arXiv DOI when the publication DOI is the one required (references 22, 28, 32, 33, and 42, for example), the DOIs/links in reference 5 are wrong since the paper was actually published in Journal of Financial Data Science, references 12 and 18 lack DOI or links and ensure that the volume and year in reference 22 are correct.</w:t>
      </w:r>
    </w:p>
    <w:p>
      <w:pPr>
        <w:spacing w:before="0"/>
        <w:ind w:left="1008" w:hanging="360"/>
        <w:jc w:val="both"/>
      </w:pPr>
      <w:r>
        <w:rPr>
          <w:b w:val="0"/>
        </w:rPr>
        <w:t>•  The reference list has been cleaned: published venues and DOIs now replace the arXiv preprint DOIs where a formal publication exists (including the journal, IJCAI, ACL, KDD, AAAI, and SIGIR versions), incorrect links have been corrected, and missing DOIs added.</w:t>
      </w:r>
    </w:p>
    <w:p>
      <w:pPr>
        <w:spacing w:before="160"/>
        <w:ind w:left="504" w:hanging="360"/>
        <w:jc w:val="both"/>
      </w:pPr>
      <w:r>
        <w:rPr>
          <w:b w:val="0"/>
        </w:rPr>
        <w:t>5. There is inconsistency with figure captions – “Figure 2 ---” versus “Figure 3 -”, use italics for some figures but not others and a space at the end of Figure 1. Please ensure that all figures and tables are properly labeled, sequentially numbered, referenced within the text, and accompanied by clear and descriptive captions/titles.</w:t>
      </w:r>
    </w:p>
    <w:p>
      <w:pPr>
        <w:spacing w:before="0"/>
        <w:ind w:left="1008" w:hanging="360"/>
        <w:jc w:val="both"/>
      </w:pPr>
      <w:r>
        <w:rPr>
          <w:b w:val="0"/>
        </w:rPr>
        <w:t>•  All figure and table captions have been normalized to a consistent “Figure N.” / “Table N.” style, sequentially numbered and referenced in the text.</w:t>
      </w:r>
    </w:p>
    <w:p>
      <w:pPr>
        <w:spacing w:before="160"/>
        <w:ind w:left="504" w:hanging="360"/>
        <w:jc w:val="both"/>
      </w:pPr>
      <w:r>
        <w:rPr>
          <w:b w:val="0"/>
        </w:rPr>
        <w:t>6. Figure 2 repeats the GPT-5.1 curve that reappears in Figure 7, and Table 1 repeats the win rates plotted in Figure 4. Cut one of each pair, or justify keeping both.</w:t>
      </w:r>
    </w:p>
    <w:p>
      <w:pPr>
        <w:spacing w:before="0"/>
        <w:ind w:left="1008" w:hanging="360"/>
        <w:jc w:val="both"/>
      </w:pPr>
      <w:r>
        <w:rPr>
          <w:b w:val="0"/>
        </w:rPr>
        <w:t>•  The duplicate GPT-5.1 pool-size curve (former Figure 2) has been removed and the remaining figures renumbered.</w:t>
      </w:r>
    </w:p>
    <w:p>
      <w:pPr>
        <w:spacing w:before="0"/>
        <w:ind w:left="1008" w:hanging="360"/>
        <w:jc w:val="both"/>
      </w:pPr>
      <w:r>
        <w:rPr>
          <w:b w:val="0"/>
        </w:rPr>
        <w:t>•  Table 1 is retained because it additionally reports the confidence intervals that the corresponding figure does not.</w:t>
      </w:r>
    </w:p>
    <w:p>
      <w:pPr>
        <w:spacing w:before="160"/>
        <w:ind w:left="504" w:hanging="360"/>
        <w:jc w:val="both"/>
      </w:pPr>
      <w:r>
        <w:rPr>
          <w:b w:val="0"/>
        </w:rPr>
        <w:t>7. Figure 1 never shows where X and Y enter the pipeline, and the unfiltered and Ranked variants are missing from it entirely. Label the diagram with the paper’s own notation.</w:t>
      </w:r>
    </w:p>
    <w:p>
      <w:pPr>
        <w:spacing w:before="0"/>
        <w:ind w:left="1008" w:hanging="360"/>
        <w:jc w:val="both"/>
      </w:pPr>
      <w:r>
        <w:rPr>
          <w:b w:val="0"/>
        </w:rPr>
        <w:t>•  The Figure 1 caption now defines the X→Y notation — Stage One identifies X candidates from news, Stage Two narrows them to the Y-stock portfolio — and identifies the unfiltered single-pass baseline and the Ranked variant.</w:t>
      </w:r>
    </w:p>
    <w:p>
      <w:pPr>
        <w:spacing w:before="160"/>
        <w:ind w:left="504" w:hanging="360"/>
        <w:jc w:val="both"/>
      </w:pPr>
      <w:r>
        <w:rPr>
          <w:b w:val="0"/>
        </w:rPr>
        <w:t>8. The bolded slogans that open the Results (“Structure beats brute force,” “One simple rule captures it”) read like a blog post. Fold their content into ordinary prose.</w:t>
      </w:r>
    </w:p>
    <w:p>
      <w:pPr>
        <w:spacing w:before="0"/>
        <w:ind w:left="1008" w:hanging="360"/>
        <w:jc w:val="both"/>
      </w:pPr>
      <w:r>
        <w:rPr>
          <w:b w:val="0"/>
        </w:rPr>
        <w:t>•  Folded into ordinary prose (see Recommended comment 13).</w:t>
      </w:r>
    </w:p>
    <w:p>
      <w:pPr>
        <w:spacing w:before="160"/>
        <w:ind w:left="504" w:hanging="360"/>
        <w:jc w:val="both"/>
      </w:pPr>
      <w:r>
        <w:rPr>
          <w:b w:val="0"/>
        </w:rPr>
        <w:t>9. The keyword list includes GPT-5.1, which will age fast. Replace it with something durable, such as information structuring or prompt design.</w:t>
      </w:r>
    </w:p>
    <w:p>
      <w:pPr>
        <w:spacing w:before="0"/>
        <w:ind w:left="1008" w:hanging="360"/>
        <w:jc w:val="both"/>
      </w:pPr>
      <w:r>
        <w:rPr>
          <w:b w:val="0"/>
        </w:rPr>
        <w:t>•  Replaced with “information structuring.”</w:t>
      </w:r>
    </w:p>
    <w:p>
      <w:pPr>
        <w:spacing w:before="160"/>
        <w:ind w:left="504" w:hanging="360"/>
        <w:jc w:val="both"/>
      </w:pPr>
      <w:r>
        <w:rPr>
          <w:b w:val="0"/>
        </w:rPr>
        <w:t>10. Many sentences chain three or more clauses with long dashes, especially in the Objectives bullets. Split them; readability suffers.</w:t>
      </w:r>
    </w:p>
    <w:p>
      <w:pPr>
        <w:spacing w:before="0"/>
        <w:ind w:left="1008" w:hanging="360"/>
        <w:jc w:val="both"/>
      </w:pPr>
      <w:r>
        <w:rPr>
          <w:b w:val="0"/>
        </w:rPr>
        <w:t>•  The most dash-heavy sentences, including the Objectives, have been split or de-chained for readability.</w:t>
      </w:r>
    </w:p>
    <w:p>
      <w:pPr>
        <w:spacing w:before="160"/>
        <w:ind w:left="504" w:hanging="360"/>
        <w:jc w:val="both"/>
      </w:pPr>
      <w:r>
        <w:rPr>
          <w:b w:val="0"/>
        </w:rPr>
        <w:t>11. The “Methodology Overview” subsection at the end of the Introduction repeats the opening of the Methods almost point for point. Cut one of the two.</w:t>
      </w:r>
    </w:p>
    <w:p>
      <w:pPr>
        <w:spacing w:before="0"/>
        <w:ind w:left="1008" w:hanging="360"/>
        <w:jc w:val="both"/>
      </w:pPr>
      <w:r>
        <w:rPr>
          <w:b w:val="0"/>
        </w:rPr>
        <w:t>•  The duplicate subsection has been removed.</w:t>
      </w:r>
    </w:p>
    <w:p/>
    <w:p>
      <w:pPr>
        <w:spacing w:before="0"/>
        <w:jc w:val="both"/>
      </w:pPr>
      <w:r>
        <w:rPr>
          <w:b w:val="0"/>
        </w:rPr>
        <w:t>We are grateful for the reviewer’s time and believe the manuscript is substantially improved as a result. We hope the revised version is now suitable for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