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existing systems ingest news and financial reports in a single prompt, an approach that can introduce noise and dilute relevant signals. We develop a two-stage sequential filtering framework in which news articles first nominate a candidate stock pool and financial reports then validate and refine that pool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outperform an equal-weighted portfolio of the eligible universe and random portfolios matched on holding count, whereas the unfiltered baseline does not, indicating selection skill within the sector rather than sector exposure alone. Comparisons against the S&amp;P 500 and sector indices are reported as context; outperformance of the broad index largely reflects the technology-heavy universe. These results indicate that the structural organization of information is a first-class design variable for LLM-based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signals—buy, hold, or sell recommendations—by synthesizing information from news, earnings reports, and regulatory filings</w:t>
      </w:r>
      <w:r>
        <w:rPr>
          <w:vertAlign w:val="superscript"/>
        </w:rPr>
        <w:t>3,4,5</w:t>
      </w:r>
      <w:r>
        <w:t>.</w:t>
      </w:r>
    </w:p>
    <w:p w14:paraId="4E45DE95" w14:textId="77777777" w:rsidR="00557FAC" w:rsidRDefault="00824C87">
      <w:pPr>
        <w:spacing w:before="40" w:after="40"/>
        <w:jc w:val="both"/>
      </w:pPr>
      <w:r>
        <w:t>The bulk of existing LLM-based investment research focuses on short-term trading horizons—high-frequency trading or single-day price prediction</w:t>
      </w:r>
      <w:r>
        <w:rPr>
          <w:vertAlign w:val="superscript"/>
        </w:rPr>
        <w:t>3,4,6</w:t>
      </w:r>
      <w:r>
        <w:t>. A growing subset of work has begun exploring longer horizons</w:t>
      </w:r>
      <w:r>
        <w:rPr>
          <w:vertAlign w:val="superscript"/>
        </w:rPr>
        <w:t>6,7</w:t>
      </w:r>
      <w:r>
        <w:t xml:space="preserve">, but this literature remains limited in scope: most studies do not guard against lookahead bias by restricting the model to information available at the simulated investment date, and </w:t>
      </w:r>
      <w:r>
        <w:t>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rPr>
          <w:vertAlign w:val="superscript"/>
        </w:rPr>
        <w:t>6</w:t>
      </w:r>
      <w:r>
        <w:t>. This gap motivates the present work: we investigate whether a structured LLM pipeline can generate reliable investment strategies over 12-month holding periods under a forward-usable protocol: every decision uses only information available at that decision date, with no look-ahead into future data. The models themselves postdate the earliest simulated decision dates, so it is the protocol, not the specific model, that transfers.</w:t>
      </w:r>
    </w:p>
    <w:p w14:paraId="6978CF78" w14:textId="77777777" w:rsidR="00557FAC" w:rsidRDefault="00824C87">
      <w:pPr>
        <w:spacing w:before="40" w:after="40"/>
        <w:jc w:val="both"/>
      </w:pPr>
      <w:r>
        <w:t>Large language models have emerged as transformative tools in finance. Their capacity for summarization</w:t>
      </w:r>
      <w:r>
        <w:rPr>
          <w:vertAlign w:val="superscript"/>
        </w:rPr>
        <w:t>8</w:t>
      </w:r>
      <w:r>
        <w:t>, information extraction, and natural language generation suits applications such as market trend monitoring, risk factor identification, and investment decision support</w:t>
      </w:r>
      <w:r>
        <w:rPr>
          <w:vertAlign w:val="superscript"/>
        </w:rPr>
        <w:t>1,2</w:t>
      </w:r>
      <w:r>
        <w:t xml:space="preserve">. As LLMs have scaled, their </w:t>
      </w:r>
      <w:r>
        <w:lastRenderedPageBreak/>
        <w:t>ability to process complex, heterogeneous financial datasets has grown substantially</w:t>
      </w:r>
      <w:r>
        <w:rPr>
          <w:vertAlign w:val="superscript"/>
        </w:rPr>
        <w:t>1,9</w:t>
      </w:r>
      <w:r>
        <w:t>, but this capability brings interpretability challenges: model opacity makes it difficult to audit whether outputs reflect genuine financial reasoning or spurious correlations from pre-training</w:t>
      </w:r>
      <w:r>
        <w:rPr>
          <w:vertAlign w:val="superscript"/>
        </w:rPr>
        <w:t>10,11</w:t>
      </w:r>
      <w:r>
        <w:t>. Because undetected biases can propagate into consequential financial decisions</w:t>
      </w:r>
      <w:r>
        <w:rPr>
          <w:vertAlign w:val="superscript"/>
        </w:rPr>
        <w:t>10,12</w:t>
      </w:r>
      <w:r>
        <w:t>, realizing the potential of LLMs in financial analysis depends on clear, principled deployment frameworks</w:t>
      </w:r>
      <w:r>
        <w:rPr>
          <w:vertAlign w:val="superscript"/>
        </w:rPr>
        <w:t>1,13</w:t>
      </w:r>
      <w:r>
        <w:t>.</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Existing research has demonstrated the proficiency of LLMs in synthesizing heterogeneous financial data to extract predictive market signals</w:t>
      </w:r>
      <w:r>
        <w:rPr>
          <w:vertAlign w:val="superscript"/>
        </w:rPr>
        <w:t>3,5,14</w:t>
      </w:r>
      <w:r>
        <w:t>. Studies integrating LLMs with conventional forecasting techniques reported improved predictive accuracy, attributed to the models’ ability to capture nuanced relationships between news sentiment and price movements</w:t>
      </w:r>
      <w:r>
        <w:rPr>
          <w:vertAlign w:val="superscript"/>
        </w:rPr>
        <w:t>3,14,15</w:t>
      </w:r>
      <w:r>
        <w:t>. A complementary line of work combines document embeddings with LLM-generated representations to construct richer proxies for investor sentiment and macroeconomic conditions</w:t>
      </w:r>
      <w:r>
        <w:rPr>
          <w:vertAlign w:val="superscript"/>
        </w:rPr>
        <w:t>14,16</w:t>
      </w:r>
      <w:r>
        <w:t>. By automating the extraction of financially relevant signals from unstructured text, LLMs reduce the manual overhead of information processing and enable more scalable financial modeling pipelines</w:t>
      </w:r>
      <w:r>
        <w:rPr>
          <w:vertAlign w:val="superscript"/>
        </w:rPr>
        <w:t>14,16</w:t>
      </w:r>
      <w:r>
        <w:t>.</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rPr>
          <w:vertAlign w:val="superscript"/>
        </w:rPr>
        <w:t>4,17,18,19</w:t>
      </w:r>
      <w:r>
        <w:t>. Such systems incorporate layered memory architectures and role-differentiated agent designs, enabling individual agents to retain relevant historical context and adapt their behavior as market conditions evolve</w:t>
      </w:r>
      <w:r>
        <w:rPr>
          <w:vertAlign w:val="superscript"/>
        </w:rPr>
        <w:t>20,21</w:t>
      </w:r>
      <w:r>
        <w:t>. Empirical evidence indicates that multi-agent configurations frequently outperform single-agent baselines, as the diversity of strategies across agents reduces overfitting observed in isolated backtests</w:t>
      </w:r>
      <w:r>
        <w:rPr>
          <w:vertAlign w:val="superscript"/>
        </w:rPr>
        <w:t>18,22</w:t>
      </w:r>
      <w:r>
        <w:t xml:space="preserve">. Within these architectures, individual agents are assigned </w:t>
      </w:r>
      <w:r>
        <w:t>distinct functions—portfolio allocation, risk assessment, and real-time monitoring—enabling a modular division of responsibilities that exploits the natural language flexibility of LLMs</w:t>
      </w:r>
      <w:r>
        <w:rPr>
          <w:vertAlign w:val="superscript"/>
        </w:rPr>
        <w:t>4,17,23</w:t>
      </w:r>
      <w:r>
        <w:t>. Representative frameworks such as 3S-Trader</w:t>
      </w:r>
      <w:r>
        <w:rPr>
          <w:vertAlign w:val="superscript"/>
        </w:rPr>
        <w:t>24</w:t>
      </w:r>
      <w:r>
        <w:t>, AlphaAgents</w:t>
      </w:r>
      <w:r>
        <w:rPr>
          <w:vertAlign w:val="superscript"/>
        </w:rPr>
        <w:t>25</w:t>
      </w:r>
      <w:r>
        <w:t>, FinRobot</w:t>
      </w:r>
      <w:r>
        <w:rPr>
          <w:vertAlign w:val="superscript"/>
        </w:rPr>
        <w:t>26</w:t>
      </w:r>
      <w:r>
        <w:t>, and tool-augmented multimodal foundation agents</w:t>
      </w:r>
      <w:r>
        <w:rPr>
          <w:vertAlign w:val="superscript"/>
        </w:rPr>
        <w:t>27</w:t>
      </w:r>
      <w:r>
        <w:t xml:space="preserve">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have proven adept at inferring investor sentiment and forecasting market movements by analyzing news articles and social media data</w:t>
      </w:r>
      <w:r>
        <w:rPr>
          <w:vertAlign w:val="superscript"/>
        </w:rPr>
        <w:t>3,14,28</w:t>
      </w:r>
      <w:r>
        <w:rPr>
          <w:bCs/>
        </w:rPr>
        <w:t>. By leveraging pre-training on large-scale financial datasets, LLMs can discern specialized terminology and complex rhetorical structures, providing an effective framework for mapping textual information to market price movements</w:t>
      </w:r>
      <w:r>
        <w:rPr>
          <w:vertAlign w:val="superscript"/>
        </w:rPr>
        <w:t>3,29</w:t>
      </w:r>
      <w:r>
        <w:rPr>
          <w:bCs/>
        </w:rPr>
        <w:t>. Sentiment-augmented models have also been reported to identify early indicators of trend reversals</w:t>
      </w:r>
      <w:r>
        <w:rPr>
          <w:vertAlign w:val="superscript"/>
        </w:rPr>
        <w:t>3,28</w:t>
      </w:r>
      <w:r>
        <w:rPr>
          <w:bCs/>
        </w:rPr>
        <w:t>. By processing vast quantities of unstructured data at scale, LLMs enable the development of more agile, information-rich trading strategies that respond to market shifts in real time</w:t>
      </w:r>
      <w:r>
        <w:rPr>
          <w:vertAlign w:val="superscript"/>
        </w:rPr>
        <w:t>1,23</w:t>
      </w:r>
      <w:r>
        <w:rPr>
          <w:bCs/>
        </w:rPr>
        <w:t>. This body of research extends foundational work by demonstrating that media-derived content yields quantifiable sentiment signals that have a direct and measurable impact on equity prices</w:t>
      </w:r>
      <w:r>
        <w:rPr>
          <w:vertAlign w:val="superscript"/>
        </w:rPr>
        <w:t>3,28</w:t>
      </w:r>
      <w:r>
        <w:rPr>
          <w:bCs/>
        </w:rPr>
        <w:t>.</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w:t>
      </w:r>
      <w:r>
        <w:rPr>
          <w:vertAlign w:val="superscript"/>
        </w:rPr>
        <w:t>29,31,32</w:t>
      </w:r>
      <w:r>
        <w:t>. Standardized datasets enable rigorous comparison across models and multi-agent systems on textual comprehension, sentiment extraction, and portfolio optimization</w:t>
      </w:r>
      <w:r>
        <w:rPr>
          <w:vertAlign w:val="superscript"/>
        </w:rPr>
        <w:t>29,32</w:t>
      </w:r>
      <w:r>
        <w:t>. A consistent finding is that accuracy alone is insufficient — models must perform reliably under live-market pressures</w:t>
      </w:r>
      <w:r>
        <w:rPr>
          <w:vertAlign w:val="superscript"/>
        </w:rPr>
        <w:t>6,19,32</w:t>
      </w:r>
      <w:r>
        <w:t xml:space="preserve"> — so continued benchmark development is essential to ensure reported advances are genuine rather than artifacts of favorable evaluation conditions</w:t>
      </w:r>
      <w:r>
        <w:rPr>
          <w:vertAlign w:val="superscript"/>
        </w:rPr>
        <w:t>3,6,32</w:t>
      </w:r>
      <w:r>
        <w:t>.</w:t>
      </w:r>
    </w:p>
    <w:p w14:paraId="16EF4F29" w14:textId="77777777" w:rsidR="00557FAC" w:rsidRDefault="00824C87">
      <w:pPr>
        <w:spacing w:before="40" w:after="40"/>
        <w:jc w:val="both"/>
      </w:pPr>
      <w:r>
        <w:t>A critical concern in this literature is evaluation bias. A rigorous testing framework, FINSABER</w:t>
      </w:r>
      <w:r>
        <w:rPr>
          <w:vertAlign w:val="superscript"/>
        </w:rPr>
        <w:t>6</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popular LLM strategies were re-tested over 20 years across a wider range of stocks, the strategies’ apparent advantages either disappeared or appeared much weaker. That work also found that LLM strategies often performed poorly in different market conditions — too cautious during bull markets and overly aggressive during bear markets. Those findings motivate the evaluation design used here: long horizons, matched comparisons, and explicit controls for the three biases named above.</w:t>
      </w:r>
    </w:p>
    <w:p w14:paraId="75BC9FBF" w14:textId="77777777" w:rsidR="00557FAC" w:rsidRDefault="00824C87">
      <w:pPr>
        <w:spacing w:before="40" w:after="40"/>
        <w:jc w:val="both"/>
      </w:pPr>
      <w:r>
        <w:t xml:space="preserve">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w:t>
      </w:r>
      <w:r>
        <w:t>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w:t>
      </w:r>
      <w:r>
        <w:rPr>
          <w:vertAlign w:val="superscript"/>
        </w:rPr>
        <w:t>12</w:t>
      </w:r>
      <w:r>
        <w:t>.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p>
    <w:p w14:paraId="0626F88F" w14:textId="77777777" w:rsidR="00557FAC" w:rsidRDefault="00824C87">
      <w:pPr>
        <w:spacing w:before="40" w:after="40"/>
        <w:jc w:val="both"/>
      </w:pPr>
      <w:r>
        <w:t>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 rather than simultaneous ingestion, constitutes the central methodological contribution of this work.</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comparisons with the S&amp;P 500 are reported as sector-relative context.</w:t>
      </w:r>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 xml:space="preserve">The framework consists of four primary phases. First, historical news articles are collected from a fixed pre-analysis window. </w:t>
      </w:r>
      <w:r>
        <w:t>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By separating qualitative reasoning (interpreting news narratives and financial-report language) 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rPr>
          <w:vertAlign w:val="superscript"/>
        </w:rPr>
        <w:t>12</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 A component ablation points the same way, though not all of it reaches significance: holding the documents fixed, a single-pass prompt with the same or more material does not outperform the staged pipeline, and shuffling the financial reports degrades it most — the one difference in the ablation that is unambiguous — indicating that the report-validation stage in particular carries signal.</w:t>
      </w:r>
    </w:p>
    <w:p w14:paraId="5779821B" w14:textId="77777777" w:rsidR="00557FAC" w:rsidRDefault="00824C87">
      <w:pPr>
        <w:spacing w:before="40" w:after="40"/>
        <w:jc w:val="both"/>
      </w:pPr>
      <w:r>
        <w:t xml:space="preserve">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roughly half; the weaker models tested peaked at smaller pools, suggesting that the optimal request scales with model capability. </w:t>
      </w:r>
      <w:r>
        <w:t>The reduction ratio matters mainly through how aggressively it cuts a given pool, and the final portfolio size can then be chosen to match an investor’s diversification preference without sacrificing the structural advantage. We present this padding account as a hypothesis consistent with the observed pattern rather than a directly measured mechanism; a candidate-overlap and Stage-One-rank-versus-realized-return analysis to test it directly is left to future work.</w:t>
      </w:r>
    </w:p>
    <w:p w14:paraId="6B81293C" w14:textId="77777777" w:rsidR="00557FAC" w:rsidRDefault="00824C87">
      <w:pPr>
        <w:spacing w:before="40" w:after="40"/>
        <w:jc w:val="both"/>
      </w:pPr>
      <w:r>
        <w:t>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the matched-baseline win rate and its exact confidence interval, which do not depend on selecting the top configuration after the fact, are the more conservative summary. Finally, the financial-report source does not flag </w:t>
      </w:r>
      <w:r>
        <w:lastRenderedPageBreak/>
        <w:t>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