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4B503" w14:textId="77777777" w:rsidR="00557FAC" w:rsidRDefault="00824C87">
      <w:pPr>
        <w:pStyle w:val="Title"/>
        <w:spacing w:after="120"/>
        <w:jc w:val="center"/>
        <w:rPr>
          <w:b/>
          <w:bCs/>
          <w:color w:val="auto"/>
          <w:sz w:val="40"/>
          <w:szCs w:val="40"/>
        </w:rPr>
      </w:pPr>
      <w:r>
        <w:rPr>
          <w:b/>
          <w:bCs/>
          <w:color w:val="auto"/>
          <w:sz w:val="32"/>
          <w:szCs w:val="32"/>
        </w:rPr>
        <w:t>Improving the Performance of Long-Term Stock Investments with a Two-Stage LLM Filtering Framework</w:t>
      </w:r>
    </w:p>
    <w:p w14:paraId="0B612DA1" w14:textId="77777777" w:rsidR="00557FAC" w:rsidRDefault="00824C87">
      <w:pPr>
        <w:pStyle w:val="Heading1"/>
        <w:keepNext/>
        <w:keepLines/>
      </w:pPr>
      <w:r>
        <w:t>Abstract</w:t>
      </w:r>
    </w:p>
    <w:p w14:paraId="2A201E94" w14:textId="77777777" w:rsidR="00557FAC" w:rsidRDefault="00824C87">
      <w:pPr>
        <w:spacing w:before="40" w:after="40"/>
        <w:jc w:val="both"/>
        <w:sectPr w:rsidR="00557FAC">
          <w:footerReference w:type="default" r:id="rId7"/>
          <w:headerReference w:type="first" r:id="rId8"/>
          <w:footerReference w:type="first" r:id="rId9"/>
          <w:pgSz w:w="12240" w:h="15840"/>
          <w:pgMar w:top="1080" w:right="1080" w:bottom="1080" w:left="1080" w:header="708" w:footer="708" w:gutter="0"/>
          <w:pgNumType w:start="1"/>
          <w:cols w:space="720"/>
        </w:sectPr>
      </w:pPr>
      <w:r>
        <w:t>Large language models (LLMs) are increasingly applied to investment strategy, but most ingest news and financial reports in a single prompt, which can dilute relevant signals. We develop a two-stage filtering framework in which news nominates a candidate stock pool and financial reports refine it into a final portfolio. Across 2,759 matched portfolio runs spanning three OpenAI models, ten filtering configurations, and rolling 12-month evaluation windows, moderate two-stage filtering consistently outperforms an unfiltered single-pass baseline given the same information. For the strongest model, GPT-5.1, the best configuration (twenty candidates narrowed to ten) raised mean ROI from 45.7% to 60.6% without a commensurate increase in risk — annualized volatility 28.1% against 27.8% and maximum drawdown −23.2% against −22.4%, lifting the median Sharpe ratio from 1.34 to 1.70 — and beat the matched baseline in 22 of 27 window comparisons (81.5%; exact 95% CI [61.9, 93.7]). The effect is driven primarily by the size of the initial candidate pool: moderate pools of ten to twenty candidates outperform, while oversized pools degrade performance below the baseline. Filtered portfolios also beat an equal-weighted portfolio of the eligible universe and random portfolios matched on holding count, whereas the unfiltered baseline does not, indicating selection skill rather than sector exposure alone. Comparisons with the S&amp;P 500 and sector indices are context only. The framework beats the broad index mainly because its universe is technology-heavy. These results indicate that the structural organization of information is a first-class design variable for LLM investment systems.</w:t>
      </w:r>
    </w:p>
    <w:p w14:paraId="2D41EA3C" w14:textId="77777777" w:rsidR="00557FAC" w:rsidRDefault="00824C87">
      <w:pPr>
        <w:spacing w:before="40" w:after="40"/>
        <w:jc w:val="both"/>
      </w:pPr>
      <w:r>
        <w:t>Keywords: large language models, investment strategy, two-stage filtering, portfolio construction, financial news analysis, information structuring</w:t>
      </w:r>
    </w:p>
    <w:p w14:paraId="54C3CACD" w14:textId="77777777" w:rsidR="00557FAC" w:rsidRDefault="00557FAC">
      <w:pPr>
        <w:sectPr w:rsidR="00557FAC">
          <w:type w:val="continuous"/>
          <w:pgSz w:w="12240" w:h="15840"/>
          <w:pgMar w:top="1080" w:right="1080" w:bottom="1080" w:left="1080" w:header="708" w:footer="708" w:gutter="0"/>
          <w:cols w:space="720"/>
        </w:sectPr>
      </w:pPr>
    </w:p>
    <w:p w14:paraId="7647ED7D" w14:textId="77777777" w:rsidR="00557FAC" w:rsidRDefault="00824C87">
      <w:pPr>
        <w:pStyle w:val="Heading1"/>
        <w:keepNext/>
        <w:keepLines/>
      </w:pPr>
      <w:r>
        <w:t>Introduction</w:t>
      </w:r>
    </w:p>
    <w:p w14:paraId="406EDE81" w14:textId="77777777" w:rsidR="00557FAC" w:rsidRDefault="00824C87">
      <w:pPr>
        <w:pStyle w:val="Heading2"/>
        <w:keepNext/>
        <w:keepLines/>
      </w:pPr>
      <w:r>
        <w:t>Background and Context</w:t>
      </w:r>
    </w:p>
    <w:p w14:paraId="785ACBB5" w14:textId="77777777" w:rsidR="00557FAC" w:rsidRDefault="00824C87">
      <w:pPr>
        <w:spacing w:before="40" w:after="40"/>
        <w:jc w:val="both"/>
      </w:pPr>
      <w:r>
        <w:t>Robust financial analysis requires integrating qualitative sentiment—extracted from earnings reports and news sources—with quantitative metrics such as historical price, volume, and risk profiles</w:t>
      </w:r>
      <w:r>
        <w:rPr>
          <w:vertAlign w:val="superscript"/>
        </w:rPr>
        <w:t>1,2</w:t>
      </w:r>
      <w:r>
        <w:t>. Capitalizing on their natural language understanding capabilities, LLMs are increasingly applied to financial markets to generate directional signals—buy, hold, or sell recommendations—by synthesizing information from news, earnings reports, and regulatory filings</w:t>
      </w:r>
      <w:r>
        <w:rPr>
          <w:vertAlign w:val="superscript"/>
        </w:rPr>
        <w:t>3,4,5</w:t>
      </w:r>
      <w:r>
        <w:t>.</w:t>
      </w:r>
    </w:p>
    <w:p w14:paraId="4E45DE95" w14:textId="77777777" w:rsidR="00557FAC" w:rsidRDefault="00824C87">
      <w:pPr>
        <w:spacing w:before="40" w:after="40"/>
        <w:jc w:val="both"/>
      </w:pPr>
      <w:r>
        <w:rPr/>
        <w:t xml:space="preserve">Most LLM-based investment research targets short-term horizons—high-frequency trading or single-day price prediction</w:t>
      </w:r>
      <w:r>
        <w:rPr>
          <w:vertAlign w:val="superscript"/>
        </w:rPr>
        <w:t xml:space="preserve">3,4,6</w:t>
      </w:r>
      <w:r>
        <w:rPr/>
        <w:t xml:space="preserve">. A growing subset explores longer horizons</w:t>
      </w:r>
      <w:r>
        <w:rPr>
          <w:vertAlign w:val="superscript"/>
        </w:rPr>
        <w:t xml:space="preserve">6,7</w:t>
      </w:r>
      <w:r>
        <w:rPr/>
        <w:t xml:space="preserve">, but few studies guard against lookahead bias by restricting the model to information available at the simulated decision date, and few target holding periods beyond one quarter</w:t>
      </w:r>
      <w:r>
        <w:rPr>
          <w:vertAlign w:val="superscript"/>
        </w:rPr>
        <w:t xml:space="preserve">6</w:t>
      </w:r>
      <w:r>
        <w:rPr/>
        <w:t xml:space="preserve">. This gap motivates the present work: whether a structured LLM pipeline can generate reliable strategies over 12-month holding periods under a forward-usable protocol in which every decision uses only information available at that date. The models themselves postdate the earliest simulated decision dates, so it is the protocol, not the specific model, that transfers.</w:t>
      </w:r>
    </w:p>
    <w:p w14:paraId="6978CF78" w14:textId="77777777" w:rsidR="00557FAC" w:rsidRDefault="00824C87">
      <w:pPr>
        <w:spacing w:before="40" w:after="40"/>
        <w:jc w:val="both"/>
      </w:pPr>
      <w:r>
        <w:rPr/>
        <w:t xml:space="preserve">LLM capacity for summarization</w:t>
      </w:r>
      <w:r>
        <w:rPr>
          <w:vertAlign w:val="superscript"/>
        </w:rPr>
        <w:t xml:space="preserve">8</w:t>
      </w:r>
      <w:r>
        <w:rPr/>
        <w:t xml:space="preserve">, information extraction, and generation suits market trend monitoring, risk factor identification, and investment decision support</w:t>
      </w:r>
      <w:r>
        <w:rPr>
          <w:vertAlign w:val="superscript"/>
        </w:rPr>
        <w:t xml:space="preserve">1,2</w:t>
      </w:r>
      <w:r>
        <w:rPr/>
        <w:t xml:space="preserve">. As these models have scaled, their ability to process heterogeneous financial data has grown</w:t>
      </w:r>
      <w:r>
        <w:rPr>
          <w:vertAlign w:val="superscript"/>
        </w:rPr>
        <w:t xml:space="preserve">1,9</w:t>
      </w:r>
      <w:r>
        <w:rPr/>
        <w:t xml:space="preserve">, but opacity makes it hard to audit whether outputs reflect genuine reasoning or spurious pre-training correlations</w:t>
      </w:r>
      <w:r>
        <w:rPr>
          <w:vertAlign w:val="superscript"/>
        </w:rPr>
        <w:t xml:space="preserve">10,11</w:t>
      </w:r>
      <w:r>
        <w:rPr/>
        <w:t xml:space="preserve">. Because undetected biases propagate into consequential decisions</w:t>
      </w:r>
      <w:r>
        <w:rPr>
          <w:vertAlign w:val="superscript"/>
        </w:rPr>
        <w:t xml:space="preserve">10,12</w:t>
      </w:r>
      <w:r>
        <w:rPr/>
        <w:t xml:space="preserve">, principled deployment frameworks matter</w:t>
      </w:r>
      <w:r>
        <w:rPr>
          <w:vertAlign w:val="superscript"/>
        </w:rPr>
        <w:t xml:space="preserve">1,13</w:t>
      </w:r>
      <w:r>
        <w:rPr/>
        <w:t xml:space="preserve">.</w:t>
      </w:r>
    </w:p>
    <w:p w14:paraId="5ABC2A86" w14:textId="77777777" w:rsidR="00557FAC" w:rsidRDefault="00824C87">
      <w:pPr>
        <w:pStyle w:val="Heading3"/>
        <w:keepNext/>
        <w:keepLines/>
        <w:spacing w:before="140" w:after="50"/>
      </w:pPr>
      <w:r>
        <w:t>Large Language Models in Financial Forecasting</w:t>
      </w:r>
    </w:p>
    <w:p w14:paraId="7FB84126" w14:textId="77777777" w:rsidR="00557FAC" w:rsidRDefault="00824C87">
      <w:pPr>
        <w:spacing w:before="40" w:after="40"/>
        <w:jc w:val="both"/>
      </w:pPr>
      <w:r>
        <w:rPr/>
        <w:t xml:space="preserve">LLMs synthesize heterogeneous financial data to extract predictive market signals</w:t>
      </w:r>
      <w:r>
        <w:rPr>
          <w:vertAlign w:val="superscript"/>
        </w:rPr>
        <w:t xml:space="preserve">3,5,14</w:t>
      </w:r>
      <w:r>
        <w:rPr/>
        <w:t xml:space="preserve">. Integrating them with conventional forecasting improved predictive accuracy, attributed to capturing relationships between news sentiment and price movements</w:t>
      </w:r>
      <w:r>
        <w:rPr>
          <w:vertAlign w:val="superscript"/>
        </w:rPr>
        <w:t xml:space="preserve">3,14,15</w:t>
      </w:r>
      <w:r>
        <w:rPr/>
        <w:t xml:space="preserve">. A complementary line combines document embeddings with LLM-generated representations to proxy investor sentiment and macroeconomic conditions</w:t>
      </w:r>
      <w:r>
        <w:rPr>
          <w:vertAlign w:val="superscript"/>
        </w:rPr>
        <w:t xml:space="preserve">14,16</w:t>
      </w:r>
      <w:r>
        <w:rPr/>
        <w:t xml:space="preserve">, reducing manual overhead and enabling more scalable modeling pipelines</w:t>
      </w:r>
      <w:r>
        <w:rPr>
          <w:vertAlign w:val="superscript"/>
        </w:rPr>
        <w:t xml:space="preserve">14,16</w:t>
      </w:r>
      <w:r>
        <w:rPr/>
        <w:t xml:space="preserve">.</w:t>
      </w:r>
    </w:p>
    <w:p w14:paraId="5AA85347" w14:textId="77777777" w:rsidR="00557FAC" w:rsidRDefault="00824C87">
      <w:pPr>
        <w:pStyle w:val="Heading3"/>
        <w:keepNext/>
        <w:keepLines/>
        <w:spacing w:before="140" w:after="50"/>
      </w:pPr>
      <w:r>
        <w:t>Multi-Agent LLM Systems for Trading</w:t>
      </w:r>
    </w:p>
    <w:p w14:paraId="068FAA08" w14:textId="77777777" w:rsidR="00557FAC" w:rsidRDefault="00824C87">
      <w:pPr>
        <w:spacing w:before="40" w:after="40"/>
        <w:jc w:val="both"/>
      </w:pPr>
      <w:r>
        <w:rPr/>
        <w:t xml:space="preserve">Beyond single-model deployments, LLMs are increasingly employed as components of multi-agent trading systems, in which specialized agents interact to simulate market dynamics and refine portfolio strategies</w:t>
      </w:r>
      <w:r>
        <w:rPr>
          <w:vertAlign w:val="superscript"/>
        </w:rPr>
        <w:t xml:space="preserve">4,17,18,19</w:t>
      </w:r>
      <w:r>
        <w:rPr/>
        <w:t xml:space="preserve">. Layered memory and role-differentiated designs let agents retain historical context and adapt as conditions evolve</w:t>
      </w:r>
      <w:r>
        <w:rPr>
          <w:vertAlign w:val="superscript"/>
        </w:rPr>
        <w:t xml:space="preserve">20,21</w:t>
      </w:r>
      <w:r>
        <w:rPr/>
        <w:t xml:space="preserve">, and multi-agent configurations frequently outperform single-agent baselines because strategy diversity reduces the overfitting seen in isolated backtests</w:t>
      </w:r>
      <w:r>
        <w:rPr>
          <w:vertAlign w:val="superscript"/>
        </w:rPr>
        <w:t xml:space="preserve">18,22</w:t>
      </w:r>
      <w:r>
        <w:rPr/>
        <w:t xml:space="preserve">. Agents are typically assigned distinct functions—allocation, risk assessment, monitoring</w:t>
      </w:r>
      <w:r>
        <w:rPr>
          <w:vertAlign w:val="superscript"/>
        </w:rPr>
        <w:t xml:space="preserve">4,17,23</w:t>
      </w:r>
      <w:r>
        <w:rPr/>
        <w:t xml:space="preserve">. Representative frameworks such as 3S-Trader</w:t>
      </w:r>
      <w:r>
        <w:rPr>
          <w:vertAlign w:val="superscript"/>
        </w:rPr>
        <w:t xml:space="preserve">24</w:t>
      </w:r>
      <w:r>
        <w:rPr/>
        <w:t xml:space="preserve">, AlphaAgents</w:t>
      </w:r>
      <w:r>
        <w:rPr>
          <w:vertAlign w:val="superscript"/>
        </w:rPr>
        <w:t xml:space="preserve">25</w:t>
      </w:r>
      <w:r>
        <w:rPr/>
        <w:t xml:space="preserve">, FinRobot</w:t>
      </w:r>
      <w:r>
        <w:rPr>
          <w:vertAlign w:val="superscript"/>
        </w:rPr>
        <w:t xml:space="preserve">26</w:t>
      </w:r>
      <w:r>
        <w:rPr/>
        <w:t xml:space="preserve">, and tool-augmented multimodal foundation agents</w:t>
      </w:r>
      <w:r>
        <w:rPr>
          <w:vertAlign w:val="superscript"/>
        </w:rPr>
        <w:t xml:space="preserve">27</w:t>
      </w:r>
      <w:r>
        <w:rPr/>
        <w:t xml:space="preserve"> coordinate multiple LLMs to score candidate stocks, construct a portfolio, and iteratively refine strategies from historical performance, though at the cost of considerable system complexity.</w:t>
      </w:r>
    </w:p>
    <w:p w14:paraId="507AA336" w14:textId="77777777" w:rsidR="00557FAC" w:rsidRDefault="00824C87">
      <w:pPr>
        <w:pStyle w:val="Heading3"/>
        <w:keepNext/>
        <w:keepLines/>
        <w:spacing w:before="140" w:after="50"/>
      </w:pPr>
      <w:r>
        <w:t>Sentiment Analysis and Market Dynamics</w:t>
      </w:r>
    </w:p>
    <w:p w14:paraId="0BD43233" w14:textId="77777777" w:rsidR="00557FAC" w:rsidRDefault="00824C87">
      <w:pPr>
        <w:spacing w:before="40" w:after="40"/>
        <w:jc w:val="both"/>
      </w:pPr>
      <w:r>
        <w:rPr>
          <w:bCs/>
        </w:rPr>
        <w:t xml:space="preserve">LLMs infer investor sentiment and forecast market movements from news and social media</w:t>
      </w:r>
      <w:r>
        <w:rPr>
          <w:bCs/>
          <w:vertAlign w:val="superscript"/>
        </w:rPr>
        <w:t xml:space="preserve">3,14,28</w:t>
      </w:r>
      <w:r>
        <w:rPr>
          <w:bCs/>
        </w:rPr>
        <w:t xml:space="preserve">. Pre-training on large financial corpora lets them parse specialized terminology and rhetorical structure, mapping text to price movements</w:t>
      </w:r>
      <w:r>
        <w:rPr>
          <w:bCs/>
          <w:vertAlign w:val="superscript"/>
        </w:rPr>
        <w:t xml:space="preserve">3,29</w:t>
      </w:r>
      <w:r>
        <w:rPr>
          <w:bCs/>
        </w:rPr>
        <w:t xml:space="preserve">, and sentiment-augmented models have been reported to identify early trend reversals</w:t>
      </w:r>
      <w:r>
        <w:rPr>
          <w:bCs/>
          <w:vertAlign w:val="superscript"/>
        </w:rPr>
        <w:t xml:space="preserve">3,28</w:t>
      </w:r>
      <w:r>
        <w:rPr>
          <w:bCs/>
        </w:rPr>
        <w:t xml:space="preserve">. Processing unstructured data at scale enables more agile, information-rich strategies</w:t>
      </w:r>
      <w:r>
        <w:rPr>
          <w:bCs/>
          <w:vertAlign w:val="superscript"/>
        </w:rPr>
        <w:t xml:space="preserve">1,23</w:t>
      </w:r>
      <w:r>
        <w:rPr>
          <w:bCs/>
        </w:rPr>
        <w:t xml:space="preserve">, extending foundational work showing that media-derived content yields quantifiable sentiment signals with measurable impact on equity prices</w:t>
      </w:r>
      <w:r>
        <w:rPr>
          <w:bCs/>
          <w:vertAlign w:val="superscript"/>
        </w:rPr>
        <w:t xml:space="preserve">3,28</w:t>
      </w:r>
      <w:r>
        <w:rPr>
          <w:bCs/>
        </w:rPr>
        <w:t xml:space="preserve">.</w:t>
      </w:r>
    </w:p>
    <w:p w14:paraId="6696915D" w14:textId="77777777" w:rsidR="00557FAC" w:rsidRDefault="00824C87">
      <w:pPr>
        <w:pStyle w:val="Heading3"/>
        <w:keepNext/>
        <w:keepLines/>
        <w:spacing w:before="140" w:after="50"/>
      </w:pPr>
      <w:r>
        <w:t>Self-Improving and Feedback-Driven Financial LLMs</w:t>
      </w:r>
    </w:p>
    <w:p w14:paraId="39537786" w14:textId="77777777" w:rsidR="00557FAC" w:rsidRDefault="00824C87">
      <w:pPr>
        <w:spacing w:before="40" w:after="40"/>
        <w:jc w:val="both"/>
      </w:pPr>
      <w:r>
        <w:t>Beyond static single-pass designs, self-improving and feedback-driven agent systems have produced further gains in automated trading</w:t>
      </w:r>
      <w:r>
        <w:rPr>
          <w:vertAlign w:val="superscript"/>
        </w:rPr>
        <w:t>21,30</w:t>
      </w:r>
      <w:r>
        <w:t>. Such systems refine their strategies iteratively through feedback from simulated markets or accumulated trading knowledge</w:t>
      </w:r>
      <w:r>
        <w:rPr>
          <w:vertAlign w:val="superscript"/>
        </w:rPr>
        <w:t>19,30</w:t>
      </w:r>
      <w:r>
        <w:t>, and framing portfolio management as a sequential decision problem provides a principled balance between exploring new strategies and exploiting established ones</w:t>
      </w:r>
      <w:r>
        <w:rPr>
          <w:vertAlign w:val="superscript"/>
        </w:rPr>
        <w:t>30</w:t>
      </w:r>
      <w:r>
        <w:t>. This adaptability suits non-stationary market regimes</w:t>
      </w:r>
      <w:r>
        <w:rPr>
          <w:vertAlign w:val="superscript"/>
        </w:rPr>
        <w:t>4,21</w:t>
      </w:r>
      <w:r>
        <w:t>.</w:t>
      </w:r>
    </w:p>
    <w:p w14:paraId="521D283F" w14:textId="77777777" w:rsidR="00557FAC" w:rsidRDefault="00824C87">
      <w:pPr>
        <w:pStyle w:val="Heading3"/>
        <w:keepNext/>
        <w:keepLines/>
        <w:spacing w:before="140" w:after="50"/>
      </w:pPr>
      <w:r>
        <w:lastRenderedPageBreak/>
        <w:t>Benchmarks, Evaluation, and Bias</w:t>
      </w:r>
    </w:p>
    <w:p w14:paraId="439DC730" w14:textId="77777777" w:rsidR="00557FAC" w:rsidRDefault="00824C87">
      <w:pPr>
        <w:spacing w:before="40" w:after="40"/>
        <w:jc w:val="both"/>
      </w:pPr>
      <w:r>
        <w:rPr/>
        <w:t xml:space="preserve">Systematic benchmarking provides a principled basis for evaluating financial LLMs</w:t>
      </w:r>
      <w:r>
        <w:rPr>
          <w:vertAlign w:val="superscript"/>
        </w:rPr>
        <w:t xml:space="preserve">29,31,32</w:t>
      </w:r>
      <w:r>
        <w:rPr/>
        <w:t xml:space="preserve">. Standardized datasets enable comparison across models on textual comprehension, sentiment extraction, and portfolio optimization</w:t>
      </w:r>
      <w:r>
        <w:rPr>
          <w:vertAlign w:val="superscript"/>
        </w:rPr>
        <w:t xml:space="preserve">29,32</w:t>
      </w:r>
      <w:r>
        <w:rPr/>
        <w:t xml:space="preserve">. Accuracy alone is insufficient — models must perform under live-market pressures</w:t>
      </w:r>
      <w:r>
        <w:rPr>
          <w:vertAlign w:val="superscript"/>
        </w:rPr>
        <w:t xml:space="preserve">6,19,32</w:t>
      </w:r>
      <w:r>
        <w:rPr/>
        <w:t xml:space="preserve"> — so benchmark development remains essential to separate genuine advances from artifacts of favorable evaluation conditions</w:t>
      </w:r>
      <w:r>
        <w:rPr>
          <w:vertAlign w:val="superscript"/>
        </w:rPr>
        <w:t xml:space="preserve">3,6,32</w:t>
      </w:r>
      <w:r>
        <w:rPr/>
        <w:t xml:space="preserve">.</w:t>
      </w:r>
    </w:p>
    <w:p w14:paraId="16EF4F29" w14:textId="77777777" w:rsidR="00557FAC" w:rsidRDefault="00824C87">
      <w:pPr>
        <w:spacing w:before="40" w:after="40"/>
        <w:jc w:val="both"/>
      </w:pPr>
      <w:r>
        <w:rPr/>
        <w:t xml:space="preserve">A critical concern in this literature is evaluation bias. A rigorous testing framework, FINSABER</w:t>
      </w:r>
      <w:r>
        <w:rPr>
          <w:vertAlign w:val="superscript"/>
        </w:rPr>
        <w:t xml:space="preserve">6</w:t>
      </w:r>
      <w:r>
        <w:rPr/>
        <w:t xml:space="preserve">, was introduced to address three common problems: survivorship bias (testing only on currently successful stocks), look-ahead bias (accidentally using future information in past decisions), and data-snooping bias (testing a strategy repeatedly on the same data until favorable results arise by chance). Re-tested over 20 years across a wider range of stocks, popular LLM strategies’ apparent advantages disappeared or weakened substantially, and they performed poorly across market regimes — too cautious in bull markets, too aggressive in bear markets. Those findings motivate the evaluation design used here: long horizons, matched comparisons, and explicit controls for all three biases.</w:t>
      </w:r>
    </w:p>
    <w:p w14:paraId="75BC9FBF" w14:textId="77777777" w:rsidR="00557FAC" w:rsidRDefault="00824C87">
      <w:pPr>
        <w:spacing w:before="40" w:after="40"/>
        <w:jc w:val="both"/>
      </w:pPr>
      <w:r>
        <w:t>Collectively these studies show LLMs can generate competitive strategies, but they focus on model capability — larger architectures, multi-agent systems, reinforcement learning, sentiment extraction. Little attention has gone to the structural architecture of information delivery. This gap motivates our central question: can restructuring the information flow presented to an LLM systematically improve long-term investment decision-making?</w:t>
      </w:r>
    </w:p>
    <w:p w14:paraId="60496A01" w14:textId="77777777" w:rsidR="00557FAC" w:rsidRDefault="00824C87">
      <w:pPr>
        <w:pStyle w:val="Heading2"/>
        <w:keepNext/>
        <w:keepLines/>
      </w:pPr>
      <w:r>
        <w:t>Problem Statement and Rationale</w:t>
      </w:r>
    </w:p>
    <w:p w14:paraId="7B749FDF" w14:textId="77777777" w:rsidR="00557FAC" w:rsidRDefault="00824C87">
      <w:pPr>
        <w:spacing w:before="40" w:after="40"/>
        <w:jc w:val="both"/>
      </w:pPr>
      <w:r>
        <w:t>Several limitations constrain LLMs in investment contexts. A primary concern is their documented inability to perform reliable numerical computation</w:t>
      </w:r>
      <w:r>
        <w:rPr>
          <w:vertAlign w:val="superscript"/>
        </w:rPr>
        <w:t>11</w:t>
      </w:r>
      <w:r>
        <w:t>: LLMs exhibit systematic arithmetic errors, limiting quantitative tasks that require precision and preventing them from replacing analysts whose judgments rest on rigorous financial modeling.</w:t>
      </w:r>
    </w:p>
    <w:p w14:paraId="44262359" w14:textId="77777777" w:rsidR="00557FAC" w:rsidRDefault="00824C87">
      <w:pPr>
        <w:spacing w:before="40" w:after="40"/>
        <w:jc w:val="both"/>
      </w:pPr>
      <w:r>
        <w:rPr/>
        <w:t xml:space="preserve">A second challenge is hallucination: LLMs can fabricate or misrepresent information with high apparent confidence</w:t>
      </w:r>
      <w:r>
        <w:rPr>
          <w:vertAlign w:val="superscript"/>
        </w:rPr>
        <w:t xml:space="preserve">12</w:t>
      </w:r>
      <w:r>
        <w:rPr/>
        <w:t xml:space="preserve">. In an investment context this yields recommendations built on non-existent events, incorrect figures, or invented analyst reports. Subtle hallucinations—small distortions in attributed facts or plausible-sounding mischaracterizations of company performance—may pass undetected and propagate through the pipeline, compounding over a holding period.</w:t>
      </w:r>
    </w:p>
    <w:p w14:paraId="0626F88F" w14:textId="77777777" w:rsidR="00557FAC" w:rsidRDefault="00824C87">
      <w:pPr>
        <w:spacing w:before="40" w:after="40"/>
        <w:jc w:val="both"/>
      </w:pPr>
      <w:r>
        <w:t>A third challenge is implicit bias introduced through LLM pre-training. Because LLMs are trained to a fixed knowledge cutoff, they may encode awareness of events postdating a historical analysis date, supplying look-ahead information no real investor could possess. This leakage is particularly problematic for backtesting: strategies that appear profitable retrospectively may be artifacts of latent knowledge rather than genuine analytical insight.</w:t>
      </w:r>
    </w:p>
    <w:p w14:paraId="201A36A8" w14:textId="77777777" w:rsidR="00557FAC" w:rsidRDefault="00824C87">
      <w:pPr>
        <w:spacing w:before="40" w:after="40"/>
        <w:jc w:val="both"/>
      </w:pPr>
      <w:r>
        <w:t xml:space="preserve">This study addresses two gaps tied to the challenges outlined above. First, long-term LLM investment strategies remain underexplored relative to short-term counterparts, leaving open whether LLMs can sustain reliable performance over multi-month </w:t>
      </w:r>
      <w:r>
        <w:lastRenderedPageBreak/>
        <w:t>horizons. Second, existing approaches typically ingest heterogeneous information sources simultaneously, risking signal dilution, information overload, and inconsistent decision-making.</w:t>
      </w:r>
    </w:p>
    <w:p w14:paraId="28AF810E" w14:textId="77777777" w:rsidR="00557FAC" w:rsidRDefault="00824C87">
      <w:pPr>
        <w:pStyle w:val="Heading2"/>
        <w:keepNext/>
        <w:keepLines/>
      </w:pPr>
      <w:r>
        <w:t>Significance and Purpose</w:t>
      </w:r>
    </w:p>
    <w:p w14:paraId="6FF6CE80" w14:textId="77777777" w:rsidR="00557FAC" w:rsidRDefault="00824C87">
      <w:pPr>
        <w:spacing w:before="40" w:after="40"/>
        <w:jc w:val="both"/>
      </w:pPr>
      <w:r>
        <w:t>This paper proposes a two-stage pipeline for long-term investment strategy generation. It decomposes the task into a news-based candidate selection stage, in which the LLM identifies candidate stocks from curated financial news, and a financial report validation stage, in which it reads company reports for each candidate and produces a smaller, higher-conviction portfolio. Sequential rather than simultaneous evaluation of information sources is the central methodological contribution.</w:t>
      </w:r>
    </w:p>
    <w:p w14:paraId="6A5CEB39" w14:textId="77777777" w:rsidR="00557FAC" w:rsidRDefault="00824C87">
      <w:pPr>
        <w:spacing w:before="40" w:after="40"/>
        <w:jc w:val="both"/>
        <w:rPr>
          <w:rFonts w:ascii="Arial" w:eastAsia="Arial" w:hAnsi="Arial" w:cs="Arial"/>
        </w:rPr>
      </w:pPr>
      <w:r>
        <w:t>The framework addresses all three challenges. Decomposing the task constrains each stage to a well-defined subtask, reducing hallucination and improving consistency; strict temporal boundaries prevent look-ahead leakage; and all numerical computation is delegated to deterministic external modules, avoiding reliance on LLM arithmetic.</w:t>
      </w:r>
    </w:p>
    <w:p w14:paraId="09B8EB1D" w14:textId="77777777" w:rsidR="00557FAC" w:rsidRDefault="00824C87">
      <w:pPr>
        <w:pStyle w:val="Heading2"/>
        <w:keepNext/>
        <w:keepLines/>
      </w:pPr>
      <w:r>
        <w:t>Objectives</w:t>
      </w:r>
    </w:p>
    <w:p w14:paraId="16205F40" w14:textId="77777777" w:rsidR="00557FAC" w:rsidRDefault="00824C87">
      <w:pPr>
        <w:spacing w:before="120" w:after="120"/>
        <w:jc w:val="both"/>
      </w:pPr>
      <w:r>
        <w:t>This paper delivers three primary contributions.</w:t>
      </w:r>
    </w:p>
    <w:p w14:paraId="72F2D810" w14:textId="77777777" w:rsidR="00557FAC" w:rsidRDefault="00824C87">
      <w:pPr>
        <w:spacing w:before="120"/>
        <w:ind/>
        <w:jc w:val="both"/>
      </w:pPr>
      <w:r>
        <w:t>First, it introduces a two-stage news-and-financial-report architecture for LLM-driven long-term investment strategy generation. The architecture separates qualitative from quantitative reasoning in a principled way, which makes each stage independently auditable and lets performance differences be attributed to a specific stage.</w:t>
      </w:r>
    </w:p>
    <w:p w14:paraId="6957D865" w14:textId="77777777" w:rsidR="00557FAC" w:rsidRDefault="00824C87">
      <w:pPr>
        <w:ind/>
        <w:jc w:val="both"/>
      </w:pPr>
      <w:r>
        <w:t>Second, it provides extensive empirical validation centered on advanced frontier models. Moderate filtering configurations, which keep a mid-sized candidate pool and roughly halve it between stages, achieve a mean ROI of up to 60.6% at volatility and maximum drawdown comparable to the unfiltered baseline (28.1% against 27.8%, and −23.2% against −22.4%), and outperform that baseline in 74–82% of matched evaluation windows across the four well-sized configurations, with exact confidence intervals reported in the Results. The same configurations outperform an equal-weighted portfolio of the eligible universe and random matched-size portfolios, whereas the unfiltered baseline does not; the S&amp;P 500 comparison is context only.</w:t>
      </w:r>
    </w:p>
    <w:p w14:paraId="6A157AD2" w14:textId="77777777" w:rsidR="00557FAC" w:rsidRDefault="00824C87">
      <w:pPr>
        <w:spacing w:after="120"/>
        <w:ind/>
        <w:jc w:val="both"/>
      </w:pPr>
      <w:r>
        <w:t>Third, it presents a systematic sensitivity analysis of returns and consistency across ten pipeline configurations. The analysis establishes that while moderate filtering consistently improves on single-pass methodologies, aggressive over-filtering, which forces the model to draw from an oversized candidate pool it cannot fill with strong companies, degrades performance. The optimal filtering threshold is model-dependent, and for the target sizes tested the best configuration is consistent with a Stage One pool of roughly twice the target portfolio size; given the coarse configuration grid, we present this as a working hypothesis rather than a rule.</w:t>
      </w:r>
    </w:p>
    <w:p w14:paraId="5515CC37" w14:textId="77777777" w:rsidR="00557FAC" w:rsidRDefault="00824C87">
      <w:pPr>
        <w:pStyle w:val="Heading2"/>
        <w:keepNext/>
        <w:keepLines/>
      </w:pPr>
      <w:r>
        <w:t>Scope and Limitations</w:t>
      </w:r>
    </w:p>
    <w:p w14:paraId="40483279" w14:textId="77777777" w:rsidR="00557FAC" w:rsidRDefault="00824C87">
      <w:pPr>
        <w:spacing w:before="40" w:after="40"/>
        <w:jc w:val="both"/>
      </w:pPr>
      <w:r>
        <w:t xml:space="preserve">This study is scoped to long-only, buy-and-hold portfolios drawn from large-capitalization technology and semiconductor equities, evaluated over rolling 12-month horizons using three model variants (GPT-4o, GPT-4o-mini, and GPT-5.1). Returns are computed before transaction costs and taxes, and all evaluation windows respect each model’s training cutoff. Broader limitations are addressed in the Discussion. Throughout the paper, “long-term” denotes these 12-month buy-and-hold horizons: long relative to the intraday-to-quarterly horizons that dominate the prior LLM-trading literature, though medium-term by traditional investing standards. The model is not restricted to a predefined ticker list: in </w:t>
      </w:r>
      <w:r>
        <w:lastRenderedPageBreak/>
        <w:t>every filtered configuration it proposes candidate companies freely from the screened news, so the effective universe is open and emerges from contemporaneous coverage rather than a curated survivor list. A fixed set of large-capitalization technology and semiconductor names is used only for the unfiltered single-pass baseline and as the eligible comparison set for the benchmark analyses.</w:t>
      </w:r>
    </w:p>
    <w:p w14:paraId="2CC5134A" w14:textId="77777777" w:rsidR="00557FAC" w:rsidRDefault="00824C87">
      <w:pPr>
        <w:pStyle w:val="Heading1"/>
        <w:keepNext/>
        <w:spacing w:after="0"/>
        <w:rPr>
          <w:rFonts w:ascii="Arial" w:eastAsia="Arial" w:hAnsi="Arial" w:cs="Arial"/>
        </w:rPr>
      </w:pPr>
      <w:r>
        <w:t>Methods</w:t>
      </w:r>
    </w:p>
    <w:p w14:paraId="1F81D4BA" w14:textId="77777777" w:rsidR="00557FAC" w:rsidRDefault="00824C87">
      <w:pPr>
        <w:keepNext/>
        <w:jc w:val="center"/>
      </w:pPr>
      <w:r>
        <w:rPr>
          <w:b/>
          <w:bCs/>
          <w:noProof/>
        </w:rPr>
        <w:drawing>
          <wp:inline distT="19050" distB="19050" distL="19050" distR="19050" wp14:anchorId="29E35834" wp14:editId="11BB8BE0">
            <wp:extent cx="2743200" cy="1741221"/>
            <wp:effectExtent l="0" t="0" r="0" b="0"/>
            <wp:docPr id="1" name="image1.png" descr="Blank diagram (4).png"/>
            <wp:cNvGraphicFramePr/>
            <a:graphic xmlns:a="http://schemas.openxmlformats.org/drawingml/2006/main">
              <a:graphicData uri="http://schemas.openxmlformats.org/drawingml/2006/picture">
                <pic:pic xmlns:pic="http://schemas.openxmlformats.org/drawingml/2006/picture">
                  <pic:nvPicPr>
                    <pic:cNvPr id="0" name="image1.png" descr="Blank diagram (4).png"/>
                    <pic:cNvPicPr preferRelativeResize="0"/>
                  </pic:nvPicPr>
                  <pic:blipFill>
                    <a:blip r:embed="rId10"/>
                    <a:srcRect/>
                    <a:stretch>
                      <a:fillRect/>
                    </a:stretch>
                  </pic:blipFill>
                  <pic:spPr>
                    <a:xfrm>
                      <a:off x="0" y="0"/>
                      <a:ext cx="2743200" cy="1741221"/>
                    </a:xfrm>
                    <a:prstGeom prst="rect">
                      <a:avLst/>
                    </a:prstGeom>
                    <a:ln/>
                  </pic:spPr>
                </pic:pic>
              </a:graphicData>
            </a:graphic>
          </wp:inline>
        </w:drawing>
      </w:r>
    </w:p>
    <w:p w14:paraId="52CAAB0D" w14:textId="77777777" w:rsidR="00557FAC" w:rsidRDefault="00824C87">
      <w:pPr>
        <w:pStyle w:val="Heading3"/>
        <w:keepNext/>
        <w:keepLines/>
        <w:spacing w:before="0"/>
      </w:pPr>
      <w:bookmarkStart w:id="0" w:name="_sn5z0gfe3jsb" w:colFirst="0" w:colLast="0"/>
      <w:bookmarkEnd w:id="0"/>
      <w:r>
        <w:t>Figure 1. A Two-Stage Filtering Framework for LLM-Driven Investing. (a) The two-stage pipeline: screened news drives Stage One, which generates X candidate stocks with justifications; Stage Two then validates those against their financial reports to select the Y-stock final portfolio (the X→Y notation used throughout). (b) The unfiltered single-pass baseline analyzes all news and financial reports together in one prompt. (c) The Ranked variant screens news, then generates and ranks all candidates by conviction and takes the top Y, without a fixed Stage-One count.</w:t>
      </w:r>
    </w:p>
    <w:p w14:paraId="4410F680" w14:textId="77777777" w:rsidR="00557FAC" w:rsidRDefault="00824C87">
      <w:pPr>
        <w:pStyle w:val="Heading2"/>
        <w:keepNext/>
        <w:keepLines/>
      </w:pPr>
      <w:r>
        <w:t>Overall Framework Overview</w:t>
      </w:r>
    </w:p>
    <w:p w14:paraId="59CD721A" w14:textId="77777777" w:rsidR="00557FAC" w:rsidRDefault="00824C87">
      <w:pPr>
        <w:spacing w:before="40" w:after="40"/>
        <w:jc w:val="both"/>
      </w:pPr>
      <w:r>
        <w:t>The framework’s architecture is illustrated in Figure 1. Its central design principle is that different information sources should be evaluated sequentially rather than simultaneously: existing approaches typically provide news, financial reports, and other market information in a single reasoning step, which maximizes information availability but can dilute relevant signals. The framework instead separates opportunity discovery from financial validation.</w:t>
      </w:r>
    </w:p>
    <w:p w14:paraId="399F34F9" w14:textId="77777777" w:rsidR="00557FAC" w:rsidRDefault="00824C87">
      <w:pPr>
        <w:spacing w:before="40" w:after="40"/>
        <w:jc w:val="both"/>
        <w:rPr>
          <w:rFonts w:ascii="Arial" w:eastAsia="Arial" w:hAnsi="Arial" w:cs="Arial"/>
        </w:rPr>
      </w:pPr>
      <w:r>
        <w:t>The framework has four phases. Historical news articles are collected from a fixed pre-analysis window; these prompt the LLM to nominate candidate stocks with qualitative justifications (Stage One); financial reports are retrieved for each candidate and evaluated in a second stage, producing a smaller set of final recommendations; and those selections and allocation weights build a long-only portfolio evaluated over a predefined horizon. The notation X→Y denotes this structure: X candidates identified in Stage One, Y final selections after report validation in Stage Two.</w:t>
      </w:r>
    </w:p>
    <w:p w14:paraId="2BC01305" w14:textId="77777777" w:rsidR="00557FAC" w:rsidRDefault="00824C87">
      <w:pPr>
        <w:spacing w:before="40" w:after="40"/>
        <w:jc w:val="both"/>
      </w:pPr>
      <w:r>
        <w:t>One exception to this general structure is the Ranked configuration. In the other configurations, the LLM is asked to return a fixed number of candidates at each stage. In Ranked, the LLM instead ranks all candidate opportunities without limiting how many it returns; the number is capped to a set value only at the final investment step.</w:t>
      </w:r>
    </w:p>
    <w:p w14:paraId="02A66323" w14:textId="77777777" w:rsidR="00557FAC" w:rsidRDefault="00824C87">
      <w:pPr>
        <w:spacing w:before="40" w:after="40"/>
        <w:jc w:val="both"/>
      </w:pPr>
      <w:r>
        <w:t>Separating qualitative reasoning (news narratives, report language) from quantitative evaluation—deterministic calculation of returns, volatility and benchmark comparisons in external code—assigns each component to the tool best suited to it and lets performance differences be attributed to specific stages.</w:t>
      </w:r>
    </w:p>
    <w:p w14:paraId="4435F1A8" w14:textId="77777777" w:rsidR="00557FAC" w:rsidRDefault="00824C87">
      <w:pPr>
        <w:spacing w:before="40" w:after="40"/>
        <w:jc w:val="both"/>
      </w:pPr>
      <w:r>
        <w:t xml:space="preserve">To evaluate the effect of structural organization of information, multiple filtering configurations were tested, including unfiltered baseline, Ranked, 30→15, 30→10, 30→5, 20→10, 20→5, 10→5, 10→3, and 5→3. Here the unfiltered baseline represents the conventional approach used in much of the existing literature, in which news articles and financial reports are analyzed simultaneously without sequential filtering. </w:t>
      </w:r>
    </w:p>
    <w:p w14:paraId="64849FDC" w14:textId="77777777" w:rsidR="00557FAC" w:rsidRDefault="00824C87">
      <w:pPr>
        <w:pStyle w:val="Heading2"/>
        <w:keepNext/>
        <w:keepLines/>
      </w:pPr>
      <w:r>
        <w:lastRenderedPageBreak/>
        <w:t>Data Sources</w:t>
      </w:r>
    </w:p>
    <w:p w14:paraId="4EF5A5FE" w14:textId="77777777" w:rsidR="00557FAC" w:rsidRDefault="00824C87">
      <w:pPr>
        <w:spacing w:before="40" w:after="40"/>
        <w:jc w:val="both"/>
      </w:pPr>
      <w:r>
        <w:t>Three primary categories of data are used in this study: news articles, financial reports, and historical market prices. News articles are obtained through the New York Times Article Search application programming interface, and company financial reports through the Alpha Vantage company-report endpoints; both are cached locally. For each decision date, news is drawn from a fixed 24-month window ending at that date; article publication timestamps are parsed to Coordinated Universal Time (UTC) and compared date-only against the window, and duplicate or syndicated stories are removed by exact headline match (first occurrence kept). Every news document is filtered to a publication date strictly preceding the decision date; financial reports require a stricter rule than the period end alone, given below.</w:t>
      </w:r>
    </w:p>
    <w:p w14:paraId="40EDF0C4" w14:textId="77777777" w:rsidR="00557FAC" w:rsidRDefault="00824C87">
      <w:pPr>
        <w:spacing w:before="40" w:after="40"/>
        <w:jc w:val="both"/>
      </w:pPr>
      <w:r>
        <w:t>Financial reports are quarterly income statement, balance sheet and cash-flow filings retrieved for each stock that passes Stage One, providing structured company-level data the LLM uses in Stage Two to validate and refine the candidate list. Because a fiscal period ending before a decision date does not mean the report was public by then, a report is admitted only if it was available strictly before that date. Availability is taken as the later of two dates: the fiscal period end plus the statutory filing deadline, and any filing date supplied by the source. The deadlines applied are 45 days for quarterly filings and 75 days for annual filings, the accelerated-filer limits, so the bound holds across the whole universe rather than only its largest constituents. Reports dated on the decision date itself are also excluded, since filings accepted after 17:30 Eastern Time are disseminated the following business day. In practice this withholds the most recent quarter from any decision falling inside its filing window. (In the unfiltered baseline, financial reports for the full union of stocks selected by any configuration are provided alongside all available news articles.)</w:t>
      </w:r>
    </w:p>
    <w:p w14:paraId="033A73D6" w14:textId="77777777" w:rsidR="00557FAC" w:rsidRDefault="00824C87">
      <w:pPr>
        <w:spacing w:before="40" w:after="40"/>
        <w:jc w:val="both"/>
      </w:pPr>
      <w:r>
        <w:t xml:space="preserve">Market data comprises daily adjusted closing prices for individual stocks and benchmark indices, introduced only after recommendations are finalized. This isolates </w:t>
      </w:r>
      <w:r>
        <w:t>the reasoning process from look-ahead bias, and all return calculations and risk metrics are computed externally using deterministic formulas.</w:t>
      </w:r>
    </w:p>
    <w:p w14:paraId="747A8A0B" w14:textId="77777777" w:rsidR="00557FAC" w:rsidRDefault="00824C87">
      <w:pPr>
        <w:pStyle w:val="Heading2"/>
        <w:keepNext/>
        <w:keepLines/>
      </w:pPr>
      <w:r>
        <w:t>News Article Relevance Screening Process</w:t>
      </w:r>
    </w:p>
    <w:p w14:paraId="1C0EB5C5" w14:textId="77777777" w:rsidR="00557FAC" w:rsidRDefault="00824C87">
      <w:pPr>
        <w:spacing w:before="40" w:after="40"/>
        <w:jc w:val="both"/>
      </w:pPr>
      <w:r>
        <w:t>Raw news often contains material irrelevant to investment decisions—opinion pieces, general technology discussion, or political commentary without market implications. A dedicated LLM-based relevance screening step therefore precedes strategy generation: the LLM labels each article financially relevant or irrelevant under a constrained classification prompt, with no manual review or rule-based expressions, keeping screening consistent and scalable across evaluation windows.</w:t>
      </w:r>
    </w:p>
    <w:p w14:paraId="7B601503" w14:textId="77777777" w:rsidR="00557FAC" w:rsidRDefault="00824C87">
      <w:pPr>
        <w:spacing w:before="40" w:after="40"/>
        <w:jc w:val="both"/>
      </w:pPr>
      <w:r>
        <w:t>Batches of articles are screened with a constrained prompt selecting only those with clear, direct market relevance: earnings announcements, major corporate events, regulatory changes, macroeconomic indicators, and industry-level shifts.</w:t>
      </w:r>
    </w:p>
    <w:p w14:paraId="30131B1D" w14:textId="77777777" w:rsidR="00557FAC" w:rsidRDefault="00824C87">
      <w:pPr>
        <w:spacing w:before="40" w:after="40"/>
        <w:jc w:val="both"/>
      </w:pPr>
      <w:r>
        <w:t>Screened articles are stored in a curated database and reused downstream, letting a small, high-quality input set drive strategy generation and reducing the influence of irrelevant or misleading information. Across the full corpus the relevance filter retained 1,799 of 13,183 unique articles (13.6%) under strict investment-relevance criteria. The validation sample described below is drawn from a single screening run of 1,382 articles, of which 110 (8.0%) passed.</w:t>
      </w:r>
    </w:p>
    <w:p w14:paraId="062EEA2F" w14:textId="77777777" w:rsidR="00557FAC" w:rsidRDefault="00824C87">
      <w:pPr>
        <w:spacing w:before="40" w:after="40"/>
        <w:jc w:val="both"/>
      </w:pPr>
      <w:r>
        <w:t>To check the screen against human judgment, we blind-labeled a stratified sample of 180 of these articles (70 screen-passed and 110 screen-rejected) without access to the screen’s decisions. Against that first rating the screen achieved a precision of 100% (95% Wilson confidence interval [94.8, 100]), and re-weighting to the 13.6% corpus pass rate gave an estimated recall of 26% and a false-omission rate of 45%. Because a single rater is a single standard, a second rater, blind both to the screen’s decisions and to the first rater’s labels, independently labelled the same 180 articles. The two agreed on 83.3% of them (95% CI [77.2, 88.1]; Cohen’s kappa 0.67, or 0.57 re-weighted to the corpus pass rate). The disagreement was strongly asymmetric: in 29 cases the first rater judged an article relevant and the second did not, against a single case of the reverse (exact McNemar p = 6×10⁻⁸). The two raters therefore differ mainly in where they set the threshold rather than in consistency, and the term “relevant” admits a wider or narrower reading than the rubric fixes: the first rating implies that 52.1% of the corpus is investment-relevant, the second 31.9%. Precision is correspondingly threshold-dependent, 95.7% (95% CI [88.1, 98.5]) under the second rater against 100% under the first, with false-omission rates of 21.8% and 44.5% and re-weighted recalls of 41.0% and 26.2%. The screen passes 13.6% of the corpus and is thus stricter than either human reading, so on neither reading does it admit substantial off-topic material into the downstream stages, which is the property the pipeline depends on; its recall, on either reading, is well below one and we note this as a limitation. The screen is applied by the model without human adjudication during normal operation.</w:t>
      </w:r>
    </w:p>
    <w:p w14:paraId="6803E74C" w14:textId="77777777" w:rsidR="00557FAC" w:rsidRDefault="00824C87">
      <w:pPr>
        <w:pStyle w:val="Heading2"/>
        <w:keepNext/>
        <w:keepLines/>
      </w:pPr>
      <w:r>
        <w:t>LLM-Based Strategy Generation</w:t>
      </w:r>
    </w:p>
    <w:p w14:paraId="78CD3E8D" w14:textId="77777777" w:rsidR="00557FAC" w:rsidRDefault="00824C87">
      <w:pPr>
        <w:spacing w:before="40" w:after="40"/>
        <w:jc w:val="both"/>
      </w:pPr>
      <w:r>
        <w:t>In Stage One the screened news dataset prompts the LLM to nominate candidate companies likely to benefit from the trends and events described, each with a concise justification. This stage yields the candidate pool, not the final portfolio; only the unfiltered single-pass baseline produces a portfolio in one call.</w:t>
      </w:r>
    </w:p>
    <w:p w14:paraId="74E58F4C" w14:textId="77777777" w:rsidR="00557FAC" w:rsidRDefault="00824C87">
      <w:pPr>
        <w:spacing w:before="40" w:after="40"/>
        <w:jc w:val="both"/>
      </w:pPr>
      <w:r>
        <w:t>The model also assigns each candidate a percentage allocation and is instructed to make the allocations sum to 100 percent. When they do not, the execution layer renormalizes rather than rejecting the response: each allocation is divided by the sum of all allocations and rescaled to 100 percent, with the rounding remainder absorbed into the largest position. Portfolio weights are therefore always a valid distribution.</w:t>
      </w:r>
    </w:p>
    <w:p w14:paraId="25B73BFD" w14:textId="77777777" w:rsidR="00557FAC" w:rsidRDefault="00824C87">
      <w:pPr>
        <w:spacing w:before="40" w:after="40"/>
        <w:jc w:val="both"/>
      </w:pPr>
      <w:r>
        <w:t>The output of each stage is a structured set of tickers, allocation weights, and qualitative explanations, enabling transparent evaluation without further LLM inference.</w:t>
      </w:r>
    </w:p>
    <w:p w14:paraId="0185299D" w14:textId="77777777" w:rsidR="00557FAC" w:rsidRDefault="00824C87">
      <w:pPr>
        <w:spacing w:before="40" w:after="40"/>
        <w:jc w:val="both"/>
      </w:pPr>
      <w:r>
        <w:t>In the two-stage configurations Stage Two then follows. Using the X→Y notation defined in the framework overview, financial reports are fetched for each of the X candidates and provided alongside the Stage One justifications; the model evaluates each candidate against its report data and produces a final, smaller set of Y recommendations with updated justifications and weights.</w:t>
      </w:r>
    </w:p>
    <w:p w14:paraId="6C9A1132" w14:textId="77777777" w:rsidR="00557FAC" w:rsidRDefault="00824C87">
      <w:pPr>
        <w:pStyle w:val="Heading2"/>
        <w:keepNext/>
        <w:keepLines/>
      </w:pPr>
      <w:r>
        <w:t>Bias and Hallucination Mitigation</w:t>
      </w:r>
    </w:p>
    <w:p w14:paraId="6D92AEF6" w14:textId="77777777" w:rsidR="00557FAC" w:rsidRDefault="00824C87">
      <w:pPr>
        <w:spacing w:before="40" w:after="40"/>
        <w:jc w:val="both"/>
      </w:pPr>
      <w:r>
        <w:t>Large language models are known to exhibit hallucinations and implicit bias</w:t>
      </w:r>
      <w:r>
        <w:rPr>
          <w:vertAlign w:val="superscript"/>
        </w:rPr>
        <w:t>12</w:t>
      </w:r>
      <w:r>
        <w:t xml:space="preserve">, particularly when prompted with open-ended tasks or </w:t>
      </w:r>
      <w:r>
        <w:t>incomplete constraints. To mitigate these issues, several safeguards are integrated into the proposed framework.</w:t>
      </w:r>
    </w:p>
    <w:p w14:paraId="2F4F0C3A" w14:textId="77777777" w:rsidR="00557FAC" w:rsidRDefault="00824C87">
      <w:pPr>
        <w:spacing w:before="40" w:after="40"/>
        <w:jc w:val="both"/>
      </w:pPr>
      <w:r>
        <w:t>First, strict temporal constraints are enforced at every stage of the pipeline. News articles provided to the LLM are published strictly before the evaluation period, financial reports are admitted only once public under the availability rule given in Data Sources, and no market price data appears in any prompt. This design blocks the principal channels of look-ahead bias: the LLM cannot receive, directly or indirectly, information about price movements that occurred after the analysis date. Without this constraint, even a subtle mention of a post-analysis event in a news article could allow the model to exploit latent knowledge from pre-training, making retrospective returns appear higher than any real investor could achieve.</w:t>
      </w:r>
    </w:p>
    <w:p w14:paraId="0694E677" w14:textId="77777777" w:rsidR="00557FAC" w:rsidRDefault="00824C87">
      <w:pPr>
        <w:spacing w:before="40" w:after="40"/>
        <w:jc w:val="both"/>
      </w:pPr>
      <w:r>
        <w:t>Second, the LLM must justify each recommendation explicitly. Justifications serve as an internal consistency check: recommendations lacking a clear connection to the input information can be identified and excluded. In the runs reported here this check functioned as an audit of the generated output rather than a filter: no recommendation was removed by it.</w:t>
      </w:r>
    </w:p>
    <w:p w14:paraId="195A0B18" w14:textId="77777777" w:rsidR="00557FAC" w:rsidRDefault="00824C87">
      <w:pPr>
        <w:spacing w:before="40" w:after="40"/>
        <w:jc w:val="both"/>
      </w:pPr>
      <w:r>
        <w:t>Finally, the framework bars the LLM from numerical computation or return estimation, delegating all mathematics to external deterministic modules, so known weaknesses in mathematical reasoning and hallucinations cannot directly affect performance metrics.</w:t>
      </w:r>
    </w:p>
    <w:p w14:paraId="2E686379" w14:textId="77777777" w:rsidR="00557FAC" w:rsidRDefault="00824C87">
      <w:pPr>
        <w:pStyle w:val="Heading2"/>
        <w:keepNext/>
        <w:keepLines/>
      </w:pPr>
      <w:r>
        <w:t>Portfolio Construction</w:t>
      </w:r>
    </w:p>
    <w:p w14:paraId="75BCE4EE" w14:textId="77777777" w:rsidR="00557FAC" w:rsidRDefault="00824C87">
      <w:pPr>
        <w:spacing w:before="40" w:after="40"/>
        <w:jc w:val="both"/>
      </w:pPr>
      <w:r>
        <w:t>The investment strategies generated by the LLM are translated into portfolios using a standardized construction process, with each recommended stock weighted by its model-assigned allocation.</w:t>
      </w:r>
    </w:p>
    <w:p w14:paraId="6AA785B4" w14:textId="77777777" w:rsidR="00557FAC" w:rsidRDefault="00824C87">
      <w:pPr>
        <w:spacing w:before="40" w:after="40"/>
        <w:jc w:val="both"/>
      </w:pPr>
      <w:r>
        <w:t>All portfolios are long-only, buy-and-hold: no leverage, short selling, or derivatives, with positions established at the start of the evaluation period and held without rebalancing, which aligns the strategy with realistic long-term investment behavior.</w:t>
      </w:r>
    </w:p>
    <w:p w14:paraId="37C14559" w14:textId="77777777" w:rsidR="00557FAC" w:rsidRDefault="00824C87">
      <w:pPr>
        <w:spacing w:before="40" w:after="40"/>
        <w:jc w:val="both"/>
        <w:rPr>
          <w:rFonts w:ascii="Arial" w:eastAsia="Arial" w:hAnsi="Arial" w:cs="Arial"/>
        </w:rPr>
      </w:pPr>
      <w:r>
        <w:lastRenderedPageBreak/>
        <w:t>Portfolio values are computed using adjusted closing prices, which incorporate stock splits and reinvested dividends; returns are therefore total returns rather than price-only appreciation. The initial portfolio value is normalized, and each position’s return is measured from the first to the last trading day of the holding window. The S&amp;P 500 comparison uses the SPY exchange-traded fund on the same adjusted-close (total-return) basis, so portfolio and benchmark returns are directly comparable and the excess-return figures are not inflated by a price-versus-total-return mismatch.</w:t>
      </w:r>
    </w:p>
    <w:p w14:paraId="0C8E43F2" w14:textId="77777777" w:rsidR="00557FAC" w:rsidRDefault="00824C87">
      <w:pPr>
        <w:pStyle w:val="Heading2"/>
        <w:keepNext/>
        <w:keepLines/>
        <w:rPr>
          <w:color w:val="auto"/>
        </w:rPr>
      </w:pPr>
      <w:bookmarkStart w:id="1" w:name="_p97uf83itixa" w:colFirst="0" w:colLast="0"/>
      <w:bookmarkEnd w:id="1"/>
      <w:r>
        <w:t>Permutation Analysis Framework</w:t>
      </w:r>
    </w:p>
    <w:p w14:paraId="48D161DF" w14:textId="77777777" w:rsidR="00557FAC" w:rsidRDefault="00824C87">
      <w:pPr>
        <w:spacing w:before="120" w:after="120"/>
        <w:jc w:val="both"/>
      </w:pPr>
      <w:r>
        <w:t>To evaluate robustness, a large-scale permutation analysis was conducted across models, temperatures, filtering configurations, and evaluation windows.</w:t>
      </w:r>
    </w:p>
    <w:p w14:paraId="23A48261" w14:textId="77777777" w:rsidR="00557FAC" w:rsidRDefault="00824C87">
      <w:pPr>
        <w:spacing w:before="120" w:after="120"/>
        <w:jc w:val="both"/>
      </w:pPr>
      <w:r>
        <w:t>Three language models were evaluated: GPT-4o, GPT-4o-mini, and GPT-5.1. Each was invoked through the OpenAI API using the provider’s dated-alias model identifiers “gpt-4o”, “gpt-4o-mini”, and “gpt-5.1”; because these aliases are managed by the provider, the exact underlying snapshot is fixed by the alias at run time rather than pinned in our configuration, a reproducibility caveat we note explicitly. For GPT-4o and GPT-4o-mini, experiments were conducted at sampling temperatures of 0.3, 0.4, and 0.5 across the ten filtering configurations defined in the framework overview. For GPT-5.1 the same three runs per window and configuration were executed, but the OpenAI API does not accept custom temperature values for this model family, so all GPT-5.1 generations used the provider default; the three nominally temperature-labelled runs per cell are therefore treated as independent replicate generations at identical settings, and no temperature-level analysis is reported for GPT-5.1.</w:t>
      </w:r>
    </w:p>
    <w:p w14:paraId="792A78F5" w14:textId="77777777" w:rsidR="00557FAC" w:rsidRDefault="00824C87">
      <w:pPr>
        <w:spacing w:before="120" w:after="120"/>
        <w:jc w:val="both"/>
      </w:pPr>
      <w:r>
        <w:t xml:space="preserve">In the X→Y notation used throughout, X is the number of candidate stocks the model proposes in Stage One and Y is the number retained in the final portfolio after Stage-Two validation; the unfiltered baseline selects the portfolio in a </w:t>
      </w:r>
      <w:r>
        <w:t>single pass, and the Ranked configuration ranks the candidates without imposing a fixed Stage-One cap. We use moderate filtering to mean a configuration built on a mid-sized initial pool — ten or twenty candidates — narrowed to a focused portfolio (for example 20→10, 10→5, 10→3, or 20→5), and aggressive (or over-) filtering to mean a configuration built on an oversized thirty-candidate pool that is then cut steeply, such as 30→5, a six-fold reduction. These labels describe the structural settings only and make no assumption about performance.</w:t>
      </w:r>
    </w:p>
    <w:p w14:paraId="6D6F5845" w14:textId="77777777" w:rsidR="00557FAC" w:rsidRDefault="00824C87">
      <w:pPr>
        <w:spacing w:before="120" w:after="120"/>
        <w:jc w:val="both"/>
      </w:pPr>
      <w:r>
        <w:t>Evaluation windows use rolling 12-month horizons with multiple start dates, exposing the framework to different market environments and reducing the chance that results reflect a single favorable period. Each valid combination of model, temperature, configuration, and window was executed independently.</w:t>
      </w:r>
    </w:p>
    <w:p w14:paraId="639A4647" w14:textId="77777777" w:rsidR="00557FAC" w:rsidRDefault="00824C87">
      <w:pPr>
        <w:spacing w:before="120" w:after="120"/>
        <w:jc w:val="both"/>
      </w:pPr>
      <w:r>
        <w:t>Model-specific training-cutoff restrictions were enforced to reduce the risk of lookahead bias: any evaluation window whose start precedes the generating model’s training cutoff was excluded, and a request for GPT-5.1 before its cutoff fell back to a permissible model rather than running. Reported knowledge cutoffs are October 2023 for GPT-4o and GPT-4o-mini and September 30, 2024 for GPT-5.1, taken from a maintained compilation of LLM knowledge-cutoff dates that sources vendor (Azure OpenAI) documentation, because OpenAI’s own public documentation of these dates is inconsistent across sources. GPT-4o and GPT-4o-mini windows are therefore restricted to starts of June 2024 through June 2025 (thirteen windows), and GPT-5.1 windows to starts of October 2024 through June 2025 (nine windows with completed results), the latter a conservative one-month buffer beyond the stated cutoff.</w:t>
      </w:r>
    </w:p>
    <w:p w14:paraId="3086EB55" w14:textId="77777777" w:rsidR="00557FAC" w:rsidRDefault="00824C87">
      <w:pPr>
        <w:spacing w:before="120" w:after="120"/>
        <w:jc w:val="both"/>
      </w:pPr>
      <w:r>
        <w:t xml:space="preserve">The final dataset comprised 2,759 matched portfolio runs, including repeated generations within cells, decomposing as 921 runs for GPT-4o, 1,212 for GPT-4o-mini, and 626 for GPT-5.1; a full per-cell breakdown by model, window, temperature (where it applies), and </w:t>
      </w:r>
      <w:r>
        <w:lastRenderedPageBreak/>
        <w:t>configuration is provided in the Supplementary Information. Win rates are computed at the cell level: for each model, window, and — for the two older models — temperature, the mean ROI of a configuration’s runs is compared with that of the matched unfiltered baseline. This gives 27 matched comparisons per configuration for GPT-5.1 (nine windows × three generation groups, which for this model are replicate groups at the provider default rather than distinct temperatures) and up to 39 for each older model (thirteen windows × three temperatures). Because the matched-permutation design controls for model capability, temperature, and evaluation window, performance differences can be attributed to the filtering framework itself rather than to market conditions or model selection.</w:t>
      </w:r>
    </w:p>
    <w:p w14:paraId="42FEF80A" w14:textId="77777777" w:rsidR="00557FAC" w:rsidRDefault="00824C87">
      <w:pPr>
        <w:pStyle w:val="Heading2"/>
        <w:keepNext/>
        <w:keepLines/>
      </w:pPr>
      <w:r>
        <w:t>Evaluation Methodology</w:t>
      </w:r>
    </w:p>
    <w:p w14:paraId="4A7E8182" w14:textId="77777777" w:rsidR="00557FAC" w:rsidRDefault="00824C87">
      <w:pPr>
        <w:spacing w:before="40" w:after="40"/>
        <w:jc w:val="both"/>
      </w:pPr>
      <w:r>
        <w:t>Strategy performance is evaluated using return-based, benchmark-relative, and comparative metrics. The primary performance measure is return on investment (ROI), calculated over fixed 12-month evaluation windows. Portfolio performance is compared against the S&amp;P 500 index over the same period, allowing the calculation of benchmark-relative excess return (reported as raw excess return over the index, not risk-adjusted alpha).</w:t>
      </w:r>
    </w:p>
    <w:p w14:paraId="723B24F3" w14:textId="77777777" w:rsidR="00557FAC" w:rsidRDefault="00824C87">
      <w:pPr>
        <w:spacing w:before="40" w:after="40"/>
        <w:jc w:val="both"/>
      </w:pPr>
      <w:r>
        <w:t>Baseline win rates are also computed between each filtering configuration and the unfiltered baseline generated with the same model, temperature, and window — the percentage of windows in which the configuration achieves higher ROI — directly assessing whether sequential filtering improves portfolio quality.</w:t>
      </w:r>
    </w:p>
    <w:p w14:paraId="62057E7A" w14:textId="77777777" w:rsidR="00557FAC" w:rsidRDefault="00824C87">
      <w:pPr>
        <w:spacing w:before="40" w:after="40"/>
        <w:jc w:val="both"/>
      </w:pPr>
      <w:r>
        <w:t>Portfolio risk is evaluated from daily portfolio value series reconstructed from each portfolio’s tickers, weights and dates, and is reported as annualized volatility, maximum drawdown, and the Sharpe, Sortino and Calmar ratios alongside every return figure. Run-to-run variability is evaluated separately using standard deviation and coefficient of variation (CV), the latter a scale-independent measure of variability relative to average return, which allows performance and stability to be assessed together.</w:t>
      </w:r>
    </w:p>
    <w:p w14:paraId="07D2066F" w14:textId="77777777" w:rsidR="00557FAC" w:rsidRDefault="00824C87">
      <w:pPr>
        <w:spacing w:before="40" w:after="40"/>
        <w:jc w:val="both"/>
      </w:pPr>
      <w:r>
        <w:t xml:space="preserve">Finally, results were aggregated across all models, temperatures, configurations, and evaluation windows to discern broader performance trends and assess the interplay </w:t>
      </w:r>
      <w:r>
        <w:t>between model capability and the structural organization of information.</w:t>
      </w:r>
    </w:p>
    <w:p w14:paraId="1F4D8A52" w14:textId="77777777" w:rsidR="00557FAC" w:rsidRDefault="00824C87">
      <w:pPr>
        <w:pStyle w:val="Heading2"/>
        <w:keepNext/>
        <w:keepLines/>
      </w:pPr>
      <w:r>
        <w:t>Statistical Limitations</w:t>
      </w:r>
    </w:p>
    <w:p w14:paraId="7CC035E4" w14:textId="77777777" w:rsidR="00557FAC" w:rsidRDefault="00824C87">
      <w:pPr>
        <w:jc w:val="both"/>
      </w:pPr>
      <w:r>
        <w:t>Multiple configurations share overlapping evaluation windows, source articles, and partially overlapping candidate portfolios, so observations are not fully independent. All inferential statistics are therefore paired and distribution-free, comparing each configuration with its matched baseline within windows, and p-values are interpreted comparatively, as indicators of effect strength under the matched design, rather than as exact error rates from independent samples. Run depth is also uneven across windows for GPT-4o-mini: the September 2024 window was generated at greater depth than the rest and supplies 309 of that model’s 1,212 analyzed runs, so that model’s run-weighted mean is influenced disproportionately by a single window. The paired tests are unaffected, because they compare each configuration with its baseline inside a window before any aggregation.</w:t>
      </w:r>
    </w:p>
    <w:p w14:paraId="74E05E51" w14:textId="77777777" w:rsidR="00557FAC" w:rsidRDefault="00824C87">
      <w:pPr>
        <w:pStyle w:val="Heading2"/>
        <w:jc w:val="both"/>
      </w:pPr>
      <w:r>
        <w:t>Statistical Testing Strategy</w:t>
      </w:r>
    </w:p>
    <w:p w14:paraId="5E8F383E" w14:textId="77777777" w:rsidR="00557FAC" w:rsidRDefault="00824C87">
      <w:pPr>
        <w:pBdr>
          <w:top w:val="nil"/>
          <w:left w:val="nil"/>
          <w:bottom w:val="nil"/>
          <w:right w:val="nil"/>
          <w:between w:val="nil"/>
        </w:pBdr>
        <w:spacing w:after="100"/>
        <w:jc w:val="both"/>
      </w:pPr>
      <w:r>
        <w:t>For each configuration we form matched pairs with the unfiltered baseline within each model × window × generation-group cell, using the mean of the runs in that cell as its value. For GPT-4o and GPT-4o-mini the generation groups are the three sampling temperatures; for GPT-5.1, where temperature could not be varied, they are three replicate groups at the provider default. For every configuration we report the win rate with an exact binomial 95% confidence interval, an exact sign test, a Wilcoxon signed-rank test on the per-pair ROI differences, and a bootstrap 95% confidence interval on the median difference. As a conservative check for GPT-5.1, whose replicate generations share identical settings, we also collapse replicates and repeat the paired tests at the window level (n = 9). Model-level comparisons use the same paired structure across shared windows.</w:t>
      </w:r>
    </w:p>
    <w:p w14:paraId="376D953D" w14:textId="77777777" w:rsidR="00557FAC" w:rsidRDefault="00824C87">
      <w:pPr>
        <w:pBdr>
          <w:top w:val="nil"/>
          <w:left w:val="nil"/>
          <w:bottom w:val="nil"/>
          <w:right w:val="nil"/>
          <w:between w:val="nil"/>
        </w:pBdr>
        <w:spacing w:after="100"/>
        <w:jc w:val="both"/>
      </w:pPr>
      <w:r>
        <w:t>Because baseline win rates are computed from matched model-temperature-window combinations, they isolate the effect of sequential filtering from broader market effects; the paired tests above quantify the strength of that isolation.</w:t>
      </w:r>
    </w:p>
    <w:p w14:paraId="02032286" w14:textId="77777777" w:rsidR="00557FAC" w:rsidRDefault="00824C87">
      <w:pPr>
        <w:pStyle w:val="Heading1"/>
        <w:keepNext/>
        <w:keepLines/>
      </w:pPr>
      <w:r>
        <w:lastRenderedPageBreak/>
        <w:t>Results</w:t>
      </w:r>
    </w:p>
    <w:p w14:paraId="4D502E98" w14:textId="77777777" w:rsidR="00557FAC" w:rsidRDefault="00824C87">
      <w:pPr>
        <w:pStyle w:val="Heading2"/>
        <w:keepNext/>
        <w:keepLines/>
        <w:spacing w:after="60"/>
      </w:pPr>
      <w:r>
        <w:rPr>
          <w:sz w:val="24"/>
          <w:szCs w:val="24"/>
        </w:rPr>
        <w:t>Key Findings</w:t>
      </w:r>
    </w:p>
    <w:p w14:paraId="181854BD" w14:textId="77777777" w:rsidR="00557FAC" w:rsidRDefault="00824C87">
      <w:pPr>
        <w:spacing w:before="40" w:after="40"/>
        <w:jc w:val="both"/>
      </w:pPr>
      <w:r>
        <w:t>Structured two-stage filtering raised GPT-5.1’s mean ROI to 60.6%, against 45.7% for unfiltered single-pass prompting, a 15-point gain obtained at comparable risk (annualized volatility 28.1% against 27.8%; maximum drawdown −23.2% against −22.4%; median Sharpe 1.70 against 1.34), and beat that baseline in 22 of 27 matched 12-month window comparisons (81.5%; exact 95% CI [61.9, 93.7]).</w:t>
      </w:r>
    </w:p>
    <w:p w14:paraId="7877A721" w14:textId="77777777" w:rsidR="00557FAC" w:rsidRDefault="00824C87">
      <w:pPr>
        <w:spacing w:before="40" w:after="40"/>
        <w:jc w:val="both"/>
      </w:pPr>
      <w:r>
        <w:t>The effect has a clear optimum. For GPT-5.1, performance follows an inverted-U in the size of the initial candidate pool: pools of 10–20 candidates perform best, while pools of 5 or 30 underperform; the weaker models peak at smaller pools. Because each pool size is tested with a different mix of final portfolio sizes on a coarse grid, we read this as a robust pattern in the tested configurations rather than a fitted dose-response curve.</w:t>
      </w:r>
    </w:p>
    <w:p w14:paraId="2153A057" w14:textId="77777777" w:rsidR="00557FAC" w:rsidRDefault="00824C87">
      <w:pPr>
        <w:spacing w:before="40" w:after="40"/>
        <w:jc w:val="both"/>
      </w:pPr>
      <w:r>
        <w:t>Across the tested target sizes of five and ten, the best configuration is consistent with a simple heuristic: an initial candidate pool of about twice the target portfolio size. At a target of three the best tested ratio is larger (10→3), so we present the 2× relation as a working hypothesis consistent with the tested grid rather than a rule.</w:t>
      </w:r>
    </w:p>
    <w:p w14:paraId="203AED1E" w14:textId="77777777" w:rsidR="00557FAC" w:rsidRDefault="00824C87">
      <w:pPr>
        <w:spacing w:before="40" w:after="40"/>
        <w:jc w:val="both"/>
      </w:pPr>
      <w:r>
        <w:t xml:space="preserve">Information design rivals model choice: how the model’s input was structured affected </w:t>
      </w:r>
      <w:r>
        <w:t>returns about as much as which model was used.</w:t>
      </w:r>
    </w:p>
    <w:p w14:paraId="0FA764A1" w14:textId="77777777" w:rsidR="00557FAC" w:rsidRDefault="00824C87">
      <w:pPr>
        <w:pStyle w:val="Heading2"/>
        <w:keepNext/>
        <w:keepLines/>
      </w:pPr>
      <w:r>
        <w:t>Evaluation Setup</w:t>
      </w:r>
    </w:p>
    <w:p w14:paraId="23CC27F7" w14:textId="77777777" w:rsidR="00557FAC" w:rsidRDefault="00824C87">
      <w:pPr>
        <w:spacing w:before="40" w:after="40"/>
        <w:jc w:val="both"/>
      </w:pPr>
      <w:r>
        <w:t>All results derive from the 2,759 matched portfolio runs described in the Methods: three model variants (GPT-4o, GPT-4o-mini, and GPT-5.1), three generations per cell — at temperatures 0.3, 0.4 and 0.5 for the two older models, and as replicates at the provider default for GPT-5.1 — and ten portfolio-generation structures, evaluated over rolling 12-month windows. GPT-5.1 contributes nine completed evaluation windows (starts October 2024 through June 2025) and the older models thirteen each (starts June 2024 through June 2025); consecutive windows overlap by eleven months and are therefore not independent observations. Performance is reported as ROI, excess return relative to the S&amp;P 500, standard deviation, coefficient of variation (CV), and matched-comparison win rates against the unfiltered baseline, with exact binomial confidence intervals.</w:t>
      </w:r>
    </w:p>
    <w:p w14:paraId="6A260066"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The configuration sweep tests a specific expectation: an intermediate initial pool should perform best, because too few candidates limit Stage-Two choices while too many force the model to include lower-conviction names.</w:t>
      </w:r>
    </w:p>
    <w:p w14:paraId="4EEA48CF" w14:textId="77777777" w:rsidR="00557FAC" w:rsidRDefault="00824C87">
      <w:pPr>
        <w:pStyle w:val="Heading2"/>
        <w:keepNext/>
        <w:spacing w:after="40"/>
      </w:pPr>
      <w:bookmarkStart w:id="2" w:name="_voy6hmxtkipu" w:colFirst="0" w:colLast="0"/>
      <w:bookmarkEnd w:id="2"/>
      <w:r>
        <w:t>Filtered vs. Unstructured Baseline</w:t>
      </w:r>
    </w:p>
    <w:p w14:paraId="0CF7FB6E" w14:textId="77777777" w:rsidR="00557FAC" w:rsidRDefault="00824C87">
      <w:pPr>
        <w:spacing w:before="40" w:after="40"/>
        <w:jc w:val="both"/>
      </w:pPr>
      <w:r>
        <w:t>GPT-5.1 was the strongest of the three models (see Model Comparison and Configuration Selection), so configuration- and consistency-level analyses are presented for GPT-5.1 (no temperature-level analysis is reported for GPT-5.1, since the API applied a fixed default temperature to this model — see Methods); the cross-model comparison appears in Figure 5. Moderate filtering substantially outperformed the unfiltered baseline: 20→10 achieved the highest mean ROI (60.6%), followed by 10→5 (56.2%), 10→3 (54.1%), and 20→5 (50.4%), all well above the baseline’s 45.7%.</w:t>
      </w:r>
    </w:p>
    <w:p w14:paraId="2075505A" w14:textId="77777777" w:rsidR="00557FAC" w:rsidRDefault="00824C87">
      <w:pPr>
        <w:spacing w:before="40" w:after="40"/>
        <w:jc w:val="both"/>
      </w:pPr>
      <w:r>
        <w:t xml:space="preserve">Performance declined sharply under aggressive filtering. The four configurations that draw from an oversized thirty-candidate Stage One pool or rank candidates without a validation </w:t>
      </w:r>
      <w:r>
        <w:t>stage — 30→5 (32.3%), 30→10 (40.1%), 30→15 (44.2%), and Ranked (38.9%) — all underperformed even the unfiltered baseline (45.7%). All ten configurations are retained and interpreted together in the analyses that follow.</w:t>
      </w:r>
    </w:p>
    <w:p w14:paraId="4F9858AC" w14:textId="77777777" w:rsidR="00557FAC" w:rsidRDefault="00824C87">
      <w:pPr>
        <w:spacing w:before="40" w:after="40"/>
        <w:jc w:val="both"/>
      </w:pPr>
      <w:r>
        <w:t>The degradation is not a risk trade-off: the oversized-pool configurations give up return without buying stability, scoring lower on both raw and risk-adjusted terms (30→5 returns 32.3% at a median Sharpe of 1.30, against 60.6% at 1.70 for 20→10; Table 1). What unites these weaker methods is a single setting rather than chance: each one either begins from the oversized thirty-candidate pool (30→15, 30→10, 30→5) or applies no validated reduction at all (Ranked). As we expected, mean ROI traces an inverted-U in the initial pool size (holding the model and evaluation windows fixed) — about 42% at five candidates, 55% at both ten and twenty, and 39% at thirty — so return falls once the starting set grows past the mid-range. The most likely cause is the size of the Stage-One request itself. Asking the model for thirty candidates forces it well past the ten to twenty companies it can identify with genuine conviction; to fill the remaining slots, it nominates marginal names it would not otherwise have proposed. These low-quality additions remain in the candidate set through the second stage and into the final portfolio, where they reduce its overall return. Because the padding originates in Stage One, no choice of final size can undo it — which is why every thirty-candidate configuration trails the baseline regardless of how aggressively it is later narrowed. A smaller pool avoids this by requesting only as many candidates as the model can justify, whereas too small a pool (five) produces the opposite problem, leaving the model too few options from which to construct a strong portfolio.</w:t>
      </w:r>
    </w:p>
    <w:p w14:paraId="228E9F5E"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Overall, for GPT-5.1 — the model a practitioner would deploy — structural organization of information is a major, controllable driver of performance: a moderate pool feeding a focused Stage Two maximizes return, while both under-structuring and over-filtering give up return that the same model could otherwise achieve.</w:t>
      </w:r>
    </w:p>
    <w:p w14:paraId="5484ADAB" w14:textId="77777777" w:rsidR="00557FAC" w:rsidRDefault="00824C87">
      <w:pPr>
        <w:keepNext/>
        <w:spacing w:before="40" w:after="40"/>
        <w:jc w:val="center"/>
      </w:pPr>
      <w:r>
        <w:rPr>
          <w:noProof/>
        </w:rPr>
        <w:drawing>
          <wp:inline distT="114300" distB="114300" distL="114300" distR="114300" wp14:anchorId="62F1C0B4" wp14:editId="6F7A994C">
            <wp:extent cx="5120640" cy="2963942"/>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120640" cy="2963942"/>
                    </a:xfrm>
                    <a:prstGeom prst="rect">
                      <a:avLst/>
                    </a:prstGeom>
                    <a:ln/>
                  </pic:spPr>
                </pic:pic>
              </a:graphicData>
            </a:graphic>
          </wp:inline>
        </w:drawing>
      </w:r>
    </w:p>
    <w:p w14:paraId="01074EC5" w14:textId="77777777" w:rsidR="00557FAC" w:rsidRDefault="00824C87">
      <w:pPr>
        <w:pStyle w:val="Heading3"/>
        <w:keepNext/>
        <w:keepLines/>
      </w:pPr>
      <w:bookmarkStart w:id="3" w:name="_tw8ghlrmg8v9" w:colFirst="0" w:colLast="0"/>
      <w:bookmarkEnd w:id="3"/>
      <w:r>
        <w:t>Figure 2. Percentage of matched evaluation windows in which each GPT-5.1 filtering configuration outperformed the unfiltered baseline, with bars colored by initial Stage-One pool size.</w:t>
      </w:r>
    </w:p>
    <w:tbl>
      <w:tblPr>
        <w:tblStyle w:val="a"/>
        <w:tblW w:w="1000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2392"/>
        <w:gridCol w:w="2536"/>
        <w:gridCol w:w="2536"/>
        <w:gridCol w:w="2536"/>
        <w:gridCol w:w="2536"/>
        <w:gridCol w:w="2536"/>
        <w:gridCol w:w="2536"/>
      </w:tblGrid>
      <w:tr w:rsidR="00557FAC" w14:paraId="541E463D" w14:textId="77777777">
        <w:trPr>
          <w:tblHeader/>
        </w:trPr>
        <w:tc>
          <w:tcPr>
            <w:tcW w:w="2392" w:type="dxa"/>
            <w:shd w:val="clear" w:color="auto" w:fill="D9E1F2"/>
            <w:vAlign w:val="center"/>
          </w:tcPr>
          <w:p w14:paraId="10658049" w14:textId="77777777" w:rsidR="00557FAC" w:rsidRDefault="00824C87">
            <w:pPr>
              <w:jc w:val="both"/>
              <w:rPr>
                <w:rFonts w:ascii="Arial" w:eastAsia="Arial" w:hAnsi="Arial" w:cs="Arial"/>
                <w:b/>
                <w:bCs/>
                <w:sz w:val="18"/>
                <w:szCs w:val="18"/>
              </w:rPr>
            </w:pPr>
            <w:r>
              <w:rPr>
                <w:b/>
                <w:bCs/>
                <w:sz w:val="20"/>
                <w:szCs w:val="20"/>
              </w:rPr>
              <w:t>Configuration</w:t>
            </w:r>
          </w:p>
        </w:tc>
        <w:tc>
          <w:tcPr>
            <w:tcW w:w="2536" w:type="dxa"/>
            <w:shd w:val="clear" w:color="auto" w:fill="D9E1F2"/>
            <w:vAlign w:val="center"/>
          </w:tcPr>
          <w:p w14:paraId="20F72426" w14:textId="77777777" w:rsidR="00557FAC" w:rsidRDefault="00824C87">
            <w:pPr>
              <w:jc w:val="center"/>
              <w:rPr>
                <w:rFonts w:ascii="Arial" w:eastAsia="Arial" w:hAnsi="Arial" w:cs="Arial"/>
                <w:b/>
                <w:bCs/>
                <w:sz w:val="18"/>
                <w:szCs w:val="18"/>
              </w:rPr>
            </w:pPr>
            <w:r>
              <w:rPr>
                <w:b/>
                <w:bCs/>
                <w:sz w:val="20"/>
                <w:szCs w:val="20"/>
              </w:rPr>
              <w:t>Mean ROI (%)</w:t>
            </w:r>
          </w:p>
        </w:tc>
        <w:tc>
          <w:tcPr>
            <w:tcW w:w="2536" w:type="dxa"/>
            <w:shd w:val="clear" w:color="auto" w:fill="D9E1F2"/>
            <w:vAlign w:val="center"/>
          </w:tcPr>
          <w:p w14:paraId="44328A8D" w14:textId="77777777" w:rsidR="00557FAC" w:rsidRDefault="00824C87">
            <w:pPr>
              <w:jc w:val="center"/>
              <w:rPr>
                <w:rFonts w:ascii="Arial" w:eastAsia="Arial" w:hAnsi="Arial" w:cs="Arial"/>
                <w:b/>
                <w:bCs/>
                <w:sz w:val="18"/>
                <w:szCs w:val="18"/>
              </w:rPr>
            </w:pPr>
            <w:r>
              <w:rPr>
                <w:b/>
                <w:bCs/>
                <w:sz w:val="20"/>
                <w:szCs w:val="20"/>
              </w:rPr>
              <w:t>Volatility (%)</w:t>
            </w:r>
          </w:p>
        </w:tc>
        <w:tc>
          <w:tcPr>
            <w:tcW w:w="2536" w:type="dxa"/>
            <w:shd w:val="clear" w:color="auto" w:fill="D9E1F2"/>
            <w:vAlign w:val="center"/>
          </w:tcPr>
          <w:p w14:paraId="61FA2304" w14:textId="77777777" w:rsidR="00557FAC" w:rsidRDefault="00824C87">
            <w:pPr>
              <w:jc w:val="center"/>
              <w:rPr>
                <w:rFonts w:ascii="Arial" w:eastAsia="Arial" w:hAnsi="Arial" w:cs="Arial"/>
                <w:b/>
                <w:bCs/>
                <w:sz w:val="18"/>
                <w:szCs w:val="18"/>
              </w:rPr>
            </w:pPr>
            <w:r>
              <w:t>Max DD (%)</w:t>
            </w:r>
          </w:p>
        </w:tc>
        <w:tc>
          <w:tcPr>
            <w:tcW w:type="dxa" w:w="2536"/>
          </w:tcPr>
          <w:p>
            <w:r>
              <w:rPr>
                <w:b/>
                <w:bCs/>
                <w:sz w:val="20"/>
                <w:szCs w:val="20"/>
              </w:rPr>
              <w:t>Sharpe</w:t>
            </w:r>
          </w:p>
        </w:tc>
        <w:tc>
          <w:tcPr>
            <w:tcW w:type="dxa" w:w="2536"/>
          </w:tcPr>
          <w:p>
            <w:r>
              <w:rPr>
                <w:b/>
                <w:bCs/>
                <w:sz w:val="20"/>
                <w:szCs w:val="20"/>
              </w:rPr>
              <w:t>Win vs Unfiltered (%)</w:t>
            </w:r>
          </w:p>
        </w:tc>
        <w:tc>
          <w:tcPr>
            <w:tcW w:type="dxa" w:w="2536"/>
          </w:tcPr>
          <w:p>
            <w:r>
              <w:rPr>
                <w:b/>
                <w:bCs/>
                <w:sz w:val="20"/>
                <w:szCs w:val="20"/>
              </w:rPr>
              <w:t>95% CI (Win %)</w:t>
            </w:r>
          </w:p>
        </w:tc>
      </w:tr>
      <w:tr w:rsidR="00557FAC" w14:paraId="2B51AC8B" w14:textId="77777777">
        <w:tc>
          <w:tcPr>
            <w:tcW w:w="2392" w:type="dxa"/>
            <w:vAlign w:val="center"/>
          </w:tcPr>
          <w:p w14:paraId="287980AE" w14:textId="77777777" w:rsidR="00557FAC" w:rsidRDefault="00824C87">
            <w:pPr>
              <w:jc w:val="both"/>
              <w:rPr>
                <w:rFonts w:ascii="Arial" w:eastAsia="Arial" w:hAnsi="Arial" w:cs="Arial"/>
                <w:sz w:val="18"/>
                <w:szCs w:val="18"/>
              </w:rPr>
            </w:pPr>
            <w:r>
              <w:rPr>
                <w:sz w:val="20"/>
                <w:szCs w:val="20"/>
              </w:rPr>
              <w:t>20→10</w:t>
            </w:r>
          </w:p>
        </w:tc>
        <w:tc>
          <w:tcPr>
            <w:tcW w:w="2536" w:type="dxa"/>
            <w:vAlign w:val="center"/>
          </w:tcPr>
          <w:p w14:paraId="584A69FA" w14:textId="77777777" w:rsidR="00557FAC" w:rsidRDefault="00824C87">
            <w:pPr>
              <w:jc w:val="center"/>
              <w:rPr>
                <w:rFonts w:ascii="Arial" w:eastAsia="Arial" w:hAnsi="Arial" w:cs="Arial"/>
                <w:sz w:val="18"/>
                <w:szCs w:val="18"/>
              </w:rPr>
            </w:pPr>
            <w:r>
              <w:rPr>
                <w:sz w:val="20"/>
                <w:szCs w:val="20"/>
              </w:rPr>
              <w:t>60.6</w:t>
            </w:r>
          </w:p>
        </w:tc>
        <w:tc>
          <w:tcPr>
            <w:tcW w:w="2536" w:type="dxa"/>
            <w:vAlign w:val="center"/>
          </w:tcPr>
          <w:p w14:paraId="39D082B3" w14:textId="77777777" w:rsidR="00557FAC" w:rsidRDefault="00824C87">
            <w:pPr>
              <w:jc w:val="center"/>
              <w:rPr>
                <w:rFonts w:ascii="Arial" w:eastAsia="Arial" w:hAnsi="Arial" w:cs="Arial"/>
                <w:sz w:val="18"/>
                <w:szCs w:val="18"/>
              </w:rPr>
            </w:pPr>
            <w:r>
              <w:rPr>
                <w:sz w:val="20"/>
                <w:szCs w:val="20"/>
              </w:rPr>
              <w:t>28.1</w:t>
            </w:r>
          </w:p>
        </w:tc>
        <w:tc>
          <w:tcPr>
            <w:tcW w:w="2536" w:type="dxa"/>
            <w:vAlign w:val="center"/>
          </w:tcPr>
          <w:p w14:paraId="0F32CF91" w14:textId="77777777" w:rsidR="00557FAC" w:rsidRDefault="00824C87">
            <w:pPr>
              <w:jc w:val="center"/>
              <w:rPr>
                <w:rFonts w:ascii="Arial" w:eastAsia="Arial" w:hAnsi="Arial" w:cs="Arial"/>
                <w:sz w:val="18"/>
                <w:szCs w:val="18"/>
              </w:rPr>
            </w:pPr>
            <w:r>
              <w:t>−23.2</w:t>
            </w:r>
          </w:p>
        </w:tc>
        <w:tc>
          <w:tcPr>
            <w:tcW w:type="dxa" w:w="2536"/>
          </w:tcPr>
          <w:p>
            <w:r>
              <w:rPr>
                <w:sz w:val="20"/>
                <w:szCs w:val="20"/>
              </w:rPr>
              <w:t>1.70</w:t>
            </w:r>
          </w:p>
        </w:tc>
        <w:tc>
          <w:tcPr>
            <w:tcW w:type="dxa" w:w="2536"/>
          </w:tcPr>
          <w:p>
            <w:r>
              <w:rPr>
                <w:sz w:val="20"/>
                <w:szCs w:val="20"/>
              </w:rPr>
              <w:t>81.5</w:t>
            </w:r>
          </w:p>
        </w:tc>
        <w:tc>
          <w:tcPr>
            <w:tcW w:type="dxa" w:w="2536"/>
          </w:tcPr>
          <w:p>
            <w:r>
              <w:rPr>
                <w:sz w:val="20"/>
                <w:szCs w:val="20"/>
              </w:rPr>
              <w:t>[61.9, 93.7]</w:t>
            </w:r>
          </w:p>
        </w:tc>
      </w:tr>
      <w:tr w:rsidR="00557FAC" w14:paraId="44C6EDC8" w14:textId="77777777">
        <w:tc>
          <w:tcPr>
            <w:tcW w:w="2392" w:type="dxa"/>
            <w:vAlign w:val="center"/>
          </w:tcPr>
          <w:p w14:paraId="7755132E" w14:textId="77777777" w:rsidR="00557FAC" w:rsidRDefault="00824C87">
            <w:pPr>
              <w:jc w:val="both"/>
              <w:rPr>
                <w:rFonts w:ascii="Arial" w:eastAsia="Arial" w:hAnsi="Arial" w:cs="Arial"/>
                <w:sz w:val="18"/>
                <w:szCs w:val="18"/>
              </w:rPr>
            </w:pPr>
            <w:r>
              <w:rPr>
                <w:sz w:val="20"/>
                <w:szCs w:val="20"/>
              </w:rPr>
              <w:t>10→5</w:t>
            </w:r>
          </w:p>
        </w:tc>
        <w:tc>
          <w:tcPr>
            <w:tcW w:w="2536" w:type="dxa"/>
            <w:vAlign w:val="center"/>
          </w:tcPr>
          <w:p w14:paraId="15CDBEE1" w14:textId="77777777" w:rsidR="00557FAC" w:rsidRDefault="00824C87">
            <w:pPr>
              <w:jc w:val="center"/>
              <w:rPr>
                <w:rFonts w:ascii="Arial" w:eastAsia="Arial" w:hAnsi="Arial" w:cs="Arial"/>
                <w:sz w:val="18"/>
                <w:szCs w:val="18"/>
              </w:rPr>
            </w:pPr>
            <w:r>
              <w:rPr>
                <w:sz w:val="20"/>
                <w:szCs w:val="20"/>
              </w:rPr>
              <w:t>56.2</w:t>
            </w:r>
          </w:p>
        </w:tc>
        <w:tc>
          <w:tcPr>
            <w:tcW w:w="2536" w:type="dxa"/>
            <w:vAlign w:val="center"/>
          </w:tcPr>
          <w:p w14:paraId="11207843" w14:textId="77777777" w:rsidR="00557FAC" w:rsidRDefault="00824C87">
            <w:pPr>
              <w:jc w:val="center"/>
              <w:rPr>
                <w:rFonts w:ascii="Arial" w:eastAsia="Arial" w:hAnsi="Arial" w:cs="Arial"/>
                <w:sz w:val="18"/>
                <w:szCs w:val="18"/>
              </w:rPr>
            </w:pPr>
            <w:r>
              <w:rPr>
                <w:sz w:val="20"/>
                <w:szCs w:val="20"/>
              </w:rPr>
              <w:t>26.6</w:t>
            </w:r>
          </w:p>
        </w:tc>
        <w:tc>
          <w:tcPr>
            <w:tcW w:w="2536" w:type="dxa"/>
            <w:vAlign w:val="center"/>
          </w:tcPr>
          <w:p w14:paraId="25B2507F" w14:textId="77777777" w:rsidR="00557FAC" w:rsidRDefault="00824C87">
            <w:pPr>
              <w:jc w:val="center"/>
              <w:rPr>
                <w:rFonts w:ascii="Arial" w:eastAsia="Arial" w:hAnsi="Arial" w:cs="Arial"/>
                <w:sz w:val="18"/>
                <w:szCs w:val="18"/>
              </w:rPr>
            </w:pPr>
            <w:r>
              <w:t>−23.6</w:t>
            </w:r>
          </w:p>
        </w:tc>
        <w:tc>
          <w:tcPr>
            <w:tcW w:type="dxa" w:w="2536"/>
          </w:tcPr>
          <w:p>
            <w:r>
              <w:rPr>
                <w:sz w:val="20"/>
                <w:szCs w:val="20"/>
              </w:rPr>
              <w:t>1.61</w:t>
            </w:r>
          </w:p>
        </w:tc>
        <w:tc>
          <w:tcPr>
            <w:tcW w:type="dxa" w:w="2536"/>
          </w:tcPr>
          <w:p>
            <w:r>
              <w:rPr>
                <w:sz w:val="20"/>
                <w:szCs w:val="20"/>
              </w:rPr>
              <w:t>77.8</w:t>
            </w:r>
          </w:p>
        </w:tc>
        <w:tc>
          <w:tcPr>
            <w:tcW w:type="dxa" w:w="2536"/>
          </w:tcPr>
          <w:p>
            <w:r>
              <w:rPr>
                <w:sz w:val="20"/>
                <w:szCs w:val="20"/>
              </w:rPr>
              <w:t>[57.7, 91.4]</w:t>
            </w:r>
          </w:p>
        </w:tc>
      </w:tr>
      <w:tr w:rsidR="00557FAC" w14:paraId="3ECB05AF" w14:textId="77777777">
        <w:tc>
          <w:tcPr>
            <w:tcW w:w="2392" w:type="dxa"/>
            <w:vAlign w:val="center"/>
          </w:tcPr>
          <w:p w14:paraId="1E9CDCBD" w14:textId="77777777" w:rsidR="00557FAC" w:rsidRDefault="00824C87">
            <w:pPr>
              <w:jc w:val="both"/>
              <w:rPr>
                <w:rFonts w:ascii="Arial" w:eastAsia="Arial" w:hAnsi="Arial" w:cs="Arial"/>
                <w:sz w:val="18"/>
                <w:szCs w:val="18"/>
              </w:rPr>
            </w:pPr>
            <w:r>
              <w:rPr>
                <w:sz w:val="20"/>
                <w:szCs w:val="20"/>
              </w:rPr>
              <w:t>10→3</w:t>
            </w:r>
          </w:p>
        </w:tc>
        <w:tc>
          <w:tcPr>
            <w:tcW w:w="2536" w:type="dxa"/>
            <w:vAlign w:val="center"/>
          </w:tcPr>
          <w:p w14:paraId="02CCF24A" w14:textId="77777777" w:rsidR="00557FAC" w:rsidRDefault="00824C87">
            <w:pPr>
              <w:jc w:val="center"/>
              <w:rPr>
                <w:rFonts w:ascii="Arial" w:eastAsia="Arial" w:hAnsi="Arial" w:cs="Arial"/>
                <w:sz w:val="18"/>
                <w:szCs w:val="18"/>
              </w:rPr>
            </w:pPr>
            <w:r>
              <w:rPr>
                <w:sz w:val="20"/>
                <w:szCs w:val="20"/>
              </w:rPr>
              <w:t>54.1</w:t>
            </w:r>
          </w:p>
        </w:tc>
        <w:tc>
          <w:tcPr>
            <w:tcW w:w="2536" w:type="dxa"/>
            <w:vAlign w:val="center"/>
          </w:tcPr>
          <w:p w14:paraId="0B77BA22" w14:textId="77777777" w:rsidR="00557FAC" w:rsidRDefault="00824C87">
            <w:pPr>
              <w:jc w:val="center"/>
              <w:rPr>
                <w:rFonts w:ascii="Arial" w:eastAsia="Arial" w:hAnsi="Arial" w:cs="Arial"/>
                <w:sz w:val="18"/>
                <w:szCs w:val="18"/>
              </w:rPr>
            </w:pPr>
            <w:r>
              <w:rPr>
                <w:sz w:val="20"/>
                <w:szCs w:val="20"/>
              </w:rPr>
              <w:t>26.0</w:t>
            </w:r>
          </w:p>
        </w:tc>
        <w:tc>
          <w:tcPr>
            <w:tcW w:w="2536" w:type="dxa"/>
            <w:vAlign w:val="center"/>
          </w:tcPr>
          <w:p w14:paraId="0B2C5524" w14:textId="77777777" w:rsidR="00557FAC" w:rsidRDefault="00824C87">
            <w:pPr>
              <w:jc w:val="center"/>
              <w:rPr>
                <w:rFonts w:ascii="Arial" w:eastAsia="Arial" w:hAnsi="Arial" w:cs="Arial"/>
                <w:sz w:val="18"/>
                <w:szCs w:val="18"/>
              </w:rPr>
            </w:pPr>
            <w:r>
              <w:t>−23.0</w:t>
            </w:r>
          </w:p>
        </w:tc>
        <w:tc>
          <w:tcPr>
            <w:tcW w:type="dxa" w:w="2536"/>
          </w:tcPr>
          <w:p>
            <w:r>
              <w:rPr>
                <w:sz w:val="20"/>
                <w:szCs w:val="20"/>
              </w:rPr>
              <w:t>1.54</w:t>
            </w:r>
          </w:p>
        </w:tc>
        <w:tc>
          <w:tcPr>
            <w:tcW w:type="dxa" w:w="2536"/>
          </w:tcPr>
          <w:p>
            <w:r>
              <w:rPr>
                <w:sz w:val="20"/>
                <w:szCs w:val="20"/>
              </w:rPr>
              <w:t>74.1</w:t>
            </w:r>
          </w:p>
        </w:tc>
        <w:tc>
          <w:tcPr>
            <w:tcW w:type="dxa" w:w="2536"/>
          </w:tcPr>
          <w:p>
            <w:r>
              <w:rPr>
                <w:sz w:val="20"/>
                <w:szCs w:val="20"/>
              </w:rPr>
              <w:t>[53.7, 88.9]</w:t>
            </w:r>
          </w:p>
        </w:tc>
      </w:tr>
      <w:tr w:rsidR="00557FAC" w14:paraId="33205DF9" w14:textId="77777777">
        <w:tc>
          <w:tcPr>
            <w:tcW w:w="2392" w:type="dxa"/>
            <w:vAlign w:val="center"/>
          </w:tcPr>
          <w:p w14:paraId="0DA5DD54" w14:textId="77777777" w:rsidR="00557FAC" w:rsidRDefault="00824C87">
            <w:pPr>
              <w:jc w:val="both"/>
              <w:rPr>
                <w:rFonts w:ascii="Arial" w:eastAsia="Arial" w:hAnsi="Arial" w:cs="Arial"/>
                <w:sz w:val="18"/>
                <w:szCs w:val="18"/>
              </w:rPr>
            </w:pPr>
            <w:r>
              <w:rPr>
                <w:sz w:val="20"/>
                <w:szCs w:val="20"/>
              </w:rPr>
              <w:t>20→5</w:t>
            </w:r>
          </w:p>
        </w:tc>
        <w:tc>
          <w:tcPr>
            <w:tcW w:w="2536" w:type="dxa"/>
            <w:vAlign w:val="center"/>
          </w:tcPr>
          <w:p w14:paraId="2F28886E" w14:textId="77777777" w:rsidR="00557FAC" w:rsidRDefault="00824C87">
            <w:pPr>
              <w:jc w:val="center"/>
              <w:rPr>
                <w:rFonts w:ascii="Arial" w:eastAsia="Arial" w:hAnsi="Arial" w:cs="Arial"/>
                <w:sz w:val="18"/>
                <w:szCs w:val="18"/>
              </w:rPr>
            </w:pPr>
            <w:r>
              <w:rPr>
                <w:sz w:val="20"/>
                <w:szCs w:val="20"/>
              </w:rPr>
              <w:t>50.4</w:t>
            </w:r>
          </w:p>
        </w:tc>
        <w:tc>
          <w:tcPr>
            <w:tcW w:w="2536" w:type="dxa"/>
            <w:vAlign w:val="center"/>
          </w:tcPr>
          <w:p w14:paraId="41069E2E" w14:textId="77777777" w:rsidR="00557FAC" w:rsidRDefault="00824C87">
            <w:pPr>
              <w:jc w:val="center"/>
              <w:rPr>
                <w:rFonts w:ascii="Arial" w:eastAsia="Arial" w:hAnsi="Arial" w:cs="Arial"/>
                <w:sz w:val="18"/>
                <w:szCs w:val="18"/>
              </w:rPr>
            </w:pPr>
            <w:r>
              <w:rPr>
                <w:sz w:val="20"/>
                <w:szCs w:val="20"/>
              </w:rPr>
              <w:t>27.0</w:t>
            </w:r>
          </w:p>
        </w:tc>
        <w:tc>
          <w:tcPr>
            <w:tcW w:w="2536" w:type="dxa"/>
            <w:vAlign w:val="center"/>
          </w:tcPr>
          <w:p w14:paraId="35EF29B9" w14:textId="77777777" w:rsidR="00557FAC" w:rsidRDefault="00824C87">
            <w:pPr>
              <w:jc w:val="center"/>
              <w:rPr>
                <w:rFonts w:ascii="Arial" w:eastAsia="Arial" w:hAnsi="Arial" w:cs="Arial"/>
                <w:sz w:val="18"/>
                <w:szCs w:val="18"/>
              </w:rPr>
            </w:pPr>
            <w:r>
              <w:t>−24.2</w:t>
            </w:r>
          </w:p>
        </w:tc>
        <w:tc>
          <w:tcPr>
            <w:tcW w:type="dxa" w:w="2536"/>
          </w:tcPr>
          <w:p>
            <w:r>
              <w:rPr>
                <w:sz w:val="20"/>
                <w:szCs w:val="20"/>
              </w:rPr>
              <w:t>1.55</w:t>
            </w:r>
          </w:p>
        </w:tc>
        <w:tc>
          <w:tcPr>
            <w:tcW w:type="dxa" w:w="2536"/>
          </w:tcPr>
          <w:p>
            <w:r>
              <w:rPr>
                <w:sz w:val="20"/>
                <w:szCs w:val="20"/>
              </w:rPr>
              <w:t>74.1</w:t>
            </w:r>
          </w:p>
        </w:tc>
        <w:tc>
          <w:tcPr>
            <w:tcW w:type="dxa" w:w="2536"/>
          </w:tcPr>
          <w:p>
            <w:r>
              <w:rPr>
                <w:sz w:val="20"/>
                <w:szCs w:val="20"/>
              </w:rPr>
              <w:t>[53.7, 88.9]</w:t>
            </w:r>
          </w:p>
        </w:tc>
      </w:tr>
      <w:tr w:rsidR="00557FAC" w14:paraId="31FF5E91" w14:textId="77777777">
        <w:tc>
          <w:tcPr>
            <w:tcW w:w="2392" w:type="dxa"/>
            <w:vAlign w:val="center"/>
          </w:tcPr>
          <w:p w14:paraId="7BC1E309" w14:textId="77777777" w:rsidR="00557FAC" w:rsidRDefault="00824C87">
            <w:pPr>
              <w:jc w:val="both"/>
              <w:rPr>
                <w:rFonts w:ascii="Arial" w:eastAsia="Arial" w:hAnsi="Arial" w:cs="Arial"/>
                <w:sz w:val="18"/>
                <w:szCs w:val="18"/>
              </w:rPr>
            </w:pPr>
            <w:r>
              <w:rPr>
                <w:sz w:val="20"/>
                <w:szCs w:val="20"/>
              </w:rPr>
              <w:t>unfiltered</w:t>
            </w:r>
          </w:p>
        </w:tc>
        <w:tc>
          <w:tcPr>
            <w:tcW w:w="2536" w:type="dxa"/>
            <w:vAlign w:val="center"/>
          </w:tcPr>
          <w:p w14:paraId="582FB858" w14:textId="77777777" w:rsidR="00557FAC" w:rsidRDefault="00824C87">
            <w:pPr>
              <w:jc w:val="center"/>
              <w:rPr>
                <w:rFonts w:ascii="Arial" w:eastAsia="Arial" w:hAnsi="Arial" w:cs="Arial"/>
                <w:sz w:val="18"/>
                <w:szCs w:val="18"/>
              </w:rPr>
            </w:pPr>
            <w:r>
              <w:rPr>
                <w:sz w:val="20"/>
                <w:szCs w:val="20"/>
              </w:rPr>
              <w:t>45.7</w:t>
            </w:r>
          </w:p>
        </w:tc>
        <w:tc>
          <w:tcPr>
            <w:tcW w:w="2536" w:type="dxa"/>
            <w:vAlign w:val="center"/>
          </w:tcPr>
          <w:p w14:paraId="39BFED59" w14:textId="77777777" w:rsidR="00557FAC" w:rsidRDefault="00824C87">
            <w:pPr>
              <w:jc w:val="center"/>
              <w:rPr>
                <w:rFonts w:ascii="Arial" w:eastAsia="Arial" w:hAnsi="Arial" w:cs="Arial"/>
                <w:sz w:val="18"/>
                <w:szCs w:val="18"/>
              </w:rPr>
            </w:pPr>
            <w:r>
              <w:rPr>
                <w:sz w:val="20"/>
                <w:szCs w:val="20"/>
              </w:rPr>
              <w:t>27.8</w:t>
            </w:r>
          </w:p>
        </w:tc>
        <w:tc>
          <w:tcPr>
            <w:tcW w:w="2536" w:type="dxa"/>
            <w:vAlign w:val="center"/>
          </w:tcPr>
          <w:p w14:paraId="13013FF5" w14:textId="77777777" w:rsidR="00557FAC" w:rsidRDefault="00824C87">
            <w:pPr>
              <w:jc w:val="center"/>
              <w:rPr>
                <w:rFonts w:ascii="Arial" w:eastAsia="Arial" w:hAnsi="Arial" w:cs="Arial"/>
                <w:sz w:val="18"/>
                <w:szCs w:val="18"/>
              </w:rPr>
            </w:pPr>
            <w:r>
              <w:t>−22.4</w:t>
            </w:r>
          </w:p>
        </w:tc>
        <w:tc>
          <w:tcPr>
            <w:tcW w:type="dxa" w:w="2536"/>
          </w:tcPr>
          <w:p>
            <w:r>
              <w:rPr>
                <w:sz w:val="20"/>
                <w:szCs w:val="20"/>
              </w:rPr>
              <w:t>1.34</w:t>
            </w:r>
          </w:p>
        </w:tc>
        <w:tc>
          <w:tcPr>
            <w:tcW w:type="dxa" w:w="2536"/>
          </w:tcPr>
          <w:p>
            <w:r>
              <w:rPr>
                <w:sz w:val="20"/>
                <w:szCs w:val="20"/>
              </w:rPr>
              <w:t>—</w:t>
            </w:r>
          </w:p>
        </w:tc>
        <w:tc>
          <w:tcPr>
            <w:tcW w:type="dxa" w:w="2536"/>
          </w:tcPr>
          <w:p>
            <w:r>
              <w:rPr>
                <w:sz w:val="20"/>
                <w:szCs w:val="20"/>
              </w:rPr>
              <w:t>—</w:t>
            </w:r>
          </w:p>
        </w:tc>
      </w:tr>
      <w:tr w:rsidR="00557FAC" w14:paraId="034A9A8C" w14:textId="77777777">
        <w:tc>
          <w:tcPr>
            <w:tcW w:w="2392" w:type="dxa"/>
            <w:vAlign w:val="center"/>
          </w:tcPr>
          <w:p w14:paraId="2CDB9BDF" w14:textId="77777777" w:rsidR="00557FAC" w:rsidRDefault="00824C87">
            <w:pPr>
              <w:jc w:val="both"/>
              <w:rPr>
                <w:rFonts w:ascii="Arial" w:eastAsia="Arial" w:hAnsi="Arial" w:cs="Arial"/>
                <w:sz w:val="18"/>
                <w:szCs w:val="18"/>
              </w:rPr>
            </w:pPr>
            <w:r>
              <w:rPr>
                <w:sz w:val="20"/>
                <w:szCs w:val="20"/>
              </w:rPr>
              <w:t>30→15</w:t>
            </w:r>
          </w:p>
        </w:tc>
        <w:tc>
          <w:tcPr>
            <w:tcW w:w="2536" w:type="dxa"/>
            <w:vAlign w:val="center"/>
          </w:tcPr>
          <w:p w14:paraId="7FF78084" w14:textId="77777777" w:rsidR="00557FAC" w:rsidRDefault="00824C87">
            <w:pPr>
              <w:jc w:val="center"/>
              <w:rPr>
                <w:rFonts w:ascii="Arial" w:eastAsia="Arial" w:hAnsi="Arial" w:cs="Arial"/>
                <w:sz w:val="18"/>
                <w:szCs w:val="18"/>
              </w:rPr>
            </w:pPr>
            <w:r>
              <w:rPr>
                <w:sz w:val="20"/>
                <w:szCs w:val="20"/>
              </w:rPr>
              <w:t>44.2</w:t>
            </w:r>
          </w:p>
        </w:tc>
        <w:tc>
          <w:tcPr>
            <w:tcW w:w="2536" w:type="dxa"/>
            <w:vAlign w:val="center"/>
          </w:tcPr>
          <w:p w14:paraId="550A453B" w14:textId="77777777" w:rsidR="00557FAC" w:rsidRDefault="00824C87">
            <w:pPr>
              <w:jc w:val="center"/>
              <w:rPr>
                <w:rFonts w:ascii="Arial" w:eastAsia="Arial" w:hAnsi="Arial" w:cs="Arial"/>
                <w:sz w:val="18"/>
                <w:szCs w:val="18"/>
              </w:rPr>
            </w:pPr>
            <w:r>
              <w:rPr>
                <w:sz w:val="20"/>
                <w:szCs w:val="20"/>
              </w:rPr>
              <w:t>25.6</w:t>
            </w:r>
          </w:p>
        </w:tc>
        <w:tc>
          <w:tcPr>
            <w:tcW w:w="2536" w:type="dxa"/>
            <w:vAlign w:val="center"/>
          </w:tcPr>
          <w:p w14:paraId="060EDD40" w14:textId="77777777" w:rsidR="00557FAC" w:rsidRDefault="00824C87">
            <w:pPr>
              <w:jc w:val="center"/>
              <w:rPr>
                <w:rFonts w:ascii="Arial" w:eastAsia="Arial" w:hAnsi="Arial" w:cs="Arial"/>
                <w:sz w:val="18"/>
                <w:szCs w:val="18"/>
              </w:rPr>
            </w:pPr>
            <w:r>
              <w:t>−22.3</w:t>
            </w:r>
          </w:p>
        </w:tc>
        <w:tc>
          <w:tcPr>
            <w:tcW w:type="dxa" w:w="2536"/>
          </w:tcPr>
          <w:p>
            <w:r>
              <w:rPr>
                <w:sz w:val="20"/>
                <w:szCs w:val="20"/>
              </w:rPr>
              <w:t>1.43</w:t>
            </w:r>
          </w:p>
        </w:tc>
        <w:tc>
          <w:tcPr>
            <w:tcW w:type="dxa" w:w="2536"/>
          </w:tcPr>
          <w:p>
            <w:r>
              <w:rPr>
                <w:sz w:val="20"/>
                <w:szCs w:val="20"/>
              </w:rPr>
              <w:t>40.7</w:t>
            </w:r>
          </w:p>
        </w:tc>
        <w:tc>
          <w:tcPr>
            <w:tcW w:type="dxa" w:w="2536"/>
          </w:tcPr>
          <w:p>
            <w:r>
              <w:rPr>
                <w:sz w:val="20"/>
                <w:szCs w:val="20"/>
              </w:rPr>
              <w:t>[22.4, 61.2]</w:t>
            </w:r>
          </w:p>
        </w:tc>
      </w:tr>
      <w:tr w:rsidR="00557FAC" w14:paraId="4B1A151F" w14:textId="77777777">
        <w:tc>
          <w:tcPr>
            <w:tcW w:w="2392" w:type="dxa"/>
            <w:vAlign w:val="center"/>
          </w:tcPr>
          <w:p w14:paraId="6017AC79" w14:textId="77777777" w:rsidR="00557FAC" w:rsidRDefault="00824C87">
            <w:pPr>
              <w:jc w:val="both"/>
              <w:rPr>
                <w:rFonts w:ascii="Arial" w:eastAsia="Arial" w:hAnsi="Arial" w:cs="Arial"/>
                <w:sz w:val="18"/>
                <w:szCs w:val="18"/>
              </w:rPr>
            </w:pPr>
            <w:r>
              <w:rPr>
                <w:sz w:val="20"/>
                <w:szCs w:val="20"/>
              </w:rPr>
              <w:t>5→3</w:t>
            </w:r>
          </w:p>
        </w:tc>
        <w:tc>
          <w:tcPr>
            <w:tcW w:w="2536" w:type="dxa"/>
            <w:vAlign w:val="center"/>
          </w:tcPr>
          <w:p w14:paraId="07407FF8" w14:textId="77777777" w:rsidR="00557FAC" w:rsidRDefault="00824C87">
            <w:pPr>
              <w:jc w:val="center"/>
              <w:rPr>
                <w:rFonts w:ascii="Arial" w:eastAsia="Arial" w:hAnsi="Arial" w:cs="Arial"/>
                <w:sz w:val="18"/>
                <w:szCs w:val="18"/>
              </w:rPr>
            </w:pPr>
            <w:r>
              <w:rPr>
                <w:sz w:val="20"/>
                <w:szCs w:val="20"/>
              </w:rPr>
              <w:t>42.2</w:t>
            </w:r>
          </w:p>
        </w:tc>
        <w:tc>
          <w:tcPr>
            <w:tcW w:w="2536" w:type="dxa"/>
            <w:vAlign w:val="center"/>
          </w:tcPr>
          <w:p w14:paraId="507A07B0" w14:textId="77777777" w:rsidR="00557FAC" w:rsidRDefault="00824C87">
            <w:pPr>
              <w:jc w:val="center"/>
              <w:rPr>
                <w:rFonts w:ascii="Arial" w:eastAsia="Arial" w:hAnsi="Arial" w:cs="Arial"/>
                <w:sz w:val="18"/>
                <w:szCs w:val="18"/>
              </w:rPr>
            </w:pPr>
            <w:r>
              <w:rPr>
                <w:sz w:val="20"/>
                <w:szCs w:val="20"/>
              </w:rPr>
              <w:t>24.9</w:t>
            </w:r>
          </w:p>
        </w:tc>
        <w:tc>
          <w:tcPr>
            <w:tcW w:w="2536" w:type="dxa"/>
            <w:vAlign w:val="center"/>
          </w:tcPr>
          <w:p w14:paraId="7485C66C" w14:textId="77777777" w:rsidR="00557FAC" w:rsidRDefault="00824C87">
            <w:pPr>
              <w:jc w:val="center"/>
              <w:rPr>
                <w:rFonts w:ascii="Arial" w:eastAsia="Arial" w:hAnsi="Arial" w:cs="Arial"/>
                <w:sz w:val="18"/>
                <w:szCs w:val="18"/>
              </w:rPr>
            </w:pPr>
            <w:r>
              <w:t>−22.6</w:t>
            </w:r>
          </w:p>
        </w:tc>
        <w:tc>
          <w:tcPr>
            <w:tcW w:type="dxa" w:w="2536"/>
          </w:tcPr>
          <w:p>
            <w:r>
              <w:rPr>
                <w:sz w:val="20"/>
                <w:szCs w:val="20"/>
              </w:rPr>
              <w:t>1.43</w:t>
            </w:r>
          </w:p>
        </w:tc>
        <w:tc>
          <w:tcPr>
            <w:tcW w:type="dxa" w:w="2536"/>
          </w:tcPr>
          <w:p>
            <w:r>
              <w:rPr>
                <w:sz w:val="20"/>
                <w:szCs w:val="20"/>
              </w:rPr>
              <w:t>40.7</w:t>
            </w:r>
          </w:p>
        </w:tc>
        <w:tc>
          <w:tcPr>
            <w:tcW w:type="dxa" w:w="2536"/>
          </w:tcPr>
          <w:p>
            <w:r>
              <w:rPr>
                <w:sz w:val="20"/>
                <w:szCs w:val="20"/>
              </w:rPr>
              <w:t>[22.4, 61.2]</w:t>
            </w:r>
          </w:p>
        </w:tc>
      </w:tr>
      <w:tr w:rsidR="00557FAC" w14:paraId="1FF352F3" w14:textId="77777777">
        <w:tc>
          <w:tcPr>
            <w:tcW w:w="2392" w:type="dxa"/>
            <w:vAlign w:val="center"/>
          </w:tcPr>
          <w:p w14:paraId="42A911B7" w14:textId="77777777" w:rsidR="00557FAC" w:rsidRDefault="00824C87">
            <w:pPr>
              <w:jc w:val="both"/>
              <w:rPr>
                <w:rFonts w:ascii="Arial" w:eastAsia="Arial" w:hAnsi="Arial" w:cs="Arial"/>
                <w:sz w:val="18"/>
                <w:szCs w:val="18"/>
              </w:rPr>
            </w:pPr>
            <w:r>
              <w:rPr>
                <w:sz w:val="20"/>
                <w:szCs w:val="20"/>
              </w:rPr>
              <w:t>30→10</w:t>
            </w:r>
          </w:p>
        </w:tc>
        <w:tc>
          <w:tcPr>
            <w:tcW w:w="2536" w:type="dxa"/>
            <w:vAlign w:val="center"/>
          </w:tcPr>
          <w:p w14:paraId="6B196FF2" w14:textId="77777777" w:rsidR="00557FAC" w:rsidRDefault="00824C87">
            <w:pPr>
              <w:jc w:val="center"/>
              <w:rPr>
                <w:rFonts w:ascii="Arial" w:eastAsia="Arial" w:hAnsi="Arial" w:cs="Arial"/>
                <w:sz w:val="18"/>
                <w:szCs w:val="18"/>
              </w:rPr>
            </w:pPr>
            <w:r>
              <w:rPr>
                <w:sz w:val="20"/>
                <w:szCs w:val="20"/>
              </w:rPr>
              <w:t>40.1</w:t>
            </w:r>
          </w:p>
        </w:tc>
        <w:tc>
          <w:tcPr>
            <w:tcW w:w="2536" w:type="dxa"/>
            <w:vAlign w:val="center"/>
          </w:tcPr>
          <w:p w14:paraId="49E88848" w14:textId="77777777" w:rsidR="00557FAC" w:rsidRDefault="00824C87">
            <w:pPr>
              <w:jc w:val="center"/>
              <w:rPr>
                <w:rFonts w:ascii="Arial" w:eastAsia="Arial" w:hAnsi="Arial" w:cs="Arial"/>
                <w:sz w:val="18"/>
                <w:szCs w:val="18"/>
              </w:rPr>
            </w:pPr>
            <w:r>
              <w:rPr>
                <w:sz w:val="20"/>
                <w:szCs w:val="20"/>
              </w:rPr>
              <w:t>24.4</w:t>
            </w:r>
          </w:p>
        </w:tc>
        <w:tc>
          <w:tcPr>
            <w:tcW w:w="2536" w:type="dxa"/>
            <w:vAlign w:val="center"/>
          </w:tcPr>
          <w:p w14:paraId="78C10540" w14:textId="77777777" w:rsidR="00557FAC" w:rsidRDefault="00824C87">
            <w:pPr>
              <w:jc w:val="center"/>
              <w:rPr>
                <w:rFonts w:ascii="Arial" w:eastAsia="Arial" w:hAnsi="Arial" w:cs="Arial"/>
                <w:sz w:val="18"/>
                <w:szCs w:val="18"/>
              </w:rPr>
            </w:pPr>
            <w:r>
              <w:t>−21.8</w:t>
            </w:r>
          </w:p>
        </w:tc>
        <w:tc>
          <w:tcPr>
            <w:tcW w:type="dxa" w:w="2536"/>
          </w:tcPr>
          <w:p>
            <w:r>
              <w:rPr>
                <w:sz w:val="20"/>
                <w:szCs w:val="20"/>
              </w:rPr>
              <w:t>1.35</w:t>
            </w:r>
          </w:p>
        </w:tc>
        <w:tc>
          <w:tcPr>
            <w:tcW w:type="dxa" w:w="2536"/>
          </w:tcPr>
          <w:p>
            <w:r>
              <w:rPr>
                <w:sz w:val="20"/>
                <w:szCs w:val="20"/>
              </w:rPr>
              <w:t>33.3</w:t>
            </w:r>
          </w:p>
        </w:tc>
        <w:tc>
          <w:tcPr>
            <w:tcW w:type="dxa" w:w="2536"/>
          </w:tcPr>
          <w:p>
            <w:r>
              <w:rPr>
                <w:sz w:val="20"/>
                <w:szCs w:val="20"/>
              </w:rPr>
              <w:t>[16.5, 54.0]</w:t>
            </w:r>
          </w:p>
        </w:tc>
      </w:tr>
      <w:tr w:rsidR="00557FAC" w14:paraId="7A9BD63E" w14:textId="77777777">
        <w:tc>
          <w:tcPr>
            <w:tcW w:w="2392" w:type="dxa"/>
            <w:vAlign w:val="center"/>
          </w:tcPr>
          <w:p w14:paraId="54C200EE" w14:textId="77777777" w:rsidR="00557FAC" w:rsidRDefault="00824C87">
            <w:pPr>
              <w:jc w:val="both"/>
              <w:rPr>
                <w:rFonts w:ascii="Arial" w:eastAsia="Arial" w:hAnsi="Arial" w:cs="Arial"/>
                <w:sz w:val="18"/>
                <w:szCs w:val="18"/>
              </w:rPr>
            </w:pPr>
            <w:r>
              <w:rPr>
                <w:sz w:val="20"/>
                <w:szCs w:val="20"/>
              </w:rPr>
              <w:t>Ranked</w:t>
            </w:r>
          </w:p>
        </w:tc>
        <w:tc>
          <w:tcPr>
            <w:tcW w:w="2536" w:type="dxa"/>
            <w:vAlign w:val="center"/>
          </w:tcPr>
          <w:p w14:paraId="31AA7D55" w14:textId="77777777" w:rsidR="00557FAC" w:rsidRDefault="00824C87">
            <w:pPr>
              <w:jc w:val="center"/>
              <w:rPr>
                <w:rFonts w:ascii="Arial" w:eastAsia="Arial" w:hAnsi="Arial" w:cs="Arial"/>
                <w:sz w:val="18"/>
                <w:szCs w:val="18"/>
              </w:rPr>
            </w:pPr>
            <w:r>
              <w:rPr>
                <w:sz w:val="20"/>
                <w:szCs w:val="20"/>
              </w:rPr>
              <w:t>38.9</w:t>
            </w:r>
          </w:p>
        </w:tc>
        <w:tc>
          <w:tcPr>
            <w:tcW w:w="2536" w:type="dxa"/>
            <w:vAlign w:val="center"/>
          </w:tcPr>
          <w:p w14:paraId="7496FBAB" w14:textId="77777777" w:rsidR="00557FAC" w:rsidRDefault="00824C87">
            <w:pPr>
              <w:jc w:val="center"/>
              <w:rPr>
                <w:rFonts w:ascii="Arial" w:eastAsia="Arial" w:hAnsi="Arial" w:cs="Arial"/>
                <w:sz w:val="18"/>
                <w:szCs w:val="18"/>
              </w:rPr>
            </w:pPr>
            <w:r>
              <w:rPr>
                <w:sz w:val="20"/>
                <w:szCs w:val="20"/>
              </w:rPr>
              <w:t>23.9</w:t>
            </w:r>
          </w:p>
        </w:tc>
        <w:tc>
          <w:tcPr>
            <w:tcW w:w="2536" w:type="dxa"/>
            <w:vAlign w:val="center"/>
          </w:tcPr>
          <w:p w14:paraId="5F41CE7F" w14:textId="77777777" w:rsidR="00557FAC" w:rsidRDefault="00824C87">
            <w:pPr>
              <w:jc w:val="center"/>
              <w:rPr>
                <w:rFonts w:ascii="Arial" w:eastAsia="Arial" w:hAnsi="Arial" w:cs="Arial"/>
                <w:sz w:val="18"/>
                <w:szCs w:val="18"/>
              </w:rPr>
            </w:pPr>
            <w:r>
              <w:t>−21.7</w:t>
            </w:r>
          </w:p>
        </w:tc>
        <w:tc>
          <w:tcPr>
            <w:tcW w:type="dxa" w:w="2536"/>
          </w:tcPr>
          <w:p>
            <w:r>
              <w:rPr>
                <w:sz w:val="20"/>
                <w:szCs w:val="20"/>
              </w:rPr>
              <w:t>1.40</w:t>
            </w:r>
          </w:p>
        </w:tc>
        <w:tc>
          <w:tcPr>
            <w:tcW w:type="dxa" w:w="2536"/>
          </w:tcPr>
          <w:p>
            <w:r>
              <w:rPr>
                <w:sz w:val="20"/>
                <w:szCs w:val="20"/>
              </w:rPr>
              <w:t>29.6</w:t>
            </w:r>
          </w:p>
        </w:tc>
        <w:tc>
          <w:tcPr>
            <w:tcW w:type="dxa" w:w="2536"/>
          </w:tcPr>
          <w:p>
            <w:r>
              <w:rPr>
                <w:sz w:val="20"/>
                <w:szCs w:val="20"/>
              </w:rPr>
              <w:t>[13.8, 50.2]</w:t>
            </w:r>
          </w:p>
        </w:tc>
      </w:tr>
      <w:tr w:rsidR="00557FAC" w14:paraId="08871623" w14:textId="77777777">
        <w:tc>
          <w:tcPr>
            <w:tcW w:w="2392" w:type="dxa"/>
            <w:vAlign w:val="center"/>
          </w:tcPr>
          <w:p w14:paraId="47770F3F" w14:textId="77777777" w:rsidR="00557FAC" w:rsidRDefault="00824C87">
            <w:pPr>
              <w:jc w:val="both"/>
              <w:rPr>
                <w:rFonts w:ascii="Arial" w:eastAsia="Arial" w:hAnsi="Arial" w:cs="Arial"/>
                <w:sz w:val="18"/>
                <w:szCs w:val="18"/>
              </w:rPr>
            </w:pPr>
            <w:r>
              <w:rPr>
                <w:sz w:val="20"/>
                <w:szCs w:val="20"/>
              </w:rPr>
              <w:t>30→5</w:t>
            </w:r>
          </w:p>
        </w:tc>
        <w:tc>
          <w:tcPr>
            <w:tcW w:w="2536" w:type="dxa"/>
            <w:vAlign w:val="center"/>
          </w:tcPr>
          <w:p w14:paraId="3D90AE24" w14:textId="77777777" w:rsidR="00557FAC" w:rsidRDefault="00824C87">
            <w:pPr>
              <w:jc w:val="center"/>
              <w:rPr>
                <w:rFonts w:ascii="Arial" w:eastAsia="Arial" w:hAnsi="Arial" w:cs="Arial"/>
                <w:sz w:val="18"/>
                <w:szCs w:val="18"/>
              </w:rPr>
            </w:pPr>
            <w:r>
              <w:rPr>
                <w:sz w:val="20"/>
                <w:szCs w:val="20"/>
              </w:rPr>
              <w:t>32.3</w:t>
            </w:r>
          </w:p>
        </w:tc>
        <w:tc>
          <w:tcPr>
            <w:tcW w:w="2536" w:type="dxa"/>
            <w:vAlign w:val="center"/>
          </w:tcPr>
          <w:p w14:paraId="72757524" w14:textId="77777777" w:rsidR="00557FAC" w:rsidRDefault="00824C87">
            <w:pPr>
              <w:jc w:val="center"/>
              <w:rPr>
                <w:rFonts w:ascii="Arial" w:eastAsia="Arial" w:hAnsi="Arial" w:cs="Arial"/>
                <w:sz w:val="18"/>
                <w:szCs w:val="18"/>
              </w:rPr>
            </w:pPr>
            <w:r>
              <w:rPr>
                <w:sz w:val="20"/>
                <w:szCs w:val="20"/>
              </w:rPr>
              <w:t>22.4</w:t>
            </w:r>
          </w:p>
        </w:tc>
        <w:tc>
          <w:tcPr>
            <w:tcW w:w="2536" w:type="dxa"/>
            <w:vAlign w:val="center"/>
          </w:tcPr>
          <w:p w14:paraId="1F1BCCA8" w14:textId="77777777" w:rsidR="00557FAC" w:rsidRDefault="00824C87">
            <w:pPr>
              <w:jc w:val="center"/>
              <w:rPr>
                <w:rFonts w:ascii="Arial" w:eastAsia="Arial" w:hAnsi="Arial" w:cs="Arial"/>
                <w:sz w:val="18"/>
                <w:szCs w:val="18"/>
              </w:rPr>
            </w:pPr>
            <w:r>
              <w:t>−21.6</w:t>
            </w:r>
          </w:p>
        </w:tc>
        <w:tc>
          <w:tcPr>
            <w:tcW w:type="dxa" w:w="2536"/>
          </w:tcPr>
          <w:p>
            <w:r>
              <w:rPr>
                <w:sz w:val="20"/>
                <w:szCs w:val="20"/>
              </w:rPr>
              <w:t>1.30</w:t>
            </w:r>
          </w:p>
        </w:tc>
        <w:tc>
          <w:tcPr>
            <w:tcW w:type="dxa" w:w="2536"/>
          </w:tcPr>
          <w:p>
            <w:r>
              <w:rPr>
                <w:sz w:val="20"/>
                <w:szCs w:val="20"/>
              </w:rPr>
              <w:t>18.5</w:t>
            </w:r>
          </w:p>
        </w:tc>
        <w:tc>
          <w:tcPr>
            <w:tcW w:type="dxa" w:w="2536"/>
          </w:tcPr>
          <w:p>
            <w:r>
              <w:rPr>
                <w:sz w:val="20"/>
                <w:szCs w:val="20"/>
              </w:rPr>
              <w:t>[6.3, 38.1]</w:t>
            </w:r>
          </w:p>
        </w:tc>
      </w:tr>
    </w:tbl>
    <w:p w14:paraId="4168ECAB" w14:textId="77777777" w:rsidR="00557FAC" w:rsidRDefault="00824C87">
      <w:pPr>
        <w:pStyle w:val="Heading3"/>
        <w:keepNext/>
        <w:keepLines/>
        <w:sectPr w:rsidR="00557FAC">
          <w:type w:val="continuous"/>
          <w:pgSz w:w="12240" w:h="15840"/>
          <w:pgMar w:top="1080" w:right="1080" w:bottom="1080" w:left="1080" w:header="708" w:footer="708" w:gutter="0"/>
          <w:cols w:space="720"/>
        </w:sectPr>
      </w:pPr>
      <w:bookmarkStart w:id="4" w:name="_ctluvkvjukgc" w:colFirst="0" w:colLast="0"/>
      <w:bookmarkEnd w:id="4"/>
      <w:r>
        <w:t>Table 1. GPT-5.1 mean ROI, risk, and win rate versus the unfiltered baseline, by filtering configuration (sorted by mean ROI). Volatility is annualized; maximum drawdown (Max DD) and Sharpe are medians across runs. Full per-configuration statistics for all three models are reported in the supplementary information.</w:t>
      </w:r>
    </w:p>
    <w:p w14:paraId="714C3F8C" w14:textId="77777777" w:rsidR="00557FAC" w:rsidRDefault="00824C87">
      <w:pPr>
        <w:spacing w:before="40" w:after="40"/>
        <w:jc w:val="both"/>
      </w:pPr>
      <w:r>
        <w:t xml:space="preserve">Matched-comparison win rates were computed for each GPT-5.1 configuration against the </w:t>
      </w:r>
      <w:r>
        <w:t>unfiltered baseline, holding the evaluation window and generation group fixed.</w:t>
      </w:r>
    </w:p>
    <w:p w14:paraId="152EDF7D" w14:textId="77777777" w:rsidR="00557FAC" w:rsidRDefault="00824C87">
      <w:pPr>
        <w:spacing w:before="40" w:after="40"/>
        <w:jc w:val="both"/>
      </w:pPr>
      <w:r>
        <w:t>Filtering substantially improved GPT-5.1’s performance: 20→10 beat the unfiltered baseline in 81.5% of matched window comparisons (22/27; exact 95% CI [61.9, 93.7]), followed by 10→5 (77.8%; CI [57.7, 91.4]) and 10→3 and 20→5 (both 74.1%; CI [53.7, 88.9]). The exception is the highly selective 5→3 (40.7%; CI [22.4, 61.2]), which trades return for the lowest run-to-run variability (see Return Variance and Consistency Comparison). The well-sized configurations thus beat single-pass prompting in roughly three of four matched window comparisons.</w:t>
      </w:r>
    </w:p>
    <w:p w14:paraId="42407B2D" w14:textId="77777777" w:rsidR="00557FAC" w:rsidRDefault="00824C87">
      <w:pPr>
        <w:spacing w:before="40" w:after="40"/>
        <w:jc w:val="both"/>
      </w:pPr>
      <w:r>
        <w:t>These win rates follow the same two settings, not the identity of any particular configuration. The methods that win most often share a mid-sized initial pool (ten or twenty candidates) narrowed by a moderate, roughly two-to-one ratio — the combination that gives the model enough candidates to rank meaningfully while keeping the final portfolio focused. 5→3 is the informative exception rather than an anomaly: starting from only five candidates, it has too small a pool to reach the top of the return range, so although its tight selection makes it the most stable configuration (see Return Variance and Consistency Comparison), it beats the baseline on return far less often. Initial pool size is therefore the dominant factor — mean return increases from small to mid-sized pools and decreases for oversized ones — and the reduction ratio acts mainly through how aggressively it narrows a given pool.</w:t>
      </w:r>
    </w:p>
    <w:p w14:paraId="034A5E50" w14:textId="77777777" w:rsidR="000D0B6D" w:rsidRDefault="000D0B6D">
      <w:pPr>
        <w:jc w:val="both"/>
      </w:pPr>
      <w:r>
        <w:t xml:space="preserve">A component ablation tests whether the advantage over the unfiltered baseline reflects </w:t>
      </w:r>
      <w:r>
        <w:t>sequential structure or simply the amount of material in the prompt. Holding the candidate documents fixed for GPT-5.1’s 20→10 configuration across all nine windows (two to four generations per condition), we compared the full pipeline against a single prompt over the full candidate pool and a budget-matched single prompt over the identical shortlist. The full pipeline gave the highest mean ROI of any arm (52.4%), leading the budget-matched variant by 5.0 percentage points in six of nine windows (Wilcoxon p = 0.055). Context length is therefore not the driver: a prompt carrying the same or more material does not outperform the staged pipeline. Token counts and full paired statistics are in the Supplementary Information.</w:t>
      </w:r>
    </w:p>
    <w:p w14:paraId="1738AD5A" w14:textId="77777777" w:rsidR="000D0B6D" w:rsidRDefault="000D0B6D">
      <w:pPr>
        <w:jc w:val="both"/>
      </w:pPr>
      <w:r>
        <w:t>The same ablation isolates the narrowing step. Showing the reports but eliminating no candidates trailed the full pipeline by 3.7 percentage points (five of nine windows; Wilcoxon p = 0.570), and holding the entire pool trailed by 5.6 points (seven of nine; p = 0.055). Neither is significant at this sample size, so evidence that the cut itself carries the effect is suggestive rather than conclusive — consistent with the pool-size pattern above, where the gain comes from starting with a moderate candidate set rather than from how aggressively it is reduced.</w:t>
      </w:r>
    </w:p>
    <w:p w14:paraId="3EC2531A" w14:textId="5710E599" w:rsidR="00557FAC" w:rsidRDefault="00824C87">
      <w:pPr>
        <w:spacing w:before="40" w:after="40"/>
        <w:jc w:val="both"/>
        <w:rPr>
          <w:b/>
          <w:bCs/>
          <w:i/>
          <w:iCs/>
          <w:sz w:val="21"/>
          <w:szCs w:val="21"/>
        </w:rPr>
        <w:sectPr w:rsidR="00557FAC">
          <w:type w:val="continuous"/>
          <w:pgSz w:w="12240" w:h="15840"/>
          <w:pgMar w:top="1080" w:right="1080" w:bottom="1080" w:left="1080" w:header="708" w:footer="708" w:gutter="0"/>
          <w:cols w:num="2" w:space="720" w:equalWidth="0">
            <w:col w:w="4500" w:space="720"/>
            <w:col w:w="4500" w:space="0"/>
          </w:cols>
        </w:sectPr>
      </w:pPr>
      <w:r>
        <w:t>Taken together, GPT-5.1 reliably benefits from moderate filtering, though because consecutive 12-month windows overlap, these comparisons should be read as matched within-window contrasts rather than as outcomes in independent years.</w:t>
      </w:r>
    </w:p>
    <w:p w14:paraId="3FFAD98C" w14:textId="77777777" w:rsidR="00557FAC" w:rsidRDefault="00824C87">
      <w:pPr>
        <w:jc w:val="both"/>
      </w:pPr>
      <w:r>
        <w:t>Formal paired statistics support these comparisons. For each configuration, the per-window ROI difference against the matched unfiltered baseline was evaluated with an exact sign test and a Wilcoxon signed-rank test, with a bootstrap 95% confidence interval on the median difference. The four moderate configurations differ significantly from the baseline (20→10: sign-test p = 0.002, Wilcoxon p &lt; 0.001; 10→5: p = 0.006; 10→3 and 20→5: p = 0.019), the mid-table configurations are statistically indistinguishable from it, and 30→5 is significantly worse (5/27 wins; p = 0.002). As a conservative check, collapsing GPT-5.1’s three replicate generations per window and re-testing at the window level (n = 9) leaves the top configuration significant (sign test p = 0.039; Wilcoxon p = 0.027) and 30→5 significantly negative (p = 0.004). Per-configuration intervals accompany every win rate in Table 1 and the Supplementary Information.</w:t>
      </w:r>
    </w:p>
    <w:p w14:paraId="508BEFC7" w14:textId="77777777" w:rsidR="00557FAC" w:rsidRDefault="00824C87">
      <w:pPr>
        <w:pStyle w:val="Heading2"/>
        <w:keepNext/>
      </w:pPr>
      <w:bookmarkStart w:id="5" w:name="_78jqzc26ooo6" w:colFirst="0" w:colLast="0"/>
      <w:bookmarkEnd w:id="5"/>
      <w:r>
        <w:lastRenderedPageBreak/>
        <w:t>Overall Trends</w:t>
      </w:r>
    </w:p>
    <w:p w14:paraId="237A808F" w14:textId="77777777" w:rsidR="00557FAC" w:rsidRDefault="00824C87">
      <w:pPr>
        <w:keepNext/>
        <w:jc w:val="center"/>
        <w:rPr>
          <w:b/>
          <w:bCs/>
          <w:i/>
          <w:iCs/>
          <w:sz w:val="21"/>
          <w:szCs w:val="21"/>
        </w:rPr>
      </w:pPr>
      <w:r>
        <w:rPr>
          <w:b/>
          <w:bCs/>
          <w:i/>
          <w:iCs/>
          <w:noProof/>
        </w:rPr>
        <w:drawing>
          <wp:inline distT="114300" distB="114300" distL="114300" distR="114300" wp14:anchorId="4D57E5A1" wp14:editId="4011366B">
            <wp:extent cx="5120640" cy="2455048"/>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120640" cy="2455048"/>
                    </a:xfrm>
                    <a:prstGeom prst="rect">
                      <a:avLst/>
                    </a:prstGeom>
                    <a:ln/>
                  </pic:spPr>
                </pic:pic>
              </a:graphicData>
            </a:graphic>
          </wp:inline>
        </w:drawing>
      </w:r>
    </w:p>
    <w:p w14:paraId="2DA2AA91" w14:textId="77777777" w:rsidR="00557FAC" w:rsidRDefault="00824C87">
      <w:pPr>
        <w:pStyle w:val="Heading3"/>
        <w:keepNext/>
        <w:keepLines/>
        <w:rPr>
          <w:color w:val="auto"/>
        </w:rPr>
        <w:sectPr w:rsidR="00557FAC">
          <w:type w:val="continuous"/>
          <w:pgSz w:w="12240" w:h="15840"/>
          <w:pgMar w:top="1080" w:right="1080" w:bottom="1080" w:left="1080" w:header="708" w:footer="708" w:gutter="0"/>
          <w:cols w:space="720"/>
        </w:sectPr>
      </w:pPr>
      <w:r>
        <w:t>Figure 3. GPT-5.1 mean ROI across rolling 12-month evaluation windows, with the corresponding S&amp;P 500 benchmark return.</w:t>
      </w:r>
    </w:p>
    <w:p w14:paraId="5476547E" w14:textId="5CDC0113" w:rsidR="00557FAC" w:rsidRDefault="00824C87">
      <w:pPr>
        <w:spacing w:before="40" w:after="40"/>
        <w:jc w:val="both"/>
      </w:pPr>
      <w:r>
        <w:t>GPT-5.1’s mean ROI exceeded the S&amp;P 500 in every evaluation window tested, and did so on a risk-adjusted basis as well (median Sharpe 1.70 for 20→10 against 0.98 for the index over the same windows). Figure 3 plots its mean ROI across each rolling 12-month window against the benchmark; performance varied with the market environment but stayed above the benchmark throughout. Across all GPT-5.1 runs, 604 of 626 (96.5%) exceeded the S&amp;P 500 over their holding window; because this figure counts every run rather than one per cell, it is a fraction of 626, not of the 270 window × generation-group × configuration cells.</w:t>
      </w:r>
    </w:p>
    <w:p w14:paraId="5A943B1E" w14:textId="77777777" w:rsidR="00557FAC" w:rsidRDefault="00824C87">
      <w:pPr>
        <w:spacing w:before="40" w:after="40"/>
        <w:jc w:val="both"/>
      </w:pPr>
      <w:r>
        <w:t xml:space="preserve">GPT-5.1 contributes nine completed rolling windows, with start dates from October 2024 through June 2025 (end dates October 2025 through June 2026); earlier windows are excluded by the model’s training-cutoff constraint. The weakest window, October 2024 </w:t>
      </w:r>
      <w:r>
        <w:t>to October 2025, still returned 37.1%, and the strongest, May 2025 to May 2026, reached 69.0%, in each case well above the corresponding benchmark return.</w:t>
      </w:r>
    </w:p>
    <w:p w14:paraId="1E81EE0E" w14:textId="77777777" w:rsidR="00DA7443" w:rsidRDefault="00DA7443">
      <w:pPr>
        <w:spacing w:before="40" w:after="40"/>
        <w:jc w:val="both"/>
        <w:sectPr w:rsidR="00DA7443" w:rsidSect="00DA7443">
          <w:type w:val="continuous"/>
          <w:pgSz w:w="12240" w:h="15840"/>
          <w:pgMar w:top="1080" w:right="1080" w:bottom="1080" w:left="1080" w:header="708" w:footer="708" w:gutter="0"/>
          <w:cols w:num="2" w:space="720" w:equalWidth="0">
            <w:col w:w="4500" w:space="720"/>
            <w:col w:w="4500" w:space="0"/>
          </w:cols>
        </w:sectPr>
      </w:pPr>
      <w:r>
        <w:t>The unfiltered baseline also beat the S&amp;P 500 in every window, so this market outperformance reflects model and sector strength rather than the filtering itself; the contribution of the two-stage filtering is isolated in the matched comparison against that baseline (see Filtered vs. Unstructured Baseline), where the well-sized configurations win in roughly three of four windows. Benchmark returns ranged from approximately 15% to 30%, while GPT-5.1 returned between 37% and 69%, sustaining a large positive margin across all market conditions tested.</w:t>
      </w:r>
    </w:p>
    <w:p w14:paraId="7149557F" w14:textId="77777777" w:rsidR="00557FAC" w:rsidRDefault="00824C87">
      <w:pPr>
        <w:pStyle w:val="Heading2"/>
        <w:keepNext/>
        <w:spacing w:after="40"/>
        <w:jc w:val="both"/>
      </w:pPr>
      <w:r>
        <w:rPr>
          <w:color w:val="auto"/>
          <w:sz w:val="25"/>
          <w:szCs w:val="25"/>
        </w:rPr>
        <w:lastRenderedPageBreak/>
        <w:t>Return Variance and Consistency Comparison</w:t>
      </w:r>
    </w:p>
    <w:p w14:paraId="2561EEBC" w14:textId="77777777" w:rsidR="00557FAC" w:rsidRDefault="00824C87">
      <w:pPr>
        <w:keepNext/>
        <w:spacing w:before="40" w:after="40"/>
        <w:jc w:val="center"/>
      </w:pPr>
      <w:r>
        <w:rPr>
          <w:noProof/>
        </w:rPr>
        <w:drawing>
          <wp:inline distT="114300" distB="114300" distL="114300" distR="114300" wp14:anchorId="6F61740B" wp14:editId="08ADCDA6">
            <wp:extent cx="5120640" cy="2958112"/>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120640" cy="2958112"/>
                    </a:xfrm>
                    <a:prstGeom prst="rect">
                      <a:avLst/>
                    </a:prstGeom>
                    <a:ln/>
                  </pic:spPr>
                </pic:pic>
              </a:graphicData>
            </a:graphic>
          </wp:inline>
        </w:drawing>
      </w:r>
    </w:p>
    <w:p w14:paraId="3910770B" w14:textId="77777777" w:rsidR="00557FAC" w:rsidRDefault="00824C87">
      <w:pPr>
        <w:pStyle w:val="Heading3"/>
        <w:pBdr>
          <w:top w:val="nil"/>
          <w:left w:val="nil"/>
          <w:bottom w:val="nil"/>
          <w:right w:val="nil"/>
          <w:between w:val="nil"/>
        </w:pBdr>
        <w:spacing w:before="0" w:after="0"/>
        <w:jc w:val="left"/>
        <w:rPr>
          <w:color w:val="auto"/>
        </w:rPr>
        <w:sectPr w:rsidR="00557FAC">
          <w:type w:val="continuous"/>
          <w:pgSz w:w="12240" w:h="15840"/>
          <w:pgMar w:top="1080" w:right="1080" w:bottom="1080" w:left="1080" w:header="708" w:footer="708" w:gutter="0"/>
          <w:cols w:space="720"/>
        </w:sectPr>
      </w:pPr>
      <w:r>
        <w:t>Figure 4. GPT-5.1 coefficient of variation (CV) for every filtering configuration, colored by initial Stage-One pool size; lower values indicate more stable returns.</w:t>
      </w:r>
    </w:p>
    <w:p w14:paraId="47B3A52E" w14:textId="77777777" w:rsidR="00557FAC" w:rsidRDefault="00824C87">
      <w:pPr>
        <w:spacing w:before="40" w:after="40"/>
        <w:jc w:val="both"/>
        <w:rPr>
          <w:rFonts w:ascii="Arial" w:eastAsia="Arial" w:hAnsi="Arial" w:cs="Arial"/>
        </w:rPr>
      </w:pPr>
      <w:r>
        <w:t>Filtering also shaped return consistency, though not monotonically: returns were steadiest at both extremes of filtering and more variable between. Figure 4 reports each configuration’s coefficient of variation (CV); lower CV means tighter clustering around the mean.</w:t>
      </w:r>
    </w:p>
    <w:p w14:paraId="51D4BACA" w14:textId="77777777" w:rsidR="00557FAC" w:rsidRDefault="00824C87">
      <w:pPr>
        <w:spacing w:before="40" w:after="40"/>
        <w:jc w:val="both"/>
        <w:rPr>
          <w:rFonts w:ascii="Arial" w:eastAsia="Arial" w:hAnsi="Arial" w:cs="Arial"/>
        </w:rPr>
      </w:pPr>
      <w:r>
        <w:t>For GPT-5.1, the most consistent configurations were the highly selective 5→3 (CV 26.3%) and the unfiltered baseline (27.1%), with 20→10 close behind (30.5%). The highest-returning configurations—10→5, 20→5, and 10→3—were moderately less consistent (CV 42–53%), so the return advantage came with somewhat wider run-to-run spread.</w:t>
      </w:r>
    </w:p>
    <w:p w14:paraId="690EB27E" w14:textId="77777777" w:rsidR="00557FAC" w:rsidRDefault="00824C87">
      <w:pPr>
        <w:spacing w:before="40" w:after="40"/>
        <w:jc w:val="both"/>
      </w:pPr>
      <w:r>
        <w:t xml:space="preserve">This ordering follows from the same structural settings that drive return, rather than being incidental. Run-to-run variability is lowest when the second stage is most decisive relative to its input — when the pool is small enough that the final choice is nearly forced (5→3) or when no filtering is imposed at all (the unfiltered baseline) — and highest for the mid-ratio configurations that carry more borderline candidates into the final portfolio. Because stability and return are shaped by the same </w:t>
      </w:r>
      <w:r>
        <w:t>initial-pool-and-ratio interaction, the return-maximizing 20→10 ranks just below the most stable configurations rather than among the most variable, which is what makes it a sensible default.</w:t>
      </w:r>
    </w:p>
    <w:p w14:paraId="73E2872D" w14:textId="77777777" w:rsidR="00557FAC" w:rsidRDefault="00824C87">
      <w:pPr>
        <w:spacing w:before="40" w:after="40"/>
        <w:jc w:val="both"/>
      </w:pPr>
      <w:r>
        <w:t>A note on interpretation: the configuration shapes the average level of return, not the outcome of any single run. Within a given configuration, individual runs vary more than the configurations’ means differ from one another, because most of the run-to-run variation traces to the evaluation window — the prevailing market regime — and to the model’s stochastic re-selection of stocks on each run, rather than to the configuration itself. The configuration effect is therefore assessed through averaged ROI and matched window-by-window win rates, which hold the market regime fixed and let the systematic difference emerge, rather than through the spread of individual runs.</w:t>
      </w:r>
    </w:p>
    <w:p w14:paraId="5468CFC5"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Filtering therefore shapes not only the level of GPT-5.1’s returns but also their spread, which lets a practitioner trade a portion of return for more predictable outcomes by moving toward the more selective end of the grid.</w:t>
      </w:r>
    </w:p>
    <w:p w14:paraId="53F78D4F" w14:textId="77777777" w:rsidR="00557FAC" w:rsidRDefault="00824C87">
      <w:pPr>
        <w:pStyle w:val="Heading2"/>
        <w:keepNext/>
      </w:pPr>
      <w:r>
        <w:lastRenderedPageBreak/>
        <w:t>Model Comparison and Configuration Selection</w:t>
      </w:r>
    </w:p>
    <w:p w14:paraId="5AF4FA3F" w14:textId="77777777" w:rsidR="00557FAC" w:rsidRDefault="00824C87">
      <w:pPr>
        <w:keepNext/>
        <w:jc w:val="center"/>
      </w:pPr>
      <w:r>
        <w:rPr>
          <w:noProof/>
        </w:rPr>
        <w:drawing>
          <wp:inline distT="0" distB="0" distL="114300" distR="114300" wp14:anchorId="0EB71254" wp14:editId="2046DCC3">
            <wp:extent cx="5120640" cy="3284869"/>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120640" cy="3284869"/>
                    </a:xfrm>
                    <a:prstGeom prst="rect">
                      <a:avLst/>
                    </a:prstGeom>
                    <a:ln/>
                  </pic:spPr>
                </pic:pic>
              </a:graphicData>
            </a:graphic>
          </wp:inline>
        </w:drawing>
      </w:r>
    </w:p>
    <w:p w14:paraId="033127F8" w14:textId="77777777" w:rsidR="00557FAC" w:rsidRDefault="00824C87">
      <w:pPr>
        <w:pStyle w:val="Heading3"/>
        <w:keepNext/>
        <w:keepLines/>
        <w:sectPr w:rsidR="00557FAC">
          <w:type w:val="continuous"/>
          <w:pgSz w:w="12240" w:h="15840"/>
          <w:pgMar w:top="1080" w:right="1080" w:bottom="1080" w:left="1080" w:header="708" w:footer="708" w:gutter="0"/>
          <w:cols w:space="720"/>
        </w:sectPr>
      </w:pPr>
      <w:r>
        <w:t>Figure 5. Mean ROI by initial candidate-pool size for each model. GPT-5.1 leads at every pool size and peaks at a moderate pool of 10–20 candidates; GPT-4o peaks at ten, and GPT-4o-mini is highest at five. All three models decline for oversized 30-candidate pools.</w:t>
      </w:r>
    </w:p>
    <w:p w14:paraId="0FD709D9" w14:textId="77777777" w:rsidR="00557FAC" w:rsidRDefault="00824C87">
      <w:pPr>
        <w:jc w:val="both"/>
      </w:pPr>
      <w:r>
        <w:t>Two factors determine which configuration to deploy: the underlying model, and how the desired portfolio size maps onto the two stages. Figure 5 compares the three models across fixed-pool configurations, while Table 1 and the matched win rates of Figure 2 identify the best configuration per target portfolio size; the unfiltered single-pass run is the baseline throughout.</w:t>
      </w:r>
    </w:p>
    <w:p w14:paraId="47A17884" w14:textId="77777777" w:rsidR="00557FAC" w:rsidRDefault="00824C87">
      <w:pPr>
        <w:jc w:val="both"/>
      </w:pPr>
      <w:r>
        <w:t xml:space="preserve">Figure 5 plots mean ROI against initial candidate-pool size for each of the three models. GPT-5.1 (red) produced the highest ROI at every pool size, averaging 47.0% across all its runs — equivalently, an unweighted 46.5% across its ten per-configuration means, or 47.5% across the eight fixed-pool configurations (Table 1) — versus run-level means of 35.0% for GPT-4o and 32.7% for GPT-4o-mini, a gap of roughly 12 to 14 percentage points that holds across pool sizes. The shape of the curve, however, differs by model: GPT-5.1 traces a pronounced inverted-U peaking at 10–20 candidates; GPT-4o peaks modestly at ten, with its five-candidate pool outperforming its twenty; and GPT-4o-mini </w:t>
      </w:r>
      <w:r>
        <w:t>declines monotonically from a five-candidate maximum. What all three models share is the penalty for oversized pools — every model deteriorates at thirty candidates. This pattern suggests that the optimal pool size scales with model capability: a stronger model can fill a larger candidate request with conviction, while weaker models do best when asked for only as many names as they can justify. Raw model capability sets the overall return level, and the pipeline configuration determines how much of that level is realized.</w:t>
      </w:r>
    </w:p>
    <w:p w14:paraId="189930A7" w14:textId="77777777" w:rsidR="00557FAC" w:rsidRDefault="00824C87">
      <w:pPr>
        <w:jc w:val="both"/>
      </w:pPr>
      <w:r>
        <w:t xml:space="preserve">The same data indicate how the best configuration shifts with the desired portfolio size (Table 1). For a concentrated three-stock portfolio, 10→3 is best (54.1%), beating the unfiltered baseline in 74.1% of matched windows and outperforming the more selective 5→3 (42.2%). For a five-stock portfolio, 10→5 leads (56.2%, beating the baseline 77.8% of the time), ahead of 20→5 (50.4%, 74.1%). For a ten-stock portfolio, 20→10 is both the best option and the single highest-returning configuration in the study (60.6%), beating the baseline in 81.5% of matched windows. A </w:t>
      </w:r>
      <w:r>
        <w:lastRenderedPageBreak/>
        <w:t>consistent pattern emerges: the best Stage One pool is roughly twice the target portfolio size (consistent with the 2× hypothesis). The over-filtered methods identified above are dominated at every portfolio size and are not recommended.</w:t>
      </w:r>
    </w:p>
    <w:p w14:paraId="5BAE3A88" w14:textId="77777777" w:rsidR="0095515F" w:rsidRDefault="0095515F">
      <w:pPr>
        <w:jc w:val="both"/>
      </w:pPr>
      <w:r>
        <w:t xml:space="preserve">One further ablation, before turning to why this pattern holds, asks whether the report stage contributes company-specific content or merely more structured text. Shuffling reports across tickers, so each candidate is validated against another company’s financials, produced the largest and only unambiguous degradation: 9.3 percentage points below the full pipeline, losing nine of nine windows </w:t>
      </w:r>
      <w:r>
        <w:t>(Wilcoxon p = 0.004). The report-validation stage therefore carries genuine company-specific signal.</w:t>
      </w:r>
    </w:p>
    <w:p w14:paraId="4DB45599" w14:textId="5FAB6E13"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The configuration-by-target-size pattern above holds for the same reason identified in the baseline comparison: a Stage One pool of about twice the target size gives the model enough candidates to rank without overwhelming the validation stage. The desired number of holdings thus selects which moderate configuration to use, but it is the moderate regime itself — a mid-sized pool gently narrowed — that produces the return advantage, not the specific label.</w:t>
      </w:r>
    </w:p>
    <w:p w14:paraId="1A44BBD5" w14:textId="2C1222B1" w:rsidR="00557FAC" w:rsidRDefault="00824C87">
      <w:pPr>
        <w:pStyle w:val="Heading2"/>
        <w:keepNext/>
      </w:pPr>
      <w:r>
        <w:t>Sector Allocation and Realized Returns</w:t>
      </w:r>
    </w:p>
    <w:p w14:paraId="59E68769" w14:textId="77777777" w:rsidR="00557FAC" w:rsidRDefault="00824C87">
      <w:pPr>
        <w:keepNext/>
        <w:jc w:val="center"/>
      </w:pPr>
      <w:r>
        <w:rPr>
          <w:noProof/>
        </w:rPr>
        <w:drawing>
          <wp:inline distT="0" distB="0" distL="114300" distR="114300" wp14:anchorId="598FD9D0" wp14:editId="7EA3EA82">
            <wp:extent cx="5120640" cy="2898352"/>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120640" cy="2898352"/>
                    </a:xfrm>
                    <a:prstGeom prst="rect">
                      <a:avLst/>
                    </a:prstGeom>
                    <a:ln/>
                  </pic:spPr>
                </pic:pic>
              </a:graphicData>
            </a:graphic>
          </wp:inline>
        </w:drawing>
      </w:r>
    </w:p>
    <w:p w14:paraId="7BE5A759" w14:textId="77777777" w:rsidR="00557FAC" w:rsidRDefault="00824C87">
      <w:pPr>
        <w:pStyle w:val="Heading3"/>
        <w:keepNext/>
        <w:keepLines/>
        <w:sectPr w:rsidR="00557FAC">
          <w:type w:val="continuous"/>
          <w:pgSz w:w="12240" w:h="15840"/>
          <w:pgMar w:top="1080" w:right="1080" w:bottom="1080" w:left="1080" w:header="708" w:footer="708" w:gutter="0"/>
          <w:cols w:space="720"/>
        </w:sectPr>
      </w:pPr>
      <w:r>
        <w:t>Figure 6. GPT-5.1 sector allocation versus realized ROI share. For each sector, the left marker is its share of recommended portfolio weight and the right marker its share of total realized ROI.</w:t>
      </w:r>
    </w:p>
    <w:p w14:paraId="34520A3A" w14:textId="77777777" w:rsidR="00557FAC" w:rsidRDefault="00824C87">
      <w:pPr>
        <w:jc w:val="both"/>
        <w:rPr>
          <w:rFonts w:ascii="Arial" w:eastAsia="Arial" w:hAnsi="Arial" w:cs="Arial"/>
        </w:rPr>
      </w:pPr>
      <w:r>
        <w:t xml:space="preserve">Beyond aggregate returns, the sector composition of GPT-5.1’s portfolios shows where its performance originated. Figure 6 compares each sector’s share of the recommended portfolio weight with its share of the realized return. GPT-5.1 allocated the largest share of capital to Mega-Cap Technology (46.9% of weight), yet that sector delivered only 35.5% of realized ROI; Semiconductors, at 26.8% of weight, contributed 54.2% of the realized return — roughly twice their allocation — making them the dominant source of performance. Networking/Infrastructure (8.9% of weight, </w:t>
      </w:r>
      <w:r>
        <w:t xml:space="preserve">6.4% of ROI) and Enterprise SaaS (2.4%, 2.1%) contributed broadly in line with their weights, while a 14.9% allocation to unclassified holdings produced just 1.8% of the realized return. These results indicate that the framework’s returns were driven disproportionately by semiconductor selections, and that allocation share alone understates where performance actually originated. A sector’s share of realized return is computed as the sum, across that sector’s holdings, of each position’s initial weight times its window return, divided by the portfolio’s total return, with both quantities pooled </w:t>
      </w:r>
      <w:r>
        <w:lastRenderedPageBreak/>
        <w:t>(summed) across runs (equivalently, averaged, since the per-run count cancels); because individual contributions can be negative, a sector’s return share can exceed or fall below its weight share, and the shares sum to 100% by construction.</w:t>
      </w:r>
    </w:p>
    <w:p w14:paraId="4A5F2784" w14:textId="77777777" w:rsidR="00557FAC" w:rsidRDefault="00824C87">
      <w:pPr>
        <w:pStyle w:val="Heading2"/>
        <w:keepNext/>
        <w:keepLines/>
      </w:pPr>
      <w:r>
        <w:t>Benchmark Robustness, Ablations, and Weighting</w:t>
      </w:r>
    </w:p>
    <w:p w14:paraId="3F7BC1A1" w14:textId="77777777" w:rsidR="00557FAC" w:rsidRDefault="00824C87">
      <w:pPr>
        <w:jc w:val="both"/>
      </w:pPr>
      <w:r>
        <w:t>The S&amp;P 500 comparison overstates selection skill, because the eligible universe is concentrated in technology and semiconductor names that outran the broad market over the study period. Against progressively harder benchmarks, GPT-5.1’s pooled beat rate falls from 96.5% (S&amp;P 500) to 94.3% (S&amp;P 500 Information Technology, XLK), then to 39.6% against an equal-weighted portfolio of the eligible universe itself and 32.2% against a pure-semiconductor index (SMH), the hardest comparison because semiconductors led the sector over the study period. The filtering effect, however, survives these harder comparisons: 20→10 outperforms the equal-weighted universe in 81.4% of runs and SMH in 68.3%, and 10→5 in 64.8% and 60.0% respectively, while the unfiltered baseline does so in only 18.5% and 6.7%. All comparisons in this subsection are pooled across the full run set.</w:t>
      </w:r>
    </w:p>
    <w:p w14:paraId="5029F302" w14:textId="77777777" w:rsidR="00557FAC" w:rsidRDefault="00824C87">
      <w:pPr>
        <w:jc w:val="both"/>
      </w:pPr>
      <w:r>
        <w:t>The eligible comparison set is a fixed list of 29 large-capitalization technology and semiconductor companies (Supplementary Information), used only for the unfiltered baseline and as the draw pool for the equal-weighted and random benchmarks; the filtered configurations never see it, nominating candidates freely from screened news. Every constituent was continuously listed across the full evaluation span, so none was acquired or delisted and the benchmark needs no point-in-time reconstruction. The residual exposure is omission: companies large at the earliest window starts but no longer qualifying would not appear. The set does retain constituents whose prices declined materially, so it is not a selection of winners only, but this bounds the benchmark rather than the pipeline.</w:t>
      </w:r>
    </w:p>
    <w:p w14:paraId="09C00CB1" w14:textId="77777777" w:rsidR="00557FAC" w:rsidRDefault="00824C87">
      <w:pPr>
        <w:jc w:val="both"/>
      </w:pPr>
      <w:r>
        <w:t>Random portfolios drawn from the eligible universe, matched to each portfolio’s holding count and equal-weighted, provide a direct test of selection skill: relative to 4,000 such draws per run, the median GPT-5.1 portfolio under 20→10 sits at the 75th percentile and under 10→5 at the 69th, whereas the unfiltered baseline sits at the 40th percentile and the aggressive 30-pool configurations near the 17th–21st. Moderate two-stage filtering is thus the difference between below-random and above-random selection within the sector.</w:t>
      </w:r>
    </w:p>
    <w:p w14:paraId="27B3958E" w14:textId="77777777" w:rsidR="00557FAC" w:rsidRDefault="00824C87">
      <w:pPr>
        <w:jc w:val="both"/>
      </w:pPr>
      <w:r>
        <w:t>Two ablations probe the robustness of the effect. Removing the single largest return contributor from every portfolio lowers GPT-5.1’s 20→10 mean ROI from 60.6% to 52.5% and the unfiltered baseline from 45.7% to 39.4%, so the matched filtering edge narrows only modestly, from about +14.9 to +13.1 percentage points; excluding all semiconductor holdings (with weights renormalized) leaves a smaller edge of +3.0 points. The filtering advantage therefore does not rest on any single position—it survives removing each portfolio’s best contributor largely intact—but it operates substantially through semiconductor selection: once the semiconductor sector as a whole is excluded, the matched edge, while still positive, is modest.</w:t>
      </w:r>
    </w:p>
    <w:p w14:paraId="2F7D255B" w14:textId="77777777" w:rsidR="00557FAC" w:rsidRDefault="00824C87">
      <w:pPr>
        <w:jc w:val="both"/>
      </w:pPr>
      <w:r>
        <w:t>Finally, re-scoring every portfolio at equal weights isolates stock selection from allocation weighting: GPT-5.1’s model-assigned weights cost 4.6 percentage points of mean ROI relative to equal-weighting the same picks (Wilcoxon p &lt; 0.0001; GPT-4o −1.2, GPT-4o-mini ≈ 0). The models’ selection adds value; their position sizing subtracts from it. Sector-index returns, random-portfolio percentiles, ablation tables, and per-configuration risk metrics (annualized volatility, maximum drawdown, Sharpe, Sortino) are provided in the Supplementary Information.</w:t>
      </w:r>
    </w:p>
    <w:p w14:paraId="6F0ED372" w14:textId="77777777" w:rsidR="00557FAC" w:rsidRDefault="00824C87">
      <w:pPr>
        <w:jc w:val="both"/>
      </w:pPr>
      <w:r>
        <w:t xml:space="preserve">Risk-adjusted performance moves in the same direction as raw return. For GPT-5.1, the best configuration (20→10) earns a median Sharpe ratio of 1.70 and Sortino of 2.66, against 1.34 and 2.04 for the unfiltered baseline and 0.98 for the S&amp;P 500 over the same windows; the weakest configuration (30→5) falls to 1.30. </w:t>
      </w:r>
      <w:r>
        <w:lastRenderedPageBreak/>
        <w:t>Annualized volatility is similar across configurations (about 22–28%) and maximum drawdowns cluster between −22% and −24%, so the return gains from moderate filtering are not obtained by taking proportionally more risk. Full volatility, drawdown, and risk-adjusted statistics for every configuration and model are reported in the Supplementary Information.</w:t>
      </w:r>
    </w:p>
    <w:p w14:paraId="26D2AFE1" w14:textId="77777777" w:rsidR="00557FAC" w:rsidRDefault="00824C87">
      <w:pPr>
        <w:pStyle w:val="Heading1"/>
        <w:keepNext/>
        <w:keepLines/>
      </w:pPr>
      <w:r>
        <w:t>Discussion</w:t>
      </w:r>
    </w:p>
    <w:p w14:paraId="7BB22121" w14:textId="77777777" w:rsidR="00557FAC" w:rsidRDefault="00824C87">
      <w:pPr>
        <w:pStyle w:val="Heading2"/>
        <w:keepNext/>
        <w:keepLines/>
      </w:pPr>
      <w:r>
        <w:t>Implications and Significance</w:t>
      </w:r>
    </w:p>
    <w:p w14:paraId="7BADD962" w14:textId="77777777" w:rsidR="00557FAC" w:rsidRDefault="00824C87">
      <w:pPr>
        <w:spacing w:before="40" w:after="40"/>
        <w:jc w:val="both"/>
      </w:pPr>
      <w:r>
        <w:t>The results point to a transferable lesson: how information given to a language model is structured is itself a determinant of investment performance, separate from model choice. Presenting a moderate shortlist and asking the model to narrow it — rather than letting it select from an unstructured prompt, or forcing it to discard most of an oversized pool — consistently produced the strongest returns, and because the gain comes from pipeline design rather than a larger model it is available at essentially no additional cost. The component ablation reported above points the same way, with the report-validation stage carrying the clearest signal.</w:t>
      </w:r>
    </w:p>
    <w:p w14:paraId="5779821B" w14:textId="77777777" w:rsidR="00557FAC" w:rsidRDefault="00824C87">
      <w:pPr>
        <w:spacing w:before="40" w:after="40"/>
        <w:jc w:val="both"/>
      </w:pPr>
      <w:r>
        <w:t>The mechanism behind the effect is the size of the first-stage candidate pool. For GPT-5.1, returns rise and then fall as that pool grows: too few candidates leave the model with too little to choose from, while too many force it to nominate companies beyond those it can justify, filling the candidate list with weak selections that remain in the final portfolio. The practical guideline for frontier-class models is to begin from roughly ten to twenty candidates and narrow by about half; weaker models peaked at smaller pools, suggesting the optimal request scales with capability. The final portfolio size can then match an investor’s diversification preference without sacrificing the structural advantage. We present this padding account as a hypothesis consistent with the observed pattern rather than a directly measured mechanism. Testing it directly would require the Stage One candidate lists, which were not retained in the run records — each run stores only its final portfolio — so a candidate-overlap and Stage-One-rank-versus-realized-return analysis is left to future work, for which candidate logging has been added.</w:t>
      </w:r>
    </w:p>
    <w:p w14:paraId="6B81293C" w14:textId="77777777" w:rsidR="00557FAC" w:rsidRDefault="00824C87">
      <w:pPr>
        <w:spacing w:before="40" w:after="40"/>
        <w:jc w:val="both"/>
      </w:pPr>
      <w:r>
        <w:t>Because the unfiltered baseline already beat the market benchmark, the contribution specific to the two-stage design is its consistent improvement over that baseline under matched conditions, not the market outperformance itself. Deliberate information design is thus an inexpensive, model-agnostic complement to advances in model scale.</w:t>
      </w:r>
    </w:p>
    <w:p w14:paraId="5517E46C" w14:textId="77777777" w:rsidR="00557FAC" w:rsidRDefault="00824C87">
      <w:pPr>
        <w:pStyle w:val="Heading2"/>
        <w:keepNext/>
        <w:keepLines/>
      </w:pPr>
      <w:r>
        <w:t>Limitations and Future Work</w:t>
      </w:r>
    </w:p>
    <w:p w14:paraId="10A2E65E" w14:textId="77777777" w:rsidR="00557FAC" w:rsidRDefault="00824C87">
      <w:pPr>
        <w:spacing w:after="100"/>
        <w:jc w:val="both"/>
      </w:pPr>
      <w:r>
        <w:t>Several limitations bound the scope of these findings. All portfolios are long-only and buy-and-hold, and returns are computed without transaction costs, taxes, or slippage, which would modestly reduce realized performance. The investment universe is confined to the large-capitalization technology and semiconductor sector, so the sector-contribution results in particular may not generalize to broader markets. Because GPT-5.1’s evaluation windows are constrained to begin after its training cutoff, its results rest on fewer rolling windows (October 2024 onward) than the older models, and all windows fall within a broadly rising market; performance in a sustained downturn is therefore untested. Because the best configuration (20→10) was identified as the maximum mean ROI across ten configurations evaluated on the same windows used to report it, the headline 60.6% carries a degree of selection inflation. A split-sample check bounds it: selecting on the first five windows alone identifies the same configuration, which then returns 71.40% on the four held-out windows against 55.88% for the matched unfiltered baseline (+15.52 pp, winning three of four), so the choice does not depend on having seen the evaluation period. The matched-baseline win rate and its exact confidence interval, which do not depend on selecting the top configuration after the fact, remain the more conservative summary. Finally, the financial-report source does not flag restatements or amendments: a restated figure carries the fiscal period end of the original filing, so it is treated as public from that date even though the corrected values appeared later. We therefore cannot rule out that a small number of report values reflect subsequent restatement.</w:t>
      </w:r>
    </w:p>
    <w:p w14:paraId="546C6389" w14:textId="77777777" w:rsidR="00557FAC" w:rsidRDefault="00824C87">
      <w:pPr>
        <w:jc w:val="both"/>
        <w:sectPr w:rsidR="00557FAC">
          <w:type w:val="continuous"/>
          <w:pgSz w:w="12240" w:h="15840"/>
          <w:pgMar w:top="1080" w:right="1080" w:bottom="1080" w:left="1080" w:header="360" w:footer="360" w:gutter="0"/>
          <w:cols w:num="2" w:space="720" w:equalWidth="0">
            <w:col w:w="4500" w:space="720"/>
            <w:col w:w="4500" w:space="0"/>
          </w:cols>
        </w:sectPr>
      </w:pPr>
      <w:r>
        <w:t>Future work should address these gaps directly: incorporating transaction-cost modeling, extending the universe beyond technology to test sector generalization, and evaluating across bear-market windows as longer post-cutoff histories become available. Live forward-testing — deploying the recommended configuration prospectively rather than on historical windows — would provide the strongest evidence that the framework’s advantage over the unfiltered single-pass methodology persists out of sample.</w:t>
      </w:r>
    </w:p>
    <w:p w14:paraId="5D33723C" w14:textId="77777777" w:rsidR="00557FAC" w:rsidRDefault="00824C87">
      <w:pPr>
        <w:pStyle w:val="Heading1"/>
        <w:keepNext/>
        <w:keepLines/>
      </w:pPr>
      <w:r>
        <w:t>Conclusion</w:t>
      </w:r>
    </w:p>
    <w:p w14:paraId="19B23E1E" w14:textId="77777777" w:rsidR="00557FAC" w:rsidRDefault="00824C87">
      <w:pPr>
        <w:spacing w:before="40" w:after="40"/>
        <w:jc w:val="both"/>
      </w:pPr>
      <w:r>
        <w:t>This study set out to test whether structuring the information given to a language model could improve long-term stock selection. Across 2,759 portfolio runs, a two-stage pipeline — using news to assemble a candidate shortlist and financial reports to validate it — reliably outperformed both unfiltered single-pass prompting and aggressive over-filtering. The largest gains came from a moderate design: starting from about ten to twenty candidates and narrowing them by roughly half — a ratio we present as a working hypothesis consistent with the tested grid — added on the order of fifteen percentage points of mean ROI over the unfiltered baseline and beat it in most matched evaluation windows. The central takeaway is that information design is a distinct and inexpensive determinant of performance in LLM-based investing, comparable in importance to the choice of model. Subject to the limitations above, this points toward a broader direction for LLM agents: treating the structure of a model’s inputs as a first-class design variable rather than an afterthought.</w:t>
      </w:r>
    </w:p>
    <w:p w14:paraId="6605C1F7" w14:textId="77777777" w:rsidR="00557FAC" w:rsidRDefault="00824C87">
      <w:pPr>
        <w:pStyle w:val="Heading1"/>
        <w:keepNext/>
        <w:keepLines/>
      </w:pPr>
      <w:r>
        <w:t>Data and Code Availability</w:t>
      </w:r>
    </w:p>
    <w:p w14:paraId="05EEFBFF" w14:textId="77777777" w:rsidR="00557FAC" w:rsidRDefault="00824C87">
      <w:pPr>
        <w:jc w:val="both"/>
      </w:pPr>
      <w:r>
        <w:t xml:space="preserve">To support full reproducibility, the following materials are publicly available now, not only upon acceptance, at https://github.com/JathinBat/LLM-Two-Stage-Portfolio-Filtering: the news-relevance screening prompt; the Stage One and Stage Two prompts; the unfiltered single-pass and Ranked baseline prompts; the complete list of evaluation windows; the per-cell run outputs, including the selected tickers, weights, and decision dates for every run; and the analysis scripts, including the paired-difference statistics, the risk-metric reconstruction, and the benchmark-reconstruction code. News articles were obtained from The New York Times and financial reports from Alpha Vantage, each under its provider’s terms of use, and neither corpus is redistributed; the retrieval queries, date windows, and timestamp conventions needed to reconstruct the corpora are documented in the Methods and Supplementary Information.</w:t>
      </w:r>
    </w:p>
    <w:p w14:paraId="3C462241" w14:textId="77777777" w:rsidR="00557FAC" w:rsidRDefault="00824C87">
      <w:pPr>
        <w:pStyle w:val="Heading1"/>
        <w:keepNext/>
        <w:keepLines/>
      </w:pPr>
      <w:r>
        <w:t>References</w:t>
      </w:r>
    </w:p>
    <w:p w14:paraId="699CEF6D" w14:textId="77777777" w:rsidR="00557FAC" w:rsidRDefault="00824C87">
      <w:pPr>
        <w:spacing w:after="10"/>
        <w:jc w:val="both"/>
      </w:pPr>
      <w:r>
        <w:rPr>
          <w:sz w:val="20"/>
          <w:szCs w:val="20"/>
        </w:rPr>
        <w:t>1. Y. Nie, Y. Kong, X. Dong, J. M. Mulvey, H. V. Poor, Q. Wen, S. Zohren. A survey of large language models for financial applications: progress, prospects and challenges. arXiv, 2024, https://doi.org/10.48550/arXiv.2406.11903.</w:t>
      </w:r>
    </w:p>
    <w:p w14:paraId="449A244E" w14:textId="77777777" w:rsidR="00557FAC" w:rsidRDefault="00824C87">
      <w:pPr>
        <w:spacing w:after="10"/>
        <w:jc w:val="both"/>
      </w:pPr>
      <w:r>
        <w:rPr>
          <w:sz w:val="20"/>
          <w:szCs w:val="20"/>
        </w:rPr>
        <w:t>2. S. An, Q. Li, J. Lu, D. Yin, X. Sun. FinVerse: an autonomous agent system for versatile financial analysis. arXiv, 2024, https://doi.org/10.48550/arXiv.2406.06379.</w:t>
      </w:r>
    </w:p>
    <w:p w14:paraId="686F99E7" w14:textId="77777777" w:rsidR="00557FAC" w:rsidRDefault="00824C87">
      <w:pPr>
        <w:spacing w:after="10"/>
        <w:jc w:val="both"/>
      </w:pPr>
      <w:r>
        <w:rPr>
          <w:sz w:val="20"/>
          <w:szCs w:val="20"/>
        </w:rPr>
        <w:t>3. A. Lopez-Lira, Y. Tang. Can ChatGPT forecast stock price movements? return predictability and large language models. SSRN. 2023, https://doi.org/10.2139/ssrn.4412788.</w:t>
      </w:r>
    </w:p>
    <w:p w14:paraId="1C701D65" w14:textId="77777777" w:rsidR="00557FAC" w:rsidRDefault="00824C87">
      <w:pPr>
        <w:spacing w:after="10"/>
        <w:jc w:val="both"/>
      </w:pPr>
      <w:r>
        <w:rPr>
          <w:sz w:val="20"/>
          <w:szCs w:val="20"/>
        </w:rPr>
        <w:t>4. Y. Xiao, E. Sun, D. Luo, W. Wang. TradingAgents: multi-agents LLM financial trading framework. arXiv, 2024, https://doi.org/10.48550/arXiv.2412.20138.</w:t>
      </w:r>
    </w:p>
    <w:p w14:paraId="14246371" w14:textId="77777777" w:rsidR="00557FAC" w:rsidRDefault="00824C87">
      <w:pPr>
        <w:spacing w:after="10"/>
        <w:jc w:val="both"/>
      </w:pPr>
      <w:r>
        <w:rPr>
          <w:sz w:val="20"/>
          <w:szCs w:val="20"/>
        </w:rPr>
        <w:t>5. H. Ding, Y. Li, J. Wang, H. Chen. Large language model agent in financial trading: a survey. arXiv, 2024, https://doi.org/10.48550/arXiv.2408.06361.</w:t>
      </w:r>
    </w:p>
    <w:p w14:paraId="53079EEC" w14:textId="77777777" w:rsidR="00557FAC" w:rsidRDefault="00824C87">
      <w:pPr>
        <w:spacing w:after="10"/>
        <w:jc w:val="both"/>
      </w:pPr>
      <w:r>
        <w:rPr>
          <w:sz w:val="20"/>
          <w:szCs w:val="20"/>
        </w:rPr>
        <w:t>6. W. W. Li, H. Kim, M. Cucuringu, T. Ma. Can LLM-based financial investing strategies outperform the market in the long run? arXiv, 2025, https://doi.org/10.48550/arXiv.2505.07078.</w:t>
      </w:r>
    </w:p>
    <w:p w14:paraId="66689867" w14:textId="77777777" w:rsidR="00557FAC" w:rsidRDefault="00824C87">
      <w:pPr>
        <w:spacing w:after="10"/>
        <w:jc w:val="both"/>
      </w:pPr>
      <w:r>
        <w:rPr>
          <w:sz w:val="20"/>
          <w:szCs w:val="20"/>
        </w:rPr>
        <w:t>7. D. Blitz, M. X. Hanauer, T. Hoogteijling, C. Howard. The term structure of machine learning alpha. The Journal of Financial Data Science. Vol. 5, pg. 40–65, 2023, https://doi.org/10.3905/jfds.2023.1.135.</w:t>
      </w:r>
    </w:p>
    <w:p w14:paraId="55AB8AFF" w14:textId="77777777" w:rsidR="00557FAC" w:rsidRDefault="00824C87">
      <w:pPr>
        <w:spacing w:after="10"/>
        <w:jc w:val="both"/>
      </w:pPr>
      <w:r>
        <w:rPr>
          <w:sz w:val="20"/>
          <w:szCs w:val="20"/>
        </w:rPr>
        <w:t>8. G. Lu, S. B. Larcher, T. Tran. Hybrid long document summarization using C2F-FAR and ChatGPT: a practical study. arXiv, 2023, https://doi.org/10.48550/arXiv.2306.01169.</w:t>
      </w:r>
    </w:p>
    <w:p w14:paraId="310041D6" w14:textId="77777777" w:rsidR="00557FAC" w:rsidRDefault="00824C87">
      <w:pPr>
        <w:spacing w:after="10"/>
        <w:jc w:val="both"/>
      </w:pPr>
      <w:r>
        <w:rPr>
          <w:sz w:val="20"/>
          <w:szCs w:val="20"/>
        </w:rPr>
        <w:t>9. H. Naveed, A. U. Khan, S. Qiu, M. Saqib, S. Anwar, M. Usman, N. Akhtar, N. Barnes, A. Mian. A comprehensive overview of large language models. ACM Transactions on Intelligent Systems and Technology. Vol. 16, no. 5, 2025, https://doi.org/10.1145/3744746.</w:t>
      </w:r>
    </w:p>
    <w:p w14:paraId="71EA897A" w14:textId="77777777" w:rsidR="00557FAC" w:rsidRDefault="00824C87">
      <w:pPr>
        <w:spacing w:after="10"/>
        <w:jc w:val="both"/>
      </w:pPr>
      <w:r>
        <w:rPr>
          <w:sz w:val="20"/>
          <w:szCs w:val="20"/>
        </w:rPr>
        <w:lastRenderedPageBreak/>
        <w:t>10. B. Cao, S. Wang, X. Lin, X. Wu, H. Zhang, L. M. Ni, J. Guo. From deep learning to LLMs: a survey of AI in quantitative investment. arXiv, 2025, https://doi.org/10.48550/arXiv.2503.21422.</w:t>
      </w:r>
    </w:p>
    <w:p w14:paraId="4DA90C40" w14:textId="77777777" w:rsidR="00557FAC" w:rsidRDefault="00824C87">
      <w:pPr>
        <w:spacing w:after="10"/>
        <w:jc w:val="both"/>
      </w:pPr>
      <w:r>
        <w:rPr>
          <w:sz w:val="20"/>
          <w:szCs w:val="20"/>
        </w:rPr>
        <w:t>11. I. Mirzadeh, K. Alizadeh, H. Shahrokhi, O. Tuzel, S. Bengio, M. Farajtabar. GSM-symbolic: understanding the limitations of mathematical reasoning in large language models. International Conference on Learning Representations (ICLR 2025). 2025, https://openreview.net/forum?id=AjXkRZIvjB.</w:t>
      </w:r>
    </w:p>
    <w:p w14:paraId="6947C1B3" w14:textId="77777777" w:rsidR="00557FAC" w:rsidRDefault="00824C87">
      <w:pPr>
        <w:spacing w:after="10"/>
        <w:jc w:val="both"/>
      </w:pPr>
      <w:r>
        <w:rPr>
          <w:sz w:val="20"/>
          <w:szCs w:val="20"/>
        </w:rPr>
        <w:t>12. Y. Zhang, Y. Li, L. Cui, D. Cai, L. Liu, T. Fu, X. Huang, E. Zhao, Y. Zhang, C. Xu, Y. Chen, L. Wang, A. T. Luu, W. Bi, F. Shi, S. Shi. Siren’s song in the AI ocean: a survey on hallucination in large language models. Computational Linguistics. Vol. 51, pg. 1373–1418, 2025, https://doi.org/10.1162/coli.a.16.</w:t>
      </w:r>
    </w:p>
    <w:p w14:paraId="00DED0B0" w14:textId="77777777" w:rsidR="00557FAC" w:rsidRDefault="00824C87">
      <w:pPr>
        <w:spacing w:after="10"/>
        <w:jc w:val="both"/>
      </w:pPr>
      <w:r>
        <w:rPr>
          <w:sz w:val="20"/>
          <w:szCs w:val="20"/>
        </w:rPr>
        <w:t>13. I. Okpala, A. Golgoon, A. R. Kannan. Agentic AI systems applied to tasks in financial services: modeling and model risk management crews. arXiv, 2025, https://doi.org/10.48550/arXiv.2502.05439.</w:t>
      </w:r>
    </w:p>
    <w:p w14:paraId="7EF8AF8C" w14:textId="77777777" w:rsidR="00557FAC" w:rsidRDefault="00824C87">
      <w:pPr>
        <w:spacing w:after="10"/>
        <w:jc w:val="both"/>
      </w:pPr>
      <w:r>
        <w:rPr>
          <w:sz w:val="20"/>
          <w:szCs w:val="20"/>
        </w:rPr>
        <w:t>14. G. Fatouros, K. Metaxas, J. Soldatos, M. Karathanassis. MarketSenseAI 2.0: enhancing stock analysis through LLM agents. arXiv, 2025, https://doi.org/10.48550/arXiv.2502.00415.</w:t>
      </w:r>
    </w:p>
    <w:p w14:paraId="2573963B" w14:textId="77777777" w:rsidR="00557FAC" w:rsidRDefault="00824C87">
      <w:pPr>
        <w:spacing w:after="10"/>
        <w:jc w:val="both"/>
      </w:pPr>
      <w:r>
        <w:rPr>
          <w:sz w:val="20"/>
          <w:szCs w:val="20"/>
        </w:rPr>
        <w:t>15. J. Cheng, P. Chin. AAPM: large language model agent-based asset pricing models. arXiv, 2024, https://doi.org/10.48550/arXiv.2409.17266.</w:t>
      </w:r>
    </w:p>
    <w:p w14:paraId="5E572AED" w14:textId="77777777" w:rsidR="00557FAC" w:rsidRDefault="00824C87">
      <w:pPr>
        <w:spacing w:after="10"/>
        <w:jc w:val="both"/>
      </w:pPr>
      <w:r>
        <w:rPr>
          <w:sz w:val="20"/>
          <w:szCs w:val="20"/>
        </w:rPr>
        <w:t>16. C. Choi, A. Lopez-Lira, Y. Lee, J. Kwon, M. Kim, J. Hwang, M. Ha, C. Kim, J. Ha, S. Yun, J. Kim. Structuring the unstructured: a multi-agent system for extracting and querying financial KPIs and guidance. arXiv, 2025, https://doi.org/10.48550/arXiv.2505.19197.</w:t>
      </w:r>
    </w:p>
    <w:p w14:paraId="5116A99A" w14:textId="77777777" w:rsidR="00557FAC" w:rsidRDefault="00824C87">
      <w:pPr>
        <w:spacing w:after="10"/>
        <w:jc w:val="both"/>
      </w:pPr>
      <w:r>
        <w:rPr>
          <w:sz w:val="20"/>
          <w:szCs w:val="20"/>
        </w:rPr>
        <w:t>17. T. Guo, X. Chen, Y. Wang, R. Chang, S. Pei, N. V. Chawla, O. Wiest, X. Zhang. Large language model based multi-agents: a survey of progress and challenges. Proceedings of the 33rd International Joint Conference on Artificial Intelligence (IJCAI 2024), Survey Track. 2024, https://doi.org/10.24963/ijcai.2024/890.</w:t>
      </w:r>
    </w:p>
    <w:p w14:paraId="6D755B2D" w14:textId="77777777" w:rsidR="00557FAC" w:rsidRDefault="00824C87">
      <w:pPr>
        <w:spacing w:after="10"/>
        <w:jc w:val="both"/>
      </w:pPr>
      <w:r>
        <w:rPr>
          <w:sz w:val="20"/>
          <w:szCs w:val="20"/>
        </w:rPr>
        <w:t>18. X. Han, N. Wang, S. Che, H. Yang, K. Zhang, S. X. Xu. Enhancing investment analysis: optimizing AI-agent collaboration in financial research. Proceedings of the 5th ACM International Conference on AI in Finance. 2024, https://doi.org/10.1145/3677052.3698645.</w:t>
      </w:r>
    </w:p>
    <w:p w14:paraId="4A37AC35" w14:textId="77777777" w:rsidR="00557FAC" w:rsidRDefault="00824C87">
      <w:pPr>
        <w:spacing w:after="10"/>
        <w:jc w:val="both"/>
      </w:pPr>
      <w:r>
        <w:rPr>
          <w:sz w:val="20"/>
          <w:szCs w:val="20"/>
        </w:rPr>
        <w:t>19. C. Zhang, X. Liu, M. Jin, Z. Zhang, L. Li, Z. Wang, W. Hua, D. Shu, S. Zhu, X. Jin, S. Li, M. Du, Y. Zhang. When AI meets finance (StockAgent): large language model-based stock trading in simulated real-world environments. arXiv, 2024, https://doi.org/10.48550/arXiv.2407.18957.</w:t>
      </w:r>
    </w:p>
    <w:p w14:paraId="54D64598" w14:textId="77777777" w:rsidR="00557FAC" w:rsidRDefault="00824C87">
      <w:pPr>
        <w:spacing w:after="10"/>
        <w:jc w:val="both"/>
      </w:pPr>
      <w:r>
        <w:rPr>
          <w:sz w:val="20"/>
          <w:szCs w:val="20"/>
        </w:rPr>
        <w:t>20. Y. Li, Y. Yu, H. Li, Z. Chen, K. Khashanah. TradingGPT: multi-agent system with layered memory and distinct characters for enhanced financial trading performance. arXiv, 2023, https://doi.org/10.48550/arXiv.2309.03736.</w:t>
      </w:r>
    </w:p>
    <w:p w14:paraId="3B38B7FA" w14:textId="77777777" w:rsidR="00557FAC" w:rsidRDefault="00824C87">
      <w:pPr>
        <w:spacing w:after="10"/>
        <w:jc w:val="both"/>
      </w:pPr>
      <w:r>
        <w:rPr>
          <w:sz w:val="20"/>
          <w:szCs w:val="20"/>
        </w:rPr>
        <w:t>21. Y. Yu, H. Li, Z. Chen, Y. Jiang, Y. Li, D. Zhang, R. Liu, J. W. Suchow, K. Khashanah. FinMem: a performance-enhanced LLM trading agent with layered memory and character design. Proceedings of the AAAI Symposium Series. Vol. 3, pg. 595–597, 2024, https://doi.org/10.1609/aaaiss.v3i1.31290.</w:t>
      </w:r>
    </w:p>
    <w:p w14:paraId="09F6D0E8" w14:textId="77777777" w:rsidR="00557FAC" w:rsidRDefault="00824C87">
      <w:pPr>
        <w:spacing w:after="10"/>
        <w:jc w:val="both"/>
      </w:pPr>
      <w:r>
        <w:rPr>
          <w:sz w:val="20"/>
          <w:szCs w:val="20"/>
        </w:rPr>
        <w:t>22. T. Guo, H. Shen, J. Huang, Z. Mao, J. Luo, B. Chen, Z. Chen, L. Liu, B. Xia, X. Liu, Y. Ma, M. Zhang. MASS: multi-agent simulation scaling for portfolio construction. arXiv, 2025, https://doi.org/10.48550/arXiv.2505.10278.</w:t>
      </w:r>
    </w:p>
    <w:p w14:paraId="5CB91B03" w14:textId="77777777" w:rsidR="00557FAC" w:rsidRDefault="00824C87">
      <w:pPr>
        <w:spacing w:after="10"/>
        <w:jc w:val="both"/>
      </w:pPr>
      <w:r>
        <w:rPr>
          <w:sz w:val="20"/>
          <w:szCs w:val="20"/>
        </w:rPr>
        <w:t>23. J. Li, J. Zhang, H. Li, Y. Shen. An agent framework for real-time financial information searching with large language models. arXiv, 2025, https://doi.org/10.48550/arXiv.2502.15684.</w:t>
      </w:r>
    </w:p>
    <w:p w14:paraId="444E2DE9" w14:textId="77777777" w:rsidR="00557FAC" w:rsidRDefault="00824C87">
      <w:pPr>
        <w:spacing w:after="10"/>
        <w:jc w:val="both"/>
      </w:pPr>
      <w:r>
        <w:rPr>
          <w:sz w:val="20"/>
          <w:szCs w:val="20"/>
        </w:rPr>
        <w:t>24. K. Chen, H. Ahmad, D. Goel, C. Szabo. 3S-trader: a multi-LLM framework for adaptive stock scoring, strategy, and selection in portfolio optimization. arXiv, 2025, https://doi.org/10.48550/arXiv.2510.17393.</w:t>
      </w:r>
    </w:p>
    <w:p w14:paraId="06442C19" w14:textId="77777777" w:rsidR="00557FAC" w:rsidRDefault="00824C87">
      <w:pPr>
        <w:spacing w:after="10"/>
        <w:jc w:val="both"/>
      </w:pPr>
      <w:r>
        <w:rPr>
          <w:sz w:val="20"/>
          <w:szCs w:val="20"/>
        </w:rPr>
        <w:t>25. T. Zhao, J. Lyu, S. Jones, H. Garber, S. Pasquali, D. Mehta. AlphaAgents: large language model-based multi-agents for equity portfolio constructions. arXiv, 2025, https://doi.org/10.48550/arXiv.2508.11152.</w:t>
      </w:r>
    </w:p>
    <w:p w14:paraId="005C7681" w14:textId="77777777" w:rsidR="00557FAC" w:rsidRDefault="00824C87">
      <w:pPr>
        <w:spacing w:after="10"/>
        <w:jc w:val="both"/>
      </w:pPr>
      <w:r>
        <w:rPr>
          <w:sz w:val="20"/>
          <w:szCs w:val="20"/>
        </w:rPr>
        <w:t>26. T. Zhou, P. Wang, Y. Wu, H. Yang. FinRobot: AI agent for equity research and valuation with large language models. arXiv, 2024, https://doi.org/10.48550/arXiv.2411.08804.</w:t>
      </w:r>
    </w:p>
    <w:p w14:paraId="763AE7E9" w14:textId="77777777" w:rsidR="00557FAC" w:rsidRDefault="00824C87">
      <w:pPr>
        <w:spacing w:after="10"/>
        <w:jc w:val="both"/>
      </w:pPr>
      <w:r>
        <w:rPr>
          <w:sz w:val="20"/>
          <w:szCs w:val="20"/>
        </w:rPr>
        <w:t>27. W. Zhang, L. Zhao, H. Xia, S. Sun, J. Sun, M. Qin, X. Li, Y. Zhao, Y. Zhao, X. Cai, L. Zheng, X. Wang, B. An. A multimodal foundation agent for financial trading: tool-augmented, diversified, and generalist. Proceedings of the 30th ACM SIGKDD Conference on Knowledge Discovery and Data Mining. 2024, https://doi.org/10.1145/3637528.3671801.</w:t>
      </w:r>
    </w:p>
    <w:p w14:paraId="4CDFC690" w14:textId="77777777" w:rsidR="00557FAC" w:rsidRDefault="00824C87">
      <w:pPr>
        <w:spacing w:after="10"/>
        <w:jc w:val="both"/>
      </w:pPr>
      <w:r>
        <w:rPr>
          <w:sz w:val="20"/>
          <w:szCs w:val="20"/>
        </w:rPr>
        <w:t>28. P. C. Tetlock. Giving content to investor sentiment: the role of media in the stock market. The Journal of Finance. Vol. 62, pg. 1139–1168, 2007, https://doi.org/10.1111/j.1540-6261.2007.01232.x.</w:t>
      </w:r>
    </w:p>
    <w:p w14:paraId="3FD16059" w14:textId="77777777" w:rsidR="00557FAC" w:rsidRDefault="00824C87">
      <w:pPr>
        <w:spacing w:after="10"/>
        <w:jc w:val="both"/>
      </w:pPr>
      <w:r>
        <w:rPr>
          <w:sz w:val="20"/>
          <w:szCs w:val="20"/>
        </w:rPr>
        <w:t>29. J. Lee, N. Stevens, S. C. Han, M. Song. A survey of large language models in finance (FinLLMs). Neural Computing and Applications. Vol. 37, pg. 24853–24867, 2025, https://doi.org/10.1007/s00521-024-10495-6.</w:t>
      </w:r>
    </w:p>
    <w:p w14:paraId="5E6A0E99" w14:textId="77777777" w:rsidR="00557FAC" w:rsidRDefault="00824C87">
      <w:pPr>
        <w:spacing w:after="10"/>
        <w:jc w:val="both"/>
      </w:pPr>
      <w:r>
        <w:rPr>
          <w:sz w:val="20"/>
          <w:szCs w:val="20"/>
        </w:rPr>
        <w:t>30. S. Wang, H. Yuan, L. M. Ni, J. Guo. QuantAgent: seeking holy grail in trading by self-improving large language model. arXiv, 2024, https://doi.org/10.48550/arXiv.2402.03755.</w:t>
      </w:r>
    </w:p>
    <w:p w14:paraId="25BEDC60" w14:textId="77777777" w:rsidR="00557FAC" w:rsidRDefault="00824C87">
      <w:pPr>
        <w:spacing w:after="10"/>
        <w:jc w:val="both"/>
      </w:pPr>
      <w:r>
        <w:rPr>
          <w:sz w:val="20"/>
          <w:szCs w:val="20"/>
        </w:rPr>
        <w:t>31. K. Anjum, M. A. Arshad, K. Hayawi, E. Polyzos, A. Tariq, M. A. Serhani, L. Batool, B. Lund, N. R. Mannuru, R. V. K. Bevara, T. Mahbub, M. Z. Akram, S. Shahriar. Domain specific benchmarks for evaluating multimodal large language models. arXiv, 2025, https://doi.org/10.48550/arXiv.2506.12958.</w:t>
      </w:r>
    </w:p>
    <w:p w14:paraId="26190BB8" w14:textId="77777777" w:rsidR="00557FAC" w:rsidRDefault="00824C87">
      <w:pPr>
        <w:spacing w:after="10"/>
        <w:jc w:val="both"/>
      </w:pPr>
      <w:r>
        <w:rPr>
          <w:sz w:val="20"/>
          <w:szCs w:val="20"/>
        </w:rPr>
        <w:t>32.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w:t>
      </w:r>
    </w:p>
    <w:sectPr w:rsidR="00557FAC" w:rsidSect="00431F60">
      <w:type w:val="continuous"/>
      <w:pgSz w:w="12240" w:h="15840"/>
      <w:pgMar w:top="1080" w:right="1080" w:bottom="1080" w:left="1080" w:header="360" w:footer="36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DB492" w14:textId="77777777" w:rsidR="001D4D91" w:rsidRDefault="001D4D91">
      <w:r>
        <w:separator/>
      </w:r>
    </w:p>
  </w:endnote>
  <w:endnote w:type="continuationSeparator" w:id="0">
    <w:p w14:paraId="2368CAA1" w14:textId="77777777" w:rsidR="001D4D91" w:rsidRDefault="001D4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C926E24-ECD1-4A71-8693-30C67AD80095}"/>
  </w:font>
  <w:font w:name="Cambria">
    <w:panose1 w:val="02040503050406030204"/>
    <w:charset w:val="00"/>
    <w:family w:val="roman"/>
    <w:pitch w:val="variable"/>
    <w:sig w:usb0="E00006FF" w:usb1="420024FF" w:usb2="02000000" w:usb3="00000000" w:csb0="0000019F" w:csb1="00000000"/>
    <w:embedRegular r:id="rId2" w:fontKey="{C9DED08C-9CAB-4ACC-B2BE-8C30A10AB9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641C2" w14:textId="77777777" w:rsidR="00557FAC" w:rsidRDefault="00824C87">
    <w:pPr>
      <w:jc w:val="right"/>
    </w:pP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D64FFD">
      <w:rPr>
        <w:rFonts w:ascii="Arial" w:eastAsia="Arial" w:hAnsi="Arial" w:cs="Arial"/>
        <w:noProof/>
      </w:rPr>
      <w:t>1</w:t>
    </w:r>
    <w:r>
      <w:rPr>
        <w:rFonts w:ascii="Arial" w:eastAsia="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B1C3B" w14:textId="77777777" w:rsidR="00557FAC" w:rsidRDefault="00824C87">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57EE2" w14:textId="77777777" w:rsidR="001D4D91" w:rsidRDefault="001D4D91">
      <w:r>
        <w:separator/>
      </w:r>
    </w:p>
  </w:footnote>
  <w:footnote w:type="continuationSeparator" w:id="0">
    <w:p w14:paraId="5349F3CF" w14:textId="77777777" w:rsidR="001D4D91" w:rsidRDefault="001D4D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206B7" w14:textId="77777777" w:rsidR="00557FAC" w:rsidRDefault="00557FAC">
    <w:pPr>
      <w:spacing w:after="4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EC137C"/>
    <w:multiLevelType w:val="multilevel"/>
    <w:tmpl w:val="05804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8418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FAC"/>
    <w:rsid w:val="000D0B6D"/>
    <w:rsid w:val="001B382A"/>
    <w:rsid w:val="001D4D91"/>
    <w:rsid w:val="0024224A"/>
    <w:rsid w:val="00431F60"/>
    <w:rsid w:val="00434B0B"/>
    <w:rsid w:val="00463294"/>
    <w:rsid w:val="00557FAC"/>
    <w:rsid w:val="005B1840"/>
    <w:rsid w:val="005E4B67"/>
    <w:rsid w:val="005F426D"/>
    <w:rsid w:val="00824C87"/>
    <w:rsid w:val="008836C4"/>
    <w:rsid w:val="008B18DD"/>
    <w:rsid w:val="008B5C04"/>
    <w:rsid w:val="0095515F"/>
    <w:rsid w:val="009A4C4B"/>
    <w:rsid w:val="00CA1889"/>
    <w:rsid w:val="00CD5493"/>
    <w:rsid w:val="00CF7128"/>
    <w:rsid w:val="00D64FFD"/>
    <w:rsid w:val="00DA7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546595"/>
  <w15:docId w15:val="{9CC55636-7DD2-4045-9E3D-1E22AD2B2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80" w:after="80"/>
      <w:outlineLvl w:val="0"/>
    </w:pPr>
    <w:rPr>
      <w:b/>
      <w:bCs/>
      <w:color w:val="1F3864"/>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20" w:after="50"/>
      <w:outlineLvl w:val="1"/>
    </w:pPr>
    <w:rPr>
      <w:b/>
      <w:bCs/>
      <w:color w:val="2E5090"/>
      <w:sz w:val="26"/>
      <w:szCs w:val="26"/>
    </w:rPr>
  </w:style>
  <w:style w:type="paragraph" w:styleId="Heading3">
    <w:name w:val="heading 3"/>
    <w:basedOn w:val="Normal"/>
    <w:next w:val="Normal"/>
    <w:uiPriority w:val="9"/>
    <w:unhideWhenUsed/>
    <w:qFormat/>
    <w:pPr>
      <w:spacing w:before="40" w:after="40"/>
      <w:jc w:val="both"/>
      <w:outlineLvl w:val="2"/>
    </w:pPr>
    <w:rPr>
      <w:b/>
      <w:bCs/>
      <w:i/>
      <w:iCs/>
      <w:color w:val="333333"/>
      <w:sz w:val="21"/>
      <w:szCs w:val="21"/>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sz w:val="22"/>
      <w:szCs w:val="22"/>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sz w:val="22"/>
      <w:szCs w:val="22"/>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20</Pages>
  <Words>10219</Words>
  <Characters>61731</Characters>
  <Application>Microsoft Office Word</Application>
  <DocSecurity>0</DocSecurity>
  <Lines>1686</Lines>
  <Paragraphs>223</Paragraphs>
  <ScaleCrop>false</ScaleCrop>
  <Company/>
  <LinksUpToDate>false</LinksUpToDate>
  <CharactersWithSpaces>71715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Jathin Battepati</cp:lastModifiedBy>
  <cp:revision>8</cp:revision>
  <dcterms:created xsi:type="dcterms:W3CDTF">2026-08-03T04:42:00Z</dcterms:created>
  <dcterms:modified xsi:type="dcterms:W3CDTF">2026-08-03T05:23:00Z</dcterms:modified>
</cp:coreProperties>
</file>