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Risk barely moved: annualized volatility 28.1% against 27.8%, maximum drawdown −23.2% against −22.4%, and median Sharpe 1.70 against 1.34. That configuration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with the S&amp;P 500 and sector indices are context only. The framework beats the broad index mainly because its universe is technology-heavy.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rPr>
          <w:vertAlign w:val="superscript"/>
        </w:rPr>
        <w:t>1,2</w:t>
      </w:r>
      <w:r>
        <w:t>. Capitalizing on their natural language understanding capabilities, LLMs are increasingly applied to financial markets to generate directional signals—buy, hold, or sell recommendations—by synthesizing information from news, earnings reports, and regulatory filings</w:t>
      </w:r>
      <w:r>
        <w:rPr>
          <w:vertAlign w:val="superscript"/>
        </w:rPr>
        <w:t>3,4,5</w:t>
      </w:r>
      <w:r>
        <w:t>.</w:t>
      </w:r>
    </w:p>
    <w:p w14:paraId="4E45DE95" w14:textId="77777777" w:rsidR="00557FAC" w:rsidRDefault="00824C87">
      <w:pPr>
        <w:spacing w:before="40" w:after="40"/>
        <w:jc w:val="both"/>
      </w:pPr>
      <w:r>
        <w:rPr/>
        <w:t xml:space="preserve">Most LLM-based investment research targets short-term horizons—high-frequency trading or single-day price prediction</w:t>
      </w:r>
      <w:r>
        <w:rPr>
          <w:vertAlign w:val="superscript"/>
        </w:rPr>
        <w:t xml:space="preserve">3,4,6</w:t>
      </w:r>
      <w:r>
        <w:rPr/>
        <w:t xml:space="preserve">. A growing subset explores longer horizons</w:t>
      </w:r>
      <w:r>
        <w:rPr>
          <w:vertAlign w:val="superscript"/>
        </w:rPr>
        <w:t xml:space="preserve">6,7</w:t>
      </w:r>
      <w:r>
        <w:rPr/>
        <w:t xml:space="preserve">, but few studies guard against lookahead bias by restricting the model to information available at the simulated decision date, and few target holding periods beyond one quarter</w:t>
      </w:r>
      <w:r>
        <w:rPr>
          <w:vertAlign w:val="superscript"/>
        </w:rPr>
        <w:t xml:space="preserve">6</w:t>
      </w:r>
      <w:r>
        <w:rPr/>
        <w:t xml:space="preserve">. This gap motivates the present work: whether a structured LLM pipeline can generate reliable strategies over 12-month holding periods under a forward-usable protocol in which every decision uses only information available at that date. The models themselves postdate the earliest simulated decision dates, so it is the protocol, not the specific model, that transfers.</w:t>
      </w:r>
    </w:p>
    <w:p w14:paraId="6978CF78" w14:textId="77777777" w:rsidR="00557FAC" w:rsidRDefault="00824C87">
      <w:pPr>
        <w:spacing w:before="40" w:after="40"/>
        <w:jc w:val="both"/>
      </w:pPr>
      <w:r>
        <w:rPr/>
        <w:t xml:space="preserve">LLM capacity for summarization</w:t>
      </w:r>
      <w:r>
        <w:rPr>
          <w:vertAlign w:val="superscript"/>
        </w:rPr>
        <w:t xml:space="preserve">8</w:t>
      </w:r>
      <w:r>
        <w:rPr/>
        <w:t xml:space="preserve">, information extraction, and generation suits market trend monitoring, risk factor identification, and investment decision support</w:t>
      </w:r>
      <w:r>
        <w:rPr>
          <w:vertAlign w:val="superscript"/>
        </w:rPr>
        <w:t xml:space="preserve">1,2</w:t>
      </w:r>
      <w:r>
        <w:rPr/>
        <w:t xml:space="preserve">. As these models have scaled, their ability to process heterogeneous financial data has grown</w:t>
      </w:r>
      <w:r>
        <w:rPr>
          <w:vertAlign w:val="superscript"/>
        </w:rPr>
        <w:t xml:space="preserve">1,9</w:t>
      </w:r>
      <w:r>
        <w:rPr/>
        <w:t xml:space="preserve">, but opacity makes it hard to audit whether outputs reflect genuine reasoning or spurious pre-training correlations</w:t>
      </w:r>
      <w:r>
        <w:rPr>
          <w:vertAlign w:val="superscript"/>
        </w:rPr>
        <w:t xml:space="preserve">10,11</w:t>
      </w:r>
      <w:r>
        <w:rPr/>
        <w:t xml:space="preserve">. Because undetected biases propagate into consequential decisions</w:t>
      </w:r>
      <w:r>
        <w:rPr>
          <w:vertAlign w:val="superscript"/>
        </w:rPr>
        <w:t xml:space="preserve">10,12</w:t>
      </w:r>
      <w:r>
        <w:rPr/>
        <w:t xml:space="preserve">, principled deployment frameworks matter</w:t>
      </w:r>
      <w:r>
        <w:rPr>
          <w:vertAlign w:val="superscript"/>
        </w:rPr>
        <w:t xml:space="preserve">1,13</w:t>
      </w:r>
      <w:r>
        <w:rPr/>
        <w:t xml:space="preserve">.</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rPr/>
        <w:t xml:space="preserve">LLMs synthesize heterogeneous financial data to extract predictive market signals</w:t>
      </w:r>
      <w:r>
        <w:rPr>
          <w:vertAlign w:val="superscript"/>
        </w:rPr>
        <w:t xml:space="preserve">3,5,14</w:t>
      </w:r>
      <w:r>
        <w:rPr/>
        <w:t xml:space="preserve">. Integrating them with conventional forecasting improved predictive accuracy, attributed to capturing relationships between news sentiment and price movements</w:t>
      </w:r>
      <w:r>
        <w:rPr>
          <w:vertAlign w:val="superscript"/>
        </w:rPr>
        <w:t xml:space="preserve">3,14,15</w:t>
      </w:r>
      <w:r>
        <w:rPr/>
        <w:t xml:space="preserve">. A complementary line combines document embeddings with LLM-generated representations to proxy investor sentiment and macroeconomic conditions</w:t>
      </w:r>
      <w:r>
        <w:rPr>
          <w:vertAlign w:val="superscript"/>
        </w:rPr>
        <w:t xml:space="preserve">14,16</w:t>
      </w:r>
      <w:r>
        <w:rPr/>
        <w:t xml:space="preserve">, reducing manual overhead and enabling more scalable modeling pipelines</w:t>
      </w:r>
      <w:r>
        <w:rPr>
          <w:vertAlign w:val="superscript"/>
        </w:rPr>
        <w:t xml:space="preserve">14,16</w:t>
      </w:r>
      <w:r>
        <w:rPr/>
        <w:t xml:space="preserve">.</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rPr/>
        <w:t xml:space="preserve">Beyond single-model deployments, LLMs are increasingly employed as components of multi-agent trading systems, in which specialized agents interact to simulate market dynamics and refine portfolio strategies</w:t>
      </w:r>
      <w:r>
        <w:rPr>
          <w:vertAlign w:val="superscript"/>
        </w:rPr>
        <w:t xml:space="preserve">4,17,18,19</w:t>
      </w:r>
      <w:r>
        <w:rPr/>
        <w:t xml:space="preserve">. Layered memory and role-differentiated designs let agents retain historical context and adapt as conditions evolve</w:t>
      </w:r>
      <w:r>
        <w:rPr>
          <w:vertAlign w:val="superscript"/>
        </w:rPr>
        <w:t xml:space="preserve">20,21</w:t>
      </w:r>
      <w:r>
        <w:rPr/>
        <w:t xml:space="preserve">, and multi-agent configurations frequently outperform single-agent baselines because strategy diversity reduces the overfitting seen in isolated backtests</w:t>
      </w:r>
      <w:r>
        <w:rPr>
          <w:vertAlign w:val="superscript"/>
        </w:rPr>
        <w:t xml:space="preserve">18,22</w:t>
      </w:r>
      <w:r>
        <w:rPr/>
        <w:t xml:space="preserve">. Agents are typically assigned distinct functions—allocation, risk assessment, monitoring</w:t>
      </w:r>
      <w:r>
        <w:rPr>
          <w:vertAlign w:val="superscript"/>
        </w:rPr>
        <w:t xml:space="preserve">4,17,23</w:t>
      </w:r>
      <w:r>
        <w:rPr/>
        <w:t xml:space="preserve">. Representative frameworks such as 3S-Trader</w:t>
      </w:r>
      <w:r>
        <w:rPr>
          <w:vertAlign w:val="superscript"/>
        </w:rPr>
        <w:t xml:space="preserve">24</w:t>
      </w:r>
      <w:r>
        <w:rPr/>
        <w:t xml:space="preserve">, AlphaAgents</w:t>
      </w:r>
      <w:r>
        <w:rPr>
          <w:vertAlign w:val="superscript"/>
        </w:rPr>
        <w:t xml:space="preserve">25</w:t>
      </w:r>
      <w:r>
        <w:rPr/>
        <w:t xml:space="preserve">, FinRobot</w:t>
      </w:r>
      <w:r>
        <w:rPr>
          <w:vertAlign w:val="superscript"/>
        </w:rPr>
        <w:t xml:space="preserve">26</w:t>
      </w:r>
      <w:r>
        <w:rPr/>
        <w:t xml:space="preserve">, and tool-augmented multimodal foundation agents</w:t>
      </w:r>
      <w:r>
        <w:rPr>
          <w:vertAlign w:val="superscript"/>
        </w:rPr>
        <w:t xml:space="preserve">27</w:t>
      </w:r>
      <w:r>
        <w:rP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 xml:space="preserve">LLMs infer investor sentiment and forecast market movements from news and social media</w:t>
      </w:r>
      <w:r>
        <w:rPr>
          <w:bCs/>
          <w:vertAlign w:val="superscript"/>
        </w:rPr>
        <w:t xml:space="preserve">3,14,28</w:t>
      </w:r>
      <w:r>
        <w:rPr>
          <w:bCs/>
        </w:rPr>
        <w:t xml:space="preserve">. Pre-training on large financial corpora lets them parse specialized terminology and rhetorical structure, mapping text to price movements</w:t>
      </w:r>
      <w:r>
        <w:rPr>
          <w:bCs/>
          <w:vertAlign w:val="superscript"/>
        </w:rPr>
        <w:t xml:space="preserve">3,29</w:t>
      </w:r>
      <w:r>
        <w:rPr>
          <w:bCs/>
        </w:rPr>
        <w:t xml:space="preserve">, and sentiment-augmented models have been reported to identify early trend reversals</w:t>
      </w:r>
      <w:r>
        <w:rPr>
          <w:bCs/>
          <w:vertAlign w:val="superscript"/>
        </w:rPr>
        <w:t xml:space="preserve">3,28</w:t>
      </w:r>
      <w:r>
        <w:rPr>
          <w:bCs/>
        </w:rPr>
        <w:t xml:space="preserve">. Processing unstructured data at scale enables more agile, information-rich strategies</w:t>
      </w:r>
      <w:r>
        <w:rPr>
          <w:bCs/>
          <w:vertAlign w:val="superscript"/>
        </w:rPr>
        <w:t xml:space="preserve">1,23</w:t>
      </w:r>
      <w:r>
        <w:rPr>
          <w:bCs/>
        </w:rPr>
        <w:t xml:space="preserve">, extending foundational work showing that media-derived content yields quantifiable sentiment signals with measurable impact on equity prices</w:t>
      </w:r>
      <w:r>
        <w:rPr>
          <w:bCs/>
          <w:vertAlign w:val="superscript"/>
        </w:rPr>
        <w:t xml:space="preserve">3,28</w:t>
      </w:r>
      <w:r>
        <w:rPr>
          <w:bCs/>
        </w:rPr>
        <w:t xml:space="preserve">.</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rPr>
          <w:vertAlign w:val="superscript"/>
        </w:rPr>
        <w:t>21,30</w:t>
      </w:r>
      <w:r>
        <w:t>. Such systems refine their strategies iteratively through feedback from simulated markets or accumulated trading knowledge</w:t>
      </w:r>
      <w:r>
        <w:rPr>
          <w:vertAlign w:val="superscript"/>
        </w:rPr>
        <w:t>19,30</w:t>
      </w:r>
      <w:r>
        <w:t>, and framing portfolio management as a sequential decision problem provides a principled balance between exploring new strategies and exploiting established ones</w:t>
      </w:r>
      <w:r>
        <w:rPr>
          <w:vertAlign w:val="superscript"/>
        </w:rPr>
        <w:t>30</w:t>
      </w:r>
      <w:r>
        <w:t>. This adaptability suits non-stationary market regimes</w:t>
      </w:r>
      <w:r>
        <w:rPr>
          <w:vertAlign w:val="superscript"/>
        </w:rPr>
        <w:t>4,21</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rPr/>
        <w:t xml:space="preserve">Systematic benchmarking provides a principled basis for evaluating financial LLMs</w:t>
      </w:r>
      <w:r>
        <w:rPr>
          <w:vertAlign w:val="superscript"/>
        </w:rPr>
        <w:t xml:space="preserve">29,31,32</w:t>
      </w:r>
      <w:r>
        <w:rPr/>
        <w:t xml:space="preserve">. Standardized datasets enable comparison across models on textual comprehension, sentiment extraction, and portfolio optimization</w:t>
      </w:r>
      <w:r>
        <w:rPr>
          <w:vertAlign w:val="superscript"/>
        </w:rPr>
        <w:t xml:space="preserve">29,32</w:t>
      </w:r>
      <w:r>
        <w:rPr/>
        <w:t xml:space="preserve">. Accuracy alone is insufficient — models must perform under live-market pressures</w:t>
      </w:r>
      <w:r>
        <w:rPr>
          <w:vertAlign w:val="superscript"/>
        </w:rPr>
        <w:t xml:space="preserve">6,19,32</w:t>
      </w:r>
      <w:r>
        <w:rPr/>
        <w:t xml:space="preserve"> — so benchmark development remains essential to separate genuine advances from artifacts of favorable evaluation conditions</w:t>
      </w:r>
      <w:r>
        <w:rPr>
          <w:vertAlign w:val="superscript"/>
        </w:rPr>
        <w:t xml:space="preserve">3,6,32</w:t>
      </w:r>
      <w:r>
        <w:rPr/>
        <w:t xml:space="preserve">.</w:t>
      </w:r>
    </w:p>
    <w:p w14:paraId="16EF4F29" w14:textId="77777777" w:rsidR="00557FAC" w:rsidRDefault="00824C87">
      <w:pPr>
        <w:spacing w:before="40" w:after="40"/>
        <w:jc w:val="both"/>
      </w:pPr>
      <w:r>
        <w:rPr/>
        <w:t xml:space="preserve">A critical concern in this literature is evaluation bias. A rigorous testing framework, FINSABER</w:t>
      </w:r>
      <w:r>
        <w:rPr>
          <w:vertAlign w:val="superscript"/>
        </w:rPr>
        <w:t xml:space="preserve">6</w:t>
      </w:r>
      <w:r>
        <w:rPr/>
        <w:t xml:space="preserve">,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Re-tested over 20 years across a wider range of stocks, popular LLM strategies’ apparent advantages disappeared or weakened substantially, and they performed poorly across market regimes — too cautious in bull markets, too aggressive in bear markets. Those findings motivate the evaluation design used here: long horizons, matched comparisons, and explicit controls for all three biases.</w:t>
      </w:r>
    </w:p>
    <w:p w14:paraId="75BC9FBF" w14:textId="77777777" w:rsidR="00557FAC" w:rsidRDefault="00824C87">
      <w:pPr>
        <w:spacing w:before="40" w:after="40"/>
        <w:jc w:val="both"/>
      </w:pPr>
      <w:r>
        <w:t>Collectively these studies show LLMs can generate competitive strategies, but they focus on model capability — larger architectures, multi-agent systems, reinforcement learning, sentiment extraction. Little attention has gone to the structural architecture of information delivery. This gap motivates our central question: can restructuring the information flow presented to an LLM 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rPr>
          <w:vertAlign w:val="superscript"/>
        </w:rPr>
        <w:t>11</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rPr/>
        <w:t xml:space="preserve">A second challenge is hallucination: LLMs can fabricate or misrepresent information with high apparent confidence</w:t>
      </w:r>
      <w:r>
        <w:rPr>
          <w:vertAlign w:val="superscript"/>
        </w:rPr>
        <w:t xml:space="preserve">12</w:t>
      </w:r>
      <w:r>
        <w:rPr/>
        <w:t xml:space="preserve">. In an investment context this yields recommendations built on non-existent events, incorrect figures, or invented analyst reports. Subtle hallucinations—small distortions in attributed facts or plausible-sounding mischaracterizations of company performance—may pass undetected and propagate through the pipeline, compounding over a holding period.</w:t>
      </w:r>
    </w:p>
    <w:p w14:paraId="0626F88F" w14:textId="77777777" w:rsidR="00557FAC" w:rsidRDefault="00824C87">
      <w:pPr>
        <w:spacing w:before="40" w:after="40"/>
        <w:jc w:val="both"/>
      </w:pPr>
      <w:r>
        <w:t>A third challenge is implicit bias introduced through LLM pre-training. Because LLMs are trained to a fixed knowledge cutoff, they may encode awareness of events postdating a historical analysis date, supplying look-ahead information no real investor could possess. This leakage is particularly problematic for backtesting: strategies that appear profitable retrospectively may be artifacts of latent knowledge rather than genuine analytical insight.</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pipeline for long-term investment strategy generation. It decomposes the task into a news-based candidate selection stage, in which the LLM identifies candidate stocks from curated financial news, and a financial report validation stage, in which it reads company reports for each candidate and produces a smaller, higher-conviction portfolio. Sequential rather than simultaneous evaluation of information sources is the central methodological contribution.</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the S&amp;P 500 comparison is context only.</w:t>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The framework has four phases. First, historical news articles are collected from a fixed pre-analysis window. These prompt the LLM to nominate candidate stocks with qualitative justifications, which is Stage One. Financial reports are then retrieved for each candidate and evaluated in a second stage, producing a smaller set of final recommendations. Those selections and their allocation weights build a long-only portfolio, evaluated over a predefined horizon. The notation X→Y denotes this structure: X candidates identified in Stage One, Y final selections after report validation in Stage Two.</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Separating qualitative reasoning (news narratives, report language) from quantitative evaluation—deterministic calculation of returns, volatility and benchmark comparisons in external code—assigns each component to the tool best suited to it and lets performance differences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rPr>
          <w:vertAlign w:val="superscript"/>
        </w:rPr>
        <w:t>12</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Risk was comparable: annualized volatility 28.1% against 27.8%, maximum drawdown −23.2% against −22.4%, and median Sharpe 1.70 against 1.34. The filtered configuration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of ten or twenty candidates, narrowed by a roughly two-to-one ratio. That gives the model enough candidates to rank meaningfully while keeping the final portfolio focused. 5→3 is an informative exception: with only five candidates, its pool is too small to reach the top of the return range. Its tight selection makes it the most stable configuration (see Return Variance and Consistency Comparison), but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the sum, across that sector’s holdings, of each position’s initial weight times its window return, divided by the portfolio’s total return. Both quantities are pooled across runs; averaging gives the same result, since the per-run count cancels. Because individual contributions can be negative, a sector’s return share can exceed or fall below its weight share.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transferable lesson: how information given to a language model is structured is itself a determinant of investment performance, separate from model choice. Presenting a moderate shortlist and asking the model to narrow it consistently produced the strongest returns. That beat both letting the model select from an unstructured prompt and forcing it to discard most of an oversized pool. Because the gain comes from pipeline design rather than a larger model, it is available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for frontier-class models is to begin from roughly ten to twenty candidates and narrow by about half; weaker models peaked at smaller pools, suggesting the optimal request scales with capability. The final portfolio size can then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p>
    <w:p w14:paraId="6B81293C" w14:textId="77777777" w:rsidR="00557FAC" w:rsidRDefault="00824C87">
      <w:pPr>
        <w:spacing w:before="40" w:after="40"/>
        <w:jc w:val="both"/>
      </w:pPr>
      <w:r>
        <w:t>Because the unfiltered baseline already beat the market benchmark, the contribution specific to the two-stage design is its consistent improvement over that baseline under matched conditions, not the market outperformance itself. Deliberate information design is thus an inexpensive,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That added on the order of fifteen percentage points of mean ROI over the unfiltered baseline, and beat it in most matched evaluation windows. We present the ratio as a working hypothesis consistent with the tested grid rather than a rule.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