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existing systems ingest news and financial reports in a single prompt, an approach that can introduce noise and dilute relevant signals. We develop a two-stage sequential filtering framework in which news articles first nominate a candidate stock pool and financial reports then validate and refine that pool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and beat the matched baseline in 22 of 27 window comparisons (81.5%; exact 95% CI 61.9–93.7%). The effect is driven primarily by the size of the initial candidate pool: moderate pools of ten to twenty candidates outperform, while oversized pools degrade performance below the baseline. Filtered portfolios also outperform an equal-weighted portfolio of the eligible universe and random portfolios matched on holding count, whereas the unfiltered baseline does not, indicating selection skill within the sector rather than sector exposure alone. Comparisons against the S&amp;P 500 and sector indices are reported as context; outperformance of the broad index largely reflects the technology-heavy universe. These results indicate that the structural organization of information is a first-class design variable for LLM-based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rPr>
          <w:vertAlign w:val="superscript"/>
        </w:rPr>
        <w:t>1,2</w:t>
      </w:r>
      <w:r>
        <w:t>. Capitalizing on their natural language understanding capabilities, LLMs are increasingly applied to financial markets to generate directional signals—buy, hold, or sell recommendations—by synthesizing information from news, earnings reports, and regulatory filings</w:t>
      </w:r>
      <w:r>
        <w:rPr>
          <w:vertAlign w:val="superscript"/>
        </w:rPr>
        <w:t>3,4,5</w:t>
      </w:r>
      <w:r>
        <w:t>.</w:t>
      </w:r>
    </w:p>
    <w:p w14:paraId="4E45DE95" w14:textId="77777777" w:rsidR="00557FAC" w:rsidRDefault="00824C87">
      <w:pPr>
        <w:spacing w:before="40" w:after="40"/>
        <w:jc w:val="both"/>
      </w:pPr>
      <w:r>
        <w:t>The bulk of existing LLM-based investment research focuses on short-term trading horizons—high-frequency trading or single-day price prediction</w:t>
      </w:r>
      <w:r>
        <w:rPr>
          <w:vertAlign w:val="superscript"/>
        </w:rPr>
        <w:t>3,4,6</w:t>
      </w:r>
      <w:r>
        <w:t>. A growing subset of work has begun exploring longer horizons</w:t>
      </w:r>
      <w:r>
        <w:rPr>
          <w:vertAlign w:val="superscript"/>
        </w:rPr>
        <w:t>6,7</w:t>
      </w:r>
      <w:r>
        <w:t xml:space="preserve">, but this literature remains limited in scope: most studies do not guard against lookahead bias by restricting the model to information available at the simulated investment date, and </w:t>
      </w:r>
      <w:r>
        <w:t>few target holding periods exceeding one quarter. Long-term investing, by contrast, demands sustained reasoning over extended horizons—a domain traditionally reserved for human analysts who synthesize broad macroeconomic insights, qualitative judgment, and multi-year strategic perspectives</w:t>
      </w:r>
      <w:r>
        <w:rPr>
          <w:vertAlign w:val="superscript"/>
        </w:rPr>
        <w:t>6</w:t>
      </w:r>
      <w:r>
        <w:t>. This gap motivates the present work: we investigate whether a structured LLM pipeline can generate reliable investment strategies over 12-month holding periods under a forward-usable protocol: every decision uses only information available at that decision date, with no look-ahead into future data. The models themselves postdate the earliest simulated decision dates, so it is the protocol, not the specific model, that transfers.</w:t>
      </w:r>
    </w:p>
    <w:p w14:paraId="6978CF78" w14:textId="77777777" w:rsidR="00557FAC" w:rsidRDefault="00824C87">
      <w:pPr>
        <w:spacing w:before="40" w:after="40"/>
        <w:jc w:val="both"/>
      </w:pPr>
      <w:r>
        <w:t>Large language models have emerged as transformative tools in finance. Their capacity for summarization</w:t>
      </w:r>
      <w:r>
        <w:rPr>
          <w:vertAlign w:val="superscript"/>
        </w:rPr>
        <w:t>8</w:t>
      </w:r>
      <w:r>
        <w:t>, information extraction, and natural language generation suits applications such as market trend monitoring, risk factor identification, and investment decision support</w:t>
      </w:r>
      <w:r>
        <w:rPr>
          <w:vertAlign w:val="superscript"/>
        </w:rPr>
        <w:t>1,2</w:t>
      </w:r>
      <w:r>
        <w:t xml:space="preserve">. As LLMs have scaled, their </w:t>
      </w:r>
      <w:r>
        <w:lastRenderedPageBreak/>
        <w:t>ability to process complex, heterogeneous financial datasets has grown substantially</w:t>
      </w:r>
      <w:r>
        <w:rPr>
          <w:vertAlign w:val="superscript"/>
        </w:rPr>
        <w:t>1,9</w:t>
      </w:r>
      <w:r>
        <w:t>, but this capability brings interpretability challenges: model opacity makes it difficult to audit whether outputs reflect genuine financial reasoning or spurious correlations from pre-training</w:t>
      </w:r>
      <w:r>
        <w:rPr>
          <w:vertAlign w:val="superscript"/>
        </w:rPr>
        <w:t>10,11</w:t>
      </w:r>
      <w:r>
        <w:t>. Because undetected biases can propagate into consequential financial decisions</w:t>
      </w:r>
      <w:r>
        <w:rPr>
          <w:vertAlign w:val="superscript"/>
        </w:rPr>
        <w:t>10,12</w:t>
      </w:r>
      <w:r>
        <w:t>, realizing the potential of LLMs in financial analysis depends on clear, principled deployment frameworks</w:t>
      </w:r>
      <w:r>
        <w:rPr>
          <w:vertAlign w:val="superscript"/>
        </w:rPr>
        <w:t>1,13</w:t>
      </w:r>
      <w:r>
        <w:t>.</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Existing research has demonstrated the proficiency of LLMs in synthesizing heterogeneous financial data to extract predictive market signals</w:t>
      </w:r>
      <w:r>
        <w:rPr>
          <w:vertAlign w:val="superscript"/>
        </w:rPr>
        <w:t>3,5,14</w:t>
      </w:r>
      <w:r>
        <w:t>. Studies integrating LLMs with conventional forecasting techniques reported improved predictive accuracy, attributed to the models’ ability to capture nuanced relationships between news sentiment and price movements</w:t>
      </w:r>
      <w:r>
        <w:rPr>
          <w:vertAlign w:val="superscript"/>
        </w:rPr>
        <w:t>3,14,15</w:t>
      </w:r>
      <w:r>
        <w:t>. A complementary line of work combines document embeddings with LLM-generated representations to construct richer proxies for investor sentiment and macroeconomic conditions</w:t>
      </w:r>
      <w:r>
        <w:rPr>
          <w:vertAlign w:val="superscript"/>
        </w:rPr>
        <w:t>14,16</w:t>
      </w:r>
      <w:r>
        <w:t>. By automating the extraction of financially relevant signals from unstructured text, LLMs reduce the manual overhead of information processing and enable more scalable financial modeling pipelines</w:t>
      </w:r>
      <w:r>
        <w:rPr>
          <w:vertAlign w:val="superscript"/>
        </w:rPr>
        <w:t>14,16</w:t>
      </w:r>
      <w:r>
        <w:t>.</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w:t>
      </w:r>
      <w:r>
        <w:rPr>
          <w:vertAlign w:val="superscript"/>
        </w:rPr>
        <w:t>4,17,18,19</w:t>
      </w:r>
      <w:r>
        <w:t>. Such systems incorporate layered memory architectures and role-differentiated agent designs, enabling individual agents to retain relevant historical context and adapt their behavior as market conditions evolve</w:t>
      </w:r>
      <w:r>
        <w:rPr>
          <w:vertAlign w:val="superscript"/>
        </w:rPr>
        <w:t>20,21</w:t>
      </w:r>
      <w:r>
        <w:t>. Empirical evidence indicates that multi-agent configurations frequently outperform single-agent baselines, as the diversity of strategies across agents reduces overfitting observed in isolated backtests</w:t>
      </w:r>
      <w:r>
        <w:rPr>
          <w:vertAlign w:val="superscript"/>
        </w:rPr>
        <w:t>18,22</w:t>
      </w:r>
      <w:r>
        <w:t xml:space="preserve">. Within these architectures, individual agents are assigned </w:t>
      </w:r>
      <w:r>
        <w:t>distinct functions—portfolio allocation, risk assessment, and real-time monitoring—enabling a modular division of responsibilities that exploits the natural language flexibility of LLMs</w:t>
      </w:r>
      <w:r>
        <w:rPr>
          <w:vertAlign w:val="superscript"/>
        </w:rPr>
        <w:t>4,17,23</w:t>
      </w:r>
      <w:r>
        <w:t>. Representative frameworks such as 3S-Trader</w:t>
      </w:r>
      <w:r>
        <w:rPr>
          <w:vertAlign w:val="superscript"/>
        </w:rPr>
        <w:t>24</w:t>
      </w:r>
      <w:r>
        <w:t>, AlphaAgents</w:t>
      </w:r>
      <w:r>
        <w:rPr>
          <w:vertAlign w:val="superscript"/>
        </w:rPr>
        <w:t>25</w:t>
      </w:r>
      <w:r>
        <w:t>, FinRobot</w:t>
      </w:r>
      <w:r>
        <w:rPr>
          <w:vertAlign w:val="superscript"/>
        </w:rPr>
        <w:t>26</w:t>
      </w:r>
      <w:r>
        <w:t>, and tool-augmented multimodal foundation agents</w:t>
      </w:r>
      <w:r>
        <w:rPr>
          <w:vertAlign w:val="superscript"/>
        </w:rPr>
        <w:t>27</w:t>
      </w:r>
      <w:r>
        <w:t xml:space="preserve">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LLMs have proven adept at inferring investor sentiment and forecasting market movements by analyzing news articles and social media data</w:t>
      </w:r>
      <w:r>
        <w:rPr>
          <w:vertAlign w:val="superscript"/>
        </w:rPr>
        <w:t>3,14,28</w:t>
      </w:r>
      <w:r>
        <w:rPr>
          <w:bCs/>
        </w:rPr>
        <w:t>. By leveraging pre-training on large-scale financial datasets, LLMs can discern specialized terminology and complex rhetorical structures, providing an effective framework for mapping textual information to market price movements</w:t>
      </w:r>
      <w:r>
        <w:rPr>
          <w:vertAlign w:val="superscript"/>
        </w:rPr>
        <w:t>3,29</w:t>
      </w:r>
      <w:r>
        <w:rPr>
          <w:bCs/>
        </w:rPr>
        <w:t>. Sentiment-augmented models have also been reported to identify early indicators of trend reversals</w:t>
      </w:r>
      <w:r>
        <w:rPr>
          <w:vertAlign w:val="superscript"/>
        </w:rPr>
        <w:t>3,28</w:t>
      </w:r>
      <w:r>
        <w:rPr>
          <w:bCs/>
        </w:rPr>
        <w:t>. By processing vast quantities of unstructured data at scale, LLMs enable the development of more agile, information-rich trading strategies that respond to market shifts in real time</w:t>
      </w:r>
      <w:r>
        <w:rPr>
          <w:vertAlign w:val="superscript"/>
        </w:rPr>
        <w:t>1,23</w:t>
      </w:r>
      <w:r>
        <w:rPr>
          <w:bCs/>
        </w:rPr>
        <w:t>. This body of research extends foundational work by demonstrating that media-derived content yields quantifiable sentiment signals that have a direct and measurable impact on equity prices</w:t>
      </w:r>
      <w:r>
        <w:rPr>
          <w:vertAlign w:val="superscript"/>
        </w:rPr>
        <w:t>3,28</w:t>
      </w:r>
      <w:r>
        <w:rPr>
          <w:bCs/>
        </w:rPr>
        <w:t>.</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rPr>
          <w:vertAlign w:val="superscript"/>
        </w:rPr>
        <w:t>21,30</w:t>
      </w:r>
      <w:r>
        <w:t>. Such systems refine their strategies iteratively through feedback from simulated markets or accumulated trading knowledge</w:t>
      </w:r>
      <w:r>
        <w:rPr>
          <w:vertAlign w:val="superscript"/>
        </w:rPr>
        <w:t>19,30</w:t>
      </w:r>
      <w:r>
        <w:t>, and framing portfolio management as a sequential decision problem provides a principled balance between exploring new strategies and exploiting established ones</w:t>
      </w:r>
      <w:r>
        <w:rPr>
          <w:vertAlign w:val="superscript"/>
        </w:rPr>
        <w:t>30</w:t>
      </w:r>
      <w:r>
        <w:t>. This adaptability suits non-stationary market regimes</w:t>
      </w:r>
      <w:r>
        <w:rPr>
          <w:vertAlign w:val="superscript"/>
        </w:rPr>
        <w:t>4,21</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Systematic benchmarking provides a principled basis for evaluating financial LLMs</w:t>
      </w:r>
      <w:r>
        <w:rPr>
          <w:vertAlign w:val="superscript"/>
        </w:rPr>
        <w:t>29,31,32</w:t>
      </w:r>
      <w:r>
        <w:t>. Standardized datasets enable rigorous comparison across models and multi-agent systems on textual comprehension, sentiment extraction, and portfolio optimization</w:t>
      </w:r>
      <w:r>
        <w:rPr>
          <w:vertAlign w:val="superscript"/>
        </w:rPr>
        <w:t>29,32</w:t>
      </w:r>
      <w:r>
        <w:t>. A consistent finding is that accuracy alone is insufficient — models must perform reliably under live-market pressures</w:t>
      </w:r>
      <w:r>
        <w:rPr>
          <w:vertAlign w:val="superscript"/>
        </w:rPr>
        <w:t>6,19,32</w:t>
      </w:r>
      <w:r>
        <w:t xml:space="preserve"> — so continued benchmark development is essential to ensure reported advances are genuine rather than artifacts of favorable evaluation conditions</w:t>
      </w:r>
      <w:r>
        <w:rPr>
          <w:vertAlign w:val="superscript"/>
        </w:rPr>
        <w:t>3,6,32</w:t>
      </w:r>
      <w:r>
        <w:t>.</w:t>
      </w:r>
    </w:p>
    <w:p w14:paraId="16EF4F29" w14:textId="77777777" w:rsidR="00557FAC" w:rsidRDefault="00824C87">
      <w:pPr>
        <w:spacing w:before="40" w:after="40"/>
        <w:jc w:val="both"/>
      </w:pPr>
      <w:r>
        <w:t>A critical concern in this literature is evaluation bias. A rigorous testing framework, FINSABER</w:t>
      </w:r>
      <w:r>
        <w:rPr>
          <w:vertAlign w:val="superscript"/>
        </w:rPr>
        <w:t>6</w:t>
      </w:r>
      <w:r>
        <w:t>,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When popular LLM strategies were re-tested over 20 years across a wider range of stocks, the strategies’ apparent advantages either disappeared or appeared much weaker. That work also found that LLM strategies often performed poorly in different market conditions — too cautious during bull markets and overly aggressive during bear markets. Those findings motivate the evaluation design used here: long horizons, matched comparisons, and explicit controls for the three biases named above.</w:t>
      </w:r>
    </w:p>
    <w:p w14:paraId="75BC9FBF" w14:textId="77777777" w:rsidR="00557FAC" w:rsidRDefault="00824C87">
      <w:pPr>
        <w:spacing w:before="40" w:after="40"/>
        <w:jc w:val="both"/>
      </w:pPr>
      <w:r>
        <w:t xml:space="preserve">Collectively, these studies show LLMs can generate competitive investment strategies, but they focus on improving model capability — larger architectures, multi-agent systems, reinforcement learning, or sentiment extraction. Little attention has gone to the structural architecture of information delivery: most approaches ingest heterogeneous sources simultaneously, leaving open whether alternative information frameworks might improve performance. This gap motivates our central question: can restructuring the information flow presented to an LLM </w:t>
      </w:r>
      <w:r>
        <w:t>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rPr>
          <w:vertAlign w:val="superscript"/>
        </w:rPr>
        <w:t>11</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A second challenge is hallucination: LLMs can fabricate or misrepresent information with high apparent confidence</w:t>
      </w:r>
      <w:r>
        <w:rPr>
          <w:vertAlign w:val="superscript"/>
        </w:rPr>
        <w:t>12</w:t>
      </w:r>
      <w:r>
        <w:t>. In an investment context, this can result in recommendations based on non-existent corporate events, incorrect financial figures, or wholly invented analyst reports. Critically, hallucinations are not always overt. Subtle hallucinations—small distortions in attributed facts, misremembered statistics, or plausible-sounding but inaccurate characterizations of company performance—may pass undetected and propagate systematically through the recommendation pipeline, making them particularly dangerous for investment applications where errors in reasoning compound over a holding period.</w:t>
      </w:r>
    </w:p>
    <w:p w14:paraId="0626F88F" w14:textId="77777777" w:rsidR="00557FAC" w:rsidRDefault="00824C87">
      <w:pPr>
        <w:spacing w:before="40" w:after="40"/>
        <w:jc w:val="both"/>
      </w:pPr>
      <w:r>
        <w:t>A third challenge is implicit bias introduced through LLM pre-training. Because modern LLMs are trained on large corpora with a fixed knowledge cutoff, they may encode implicit awareness of future events relative to any historical analysis date, effectively providing look-ahead information that no real investor could possess at the time of decision-making. This form of data leakage is particularly problematic for backtesting: strategies that appear profitable in retrospective evaluation may be artifacts of the model’s latent knowledge of subsequent market developments rather than genuine analytical insight, casting doubt on the validity of reported results.</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structured pipeline for generating reliable long-term investment strategies with large language models. The framework decomposes the investment task into two sequential stages: a news-based candidate selection stage, in which the LLM identifies a set of candidate stocks from a curated set of financial news articles; and a financial report validation stage, in which the LLM reads company financial reports for each candidate and produces a smaller, higher-conviction final portfolio. This sequential evaluation of information sources, rather than simultaneous ingestion, constitutes the central methodological contribution of this work.</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left="720" w:hanging="360"/>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left="720" w:hanging="360"/>
        <w:jc w:val="both"/>
      </w:pPr>
      <w:r>
        <w:t xml:space="preserve">Second, it provides extensive empirical validation centered on advanced frontier models. Moderate filtering configurations, which keep a mid-sized candidate pool and roughly halve it </w:t>
      </w:r>
      <w:r>
        <w:t>between stages, achieve a mean ROI of up to 60.6% and outperform the unfiltered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comparisons with the S&amp;P 500 are reported as sector-relative context.</w:t>
      </w:r>
    </w:p>
    <w:p w14:paraId="6A157AD2" w14:textId="77777777" w:rsidR="00557FAC" w:rsidRDefault="00824C87">
      <w:pPr>
        <w:spacing w:after="120"/>
        <w:ind w:left="720" w:hanging="360"/>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 xml:space="preserve">The framework consists of four primary phases. First, historical news articles are collected from a fixed pre-analysis window. </w:t>
      </w:r>
      <w:r>
        <w:t>Second, these articles are used to prompt an LLM to generate a set of candidate stocks with qualitative justifications, constituting Stage One of the framework. Third, financial reports are retrieved for each candidate stock and provided to the LLM in a second analysis stage. The model then evaluates these reports and produces a smaller set of final recommendations. The notation X→Y used throughout this paper denotes this structure: X represents the number of candidate stocks identified during Stage One, while Y represents the number of final investment selections produced after financial-report validation in Stage Two. Finally, the resulting stock selections and allocation weights are used to construct and evaluate a long-only investment portfolio over a predefined investment horizon.</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By separating qualitative reasoning (interpreting news narratives and financial-report language) from quantitative evaluation—deterministic calculation of returns, volatility, and benchmark comparisons by external code—the framework assigns each component to the tool best suited to it, improving reliability and interpretability and allowing performance differences to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In a representative screening run, the relevance filter retained 110 of 1,382 collected articles (8.0%) under strict investment-relevance criteria.</w:t>
      </w:r>
    </w:p>
    <w:p w14:paraId="062EEA2F" w14:textId="77777777" w:rsidR="00557FAC" w:rsidRDefault="00824C87">
      <w:pPr>
        <w:spacing w:before="40" w:after="40"/>
        <w:jc w:val="both"/>
      </w:pPr>
      <w:r>
        <w:t xml:space="preserve">To check the screen against human judgment, we blind-labeled a stratified sample of 180 of these articles (70 screen-passed and 110 screen-rejected) without access to the screen’s decisions. The screen achieved a precision of 100% (95% Wilson confidence interval 94.8–100%): every article it passed was independently judged relevant, so the downstream stages are not contaminated by off-topic news. It is, however, deliberately conservative — re-weighting to the 8.0% population pass rate gives an estimated recall of 16% and a false-omission rate of 45% — indicating a high relevance bar rather than exhaustive retrieval; because the pipeline </w:t>
      </w:r>
      <w:r>
        <w:lastRenderedPageBreak/>
        <w:t>requires a focused, high-precision input set rather than complete coverage, precision is the more consequential property for downstream quality, and we note the lower recall as a limitation. Human–screen agreement was positive but modest (Cohen’s kappa = 0.17), a value held down by the low base rate of passed articles, for which kappa is known to understate agreement. The screen is applied by the model without human adjudication during normal operation.</w:t>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rPr>
          <w:vertAlign w:val="superscript"/>
        </w:rPr>
        <w:t>12</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variability is evaluated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and beat that baseline in 22 of 27 matched 12-month window comparisons (81.5%; exact 95% CI 61.9–93.7%).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 xml:space="preserve">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w:t>
      </w:r>
      <w:r>
        <w:lastRenderedPageBreak/>
        <w:t xml:space="preserve">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w:t>
      </w:r>
      <w:r>
        <w:t>candidates as the model can justify, whereas too small a pool (five) produces the opposite problem, leaving the model too few options from which to construct a strong portfolio.</w:t>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Win vs Unfiltered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81.5</w:t>
            </w:r>
          </w:p>
        </w:tc>
        <w:tc>
          <w:tcPr>
            <w:tcW w:w="2536" w:type="dxa"/>
            <w:vAlign w:val="center"/>
          </w:tcPr>
          <w:p w14:paraId="0F32CF91" w14:textId="77777777" w:rsidR="00557FAC" w:rsidRDefault="00824C87">
            <w:pPr>
              <w:jc w:val="center"/>
              <w:rPr>
                <w:rFonts w:ascii="Arial" w:eastAsia="Arial" w:hAnsi="Arial" w:cs="Arial"/>
                <w:sz w:val="18"/>
                <w:szCs w:val="18"/>
              </w:rPr>
            </w:pPr>
            <w:r>
              <w:t>61.9–93.7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77.8</w:t>
            </w:r>
          </w:p>
        </w:tc>
        <w:tc>
          <w:tcPr>
            <w:tcW w:w="2536" w:type="dxa"/>
            <w:vAlign w:val="center"/>
          </w:tcPr>
          <w:p w14:paraId="25B2507F" w14:textId="77777777" w:rsidR="00557FAC" w:rsidRDefault="00824C87">
            <w:pPr>
              <w:jc w:val="center"/>
              <w:rPr>
                <w:rFonts w:ascii="Arial" w:eastAsia="Arial" w:hAnsi="Arial" w:cs="Arial"/>
                <w:sz w:val="18"/>
                <w:szCs w:val="18"/>
              </w:rPr>
            </w:pPr>
            <w:r>
              <w:t>57.7–91.4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74.1</w:t>
            </w:r>
          </w:p>
        </w:tc>
        <w:tc>
          <w:tcPr>
            <w:tcW w:w="2536" w:type="dxa"/>
            <w:vAlign w:val="center"/>
          </w:tcPr>
          <w:p w14:paraId="0B2C5524" w14:textId="77777777" w:rsidR="00557FAC" w:rsidRDefault="00824C87">
            <w:pPr>
              <w:jc w:val="center"/>
              <w:rPr>
                <w:rFonts w:ascii="Arial" w:eastAsia="Arial" w:hAnsi="Arial" w:cs="Arial"/>
                <w:sz w:val="18"/>
                <w:szCs w:val="18"/>
              </w:rPr>
            </w:pPr>
            <w:r>
              <w:t>53.7–88.9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74.1</w:t>
            </w:r>
          </w:p>
        </w:tc>
        <w:tc>
          <w:tcPr>
            <w:tcW w:w="2536" w:type="dxa"/>
            <w:vAlign w:val="center"/>
          </w:tcPr>
          <w:p w14:paraId="35EF29B9" w14:textId="77777777" w:rsidR="00557FAC" w:rsidRDefault="00824C87">
            <w:pPr>
              <w:jc w:val="center"/>
              <w:rPr>
                <w:rFonts w:ascii="Arial" w:eastAsia="Arial" w:hAnsi="Arial" w:cs="Arial"/>
                <w:sz w:val="18"/>
                <w:szCs w:val="18"/>
              </w:rPr>
            </w:pPr>
            <w:r>
              <w:t>53.7–88.9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w:t>
            </w:r>
          </w:p>
        </w:tc>
        <w:tc>
          <w:tcPr>
            <w:tcW w:w="2536" w:type="dxa"/>
            <w:vAlign w:val="center"/>
          </w:tcPr>
          <w:p w14:paraId="13013FF5" w14:textId="77777777" w:rsidR="00557FAC" w:rsidRDefault="00824C87">
            <w:pPr>
              <w:jc w:val="center"/>
              <w:rPr>
                <w:rFonts w:ascii="Arial" w:eastAsia="Arial" w:hAnsi="Arial" w:cs="Arial"/>
                <w:sz w:val="18"/>
                <w:szCs w:val="18"/>
              </w:rPr>
            </w:pPr>
            <w: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40.7</w:t>
            </w:r>
          </w:p>
        </w:tc>
        <w:tc>
          <w:tcPr>
            <w:tcW w:w="2536" w:type="dxa"/>
            <w:vAlign w:val="center"/>
          </w:tcPr>
          <w:p w14:paraId="060EDD40" w14:textId="77777777" w:rsidR="00557FAC" w:rsidRDefault="00824C87">
            <w:pPr>
              <w:jc w:val="center"/>
              <w:rPr>
                <w:rFonts w:ascii="Arial" w:eastAsia="Arial" w:hAnsi="Arial" w:cs="Arial"/>
                <w:sz w:val="18"/>
                <w:szCs w:val="18"/>
              </w:rPr>
            </w:pPr>
            <w:r>
              <w:t>22.4–61.2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40.7</w:t>
            </w:r>
          </w:p>
        </w:tc>
        <w:tc>
          <w:tcPr>
            <w:tcW w:w="2536" w:type="dxa"/>
            <w:vAlign w:val="center"/>
          </w:tcPr>
          <w:p w14:paraId="7485C66C" w14:textId="77777777" w:rsidR="00557FAC" w:rsidRDefault="00824C87">
            <w:pPr>
              <w:jc w:val="center"/>
              <w:rPr>
                <w:rFonts w:ascii="Arial" w:eastAsia="Arial" w:hAnsi="Arial" w:cs="Arial"/>
                <w:sz w:val="18"/>
                <w:szCs w:val="18"/>
              </w:rPr>
            </w:pPr>
            <w:r>
              <w:t>22.4–61.2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33.3</w:t>
            </w:r>
          </w:p>
        </w:tc>
        <w:tc>
          <w:tcPr>
            <w:tcW w:w="2536" w:type="dxa"/>
            <w:vAlign w:val="center"/>
          </w:tcPr>
          <w:p w14:paraId="78C10540" w14:textId="77777777" w:rsidR="00557FAC" w:rsidRDefault="00824C87">
            <w:pPr>
              <w:jc w:val="center"/>
              <w:rPr>
                <w:rFonts w:ascii="Arial" w:eastAsia="Arial" w:hAnsi="Arial" w:cs="Arial"/>
                <w:sz w:val="18"/>
                <w:szCs w:val="18"/>
              </w:rPr>
            </w:pPr>
            <w:r>
              <w:t>16.5–54.0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29.6</w:t>
            </w:r>
          </w:p>
        </w:tc>
        <w:tc>
          <w:tcPr>
            <w:tcW w:w="2536" w:type="dxa"/>
            <w:vAlign w:val="center"/>
          </w:tcPr>
          <w:p w14:paraId="5F41CE7F" w14:textId="77777777" w:rsidR="00557FAC" w:rsidRDefault="00824C87">
            <w:pPr>
              <w:jc w:val="center"/>
              <w:rPr>
                <w:rFonts w:ascii="Arial" w:eastAsia="Arial" w:hAnsi="Arial" w:cs="Arial"/>
                <w:sz w:val="18"/>
                <w:szCs w:val="18"/>
              </w:rPr>
            </w:pPr>
            <w:r>
              <w:t>13.8–50.2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18.5</w:t>
            </w:r>
          </w:p>
        </w:tc>
        <w:tc>
          <w:tcPr>
            <w:tcW w:w="2536" w:type="dxa"/>
            <w:vAlign w:val="center"/>
          </w:tcPr>
          <w:p w14:paraId="1F1BCCA8" w14:textId="77777777" w:rsidR="00557FAC" w:rsidRDefault="00824C87">
            <w:pPr>
              <w:jc w:val="center"/>
              <w:rPr>
                <w:rFonts w:ascii="Arial" w:eastAsia="Arial" w:hAnsi="Arial" w:cs="Arial"/>
                <w:sz w:val="18"/>
                <w:szCs w:val="18"/>
              </w:rPr>
            </w:pPr>
            <w:r>
              <w:t>6.3–38.1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and win rate versus the unfiltered baseline, by filtering configuration (sorted by mean ROI).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lastRenderedPageBreak/>
        <w:t>Filtering substantially improved GPT-5.1’s performance: 20→10 beat the unfiltered baseline in 81.5% of matched window comparisons (22/27; exact 95% CI 61.9–93.7%), followed by 10→5 (77.8%; CI 57.7–91.4%) and 10→3 and 20→5 (both 74.1%; CI 53.7–88.9%). The exception is the highly selective 5→3 (40.7%; CI 22.4–61.2%),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 xml:space="preserve">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w:t>
      </w:r>
      <w:r>
        <w:t xml:space="preserve">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computed as the sum, across that sector’s holdings, of each position’s initial weight times its window return, divided by the portfolio’s total return, with both quantities pooled </w:t>
      </w:r>
      <w:r>
        <w:lastRenderedPageBreak/>
        <w:t>(summed) across runs (equivalently, averaged, since the per-run count cancels); because individual contributions can be negative, a sector’s return share can exceed or fall below its weight share, and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single, transferable lesson: how the information given to a language model is structured is itself a determinant of investment performance, separate from the choice of model. Presenting the model with a moderate shortlist and asking it to narrow that shortlist — rather than letting it select from an unstructured prompt or forcing it to discard most of an oversized pool — consistently produced the strongest and most reliable returns. Because this gain comes from the design of the pipeline rather than from a larger or newer model, it is available to any practitioner at essentially no additional cost. A component ablation points the same way, though not all of it reaches significance: holding the documents fixed, a single-pass prompt with the same or more material does not outperform the staged pipeline, and shuffling the financial reports degrades it most — the one difference in the ablation that is unambiguous — indicating that the report-validation stage in particular carries signal.</w:t>
      </w:r>
    </w:p>
    <w:p w14:paraId="5779821B" w14:textId="77777777" w:rsidR="00557FAC" w:rsidRDefault="00824C87">
      <w:pPr>
        <w:spacing w:before="40" w:after="40"/>
        <w:jc w:val="both"/>
      </w:pPr>
      <w:r>
        <w:t xml:space="preserve">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that follows is simple for frontier-class models — begin from a pool of roughly ten to twenty candidates and narrow it by roughly half; the weaker models tested peaked at smaller pools, suggesting that the optimal request scales with model capability. </w:t>
      </w:r>
      <w:r>
        <w:t>The reduction ratio matters mainly through how aggressively it cuts a given pool, and the final portfolio size can then be chosen to match an investor’s diversification preference without sacrificing the structural advantage. We present this padding account as a hypothesis consistent with the observed pattern rather than a directly measured mechanism; a candidate-overlap and Stage-One-rank-versus-realized-return analysis to test it directly is left to future work.</w:t>
      </w:r>
    </w:p>
    <w:p w14:paraId="6B81293C" w14:textId="77777777" w:rsidR="00557FAC" w:rsidRDefault="00824C87">
      <w:pPr>
        <w:spacing w:before="40" w:after="40"/>
        <w:jc w:val="both"/>
      </w:pPr>
      <w:r>
        <w:t>These findings also clarify what the framework does and does not establish. Because the unfiltered baseline already beat the market benchmark, the contribution specific to the two-stage design is its consistent improvement over that baseline under matched conditions, not the market outperformance itself. More broadly, the study suggests that for LLM-driven decision systems, deliberate information design is an inexpensive and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 xml:space="preserve">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the matched-baseline win rate and its exact confidence interval, which do not depend on selecting the top configuration after the fact, are the more conservative summary. Finally, the financial-report source does not flag </w:t>
      </w:r>
      <w:r>
        <w:lastRenderedPageBreak/>
        <w:t>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 xml:space="preserve">Future work should address these gaps directly: incorporating transaction-cost and drawdown modeling, extending the universe beyond </w:t>
      </w:r>
      <w:r>
        <w:t>technology to test sector generalization, evaluating across bear-market windows as longer post-cutoff histories become available, and adding risk-adjusted performance metrics. Live forward-testing — deploying the recommended configuration prospectively rather than on historical windows — would provide the strongest evidence that the framework’s advantage over the unfiltered single-pass methodology persists out of sample.</w:t>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 a ratio we present as a working hypothesis consistent with the tested grid —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