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against the S&amp;P 500 and sector indices are context: outperformance of the broad index largely reflects the technology-heavy universe.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signals—buy, hold, or sell recommendations—by synthesizing information from news, earnings reports, and regulatory filings</w:t>
      </w:r>
      <w:r>
        <w:rPr>
          <w:vertAlign w:val="superscript"/>
        </w:rPr>
        <w:t>3,4,5</w:t>
      </w:r>
      <w:r>
        <w:t>.</w:t>
      </w:r>
    </w:p>
    <w:p w14:paraId="4E45DE95" w14:textId="77777777" w:rsidR="00557FAC" w:rsidRDefault="00824C87">
      <w:pPr>
        <w:spacing w:before="40" w:after="40"/>
        <w:jc w:val="both"/>
      </w:pPr>
      <w:r>
        <w:t>Most LLM-based investment research targets short-term horizons—high-frequency trading or single-day price prediction3,4,6. A growing subset explores longer horizons6,7, but few studies guard against lookahead bias by restricting the model to information available at the simulated decision date, and few target holding periods beyond one quarter6.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r>
        <w:rPr>
          <w:vertAlign w:val="superscript"/>
        </w:rPr>
      </w:r>
      <w:r/>
      <w:r>
        <w:rPr>
          <w:vertAlign w:val="superscript"/>
        </w:rPr>
      </w:r>
      <w:r/>
      <w:r/>
      <w:r>
        <w:rPr>
          <w:vertAlign w:val="superscript"/>
        </w:rPr>
      </w:r>
      <w:r/>
    </w:p>
    <w:p w14:paraId="6978CF78" w14:textId="77777777" w:rsidR="00557FAC" w:rsidRDefault="00824C87">
      <w:pPr>
        <w:spacing w:before="40" w:after="40"/>
        <w:jc w:val="both"/>
      </w:pPr>
      <w:r>
        <w:t>LLM capacity for summarization8, information extraction, and generation suits market trend monitoring, risk factor identification, and investment decision support1,2. As these models have scaled, their ability to process heterogeneous financial data has grown1,9, but opacity makes it hard to audit whether outputs reflect genuine reasoning or spurious pre-training correlations10,11. Because undetected biases propagate into consequential decisions10,12, principled deployment frameworks matter1,13.</w:t>
      </w:r>
      <w:r>
        <w:rPr>
          <w:vertAlign w:val="superscript"/>
        </w:rPr>
      </w:r>
      <w:r/>
      <w:r>
        <w:rPr>
          <w:vertAlign w:val="superscript"/>
        </w:rPr>
      </w:r>
      <w:r/>
      <w:r/>
      <w:r>
        <w:rPr>
          <w:vertAlign w:val="superscript"/>
        </w:rPr>
      </w:r>
      <w:r/>
      <w:r>
        <w:rPr>
          <w:vertAlign w:val="superscript"/>
        </w:rPr>
      </w:r>
      <w:r/>
      <w:r>
        <w:rPr>
          <w:vertAlign w:val="superscript"/>
        </w:rPr>
      </w:r>
      <w:r/>
      <w:r>
        <w:rPr>
          <w:vertAlign w:val="superscript"/>
        </w:rPr>
      </w:r>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LLMs synthesize heterogeneous financial data to extract predictive market signals3,5,14. Integrating them with conventional forecasting improved predictive accuracy, attributed to capturing relationships between news sentiment and price movements3,14,15. A complementary line combines document embeddings with LLM-generated representations to proxy investor sentiment and macroeconomic conditions14,16, reducing manual overhead and enabling more scalable modeling pipelines14,16.</w:t>
      </w:r>
      <w:r>
        <w:rPr>
          <w:vertAlign w:val="superscript"/>
        </w:rPr>
      </w:r>
      <w:r/>
      <w:r>
        <w:rPr>
          <w:vertAlign w:val="superscript"/>
        </w:rPr>
      </w:r>
      <w:r/>
      <w:r>
        <w:rPr>
          <w:vertAlign w:val="superscript"/>
        </w:rPr>
      </w:r>
      <w:r/>
      <w:r>
        <w:rPr>
          <w:vertAlign w:val="superscript"/>
        </w:rPr>
      </w:r>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strategies4,17,18,19. Layered memory and role-differentiated designs let agents retain historical context and adapt as conditions evolve20,21, and multi-agent configurations frequently outperform single-agent baselines because strategy diversity reduces the overfitting seen in isolated backtests18,22. Agents are typically assigned distinct functions—allocation, risk assessment, monitoring4,17,23. Representative frameworks such as 3S-Trader24, AlphaAgents25, FinRobot26, and tool-augmented multimodal foundation agents27 coordinate multiple LLMs to score candidate stocks, construct a portfolio, and iteratively refine strategies from historical performance, though at the cost of considerable system complexity.</w:t>
      </w:r>
      <w:r>
        <w:rPr>
          <w:vertAlign w:val="superscript"/>
        </w:rPr>
      </w:r>
      <w:r/>
      <w:r>
        <w:rPr>
          <w:vertAlign w:val="superscript"/>
        </w:rPr>
      </w:r>
      <w:r/>
      <w:r>
        <w:rPr>
          <w:vertAlign w:val="superscript"/>
        </w:rPr>
      </w:r>
      <w:r/>
      <w:r/>
      <w:r>
        <w:rPr>
          <w:vertAlign w:val="superscript"/>
        </w:rPr>
      </w:r>
      <w:r/>
      <w:r>
        <w:rPr>
          <w:vertAlign w:val="superscript"/>
        </w:rPr>
      </w:r>
      <w:r/>
      <w:r>
        <w:rPr>
          <w:vertAlign w:val="superscript"/>
        </w:rPr>
      </w:r>
      <w:r/>
      <w:r>
        <w:rPr>
          <w:vertAlign w:val="superscript"/>
        </w:rPr>
      </w:r>
      <w:r/>
      <w:r>
        <w:rPr>
          <w:vertAlign w:val="superscript"/>
        </w:rPr>
      </w:r>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infer investor sentiment and forecast market movements from news and social media3,14,28. Pre-training on large financial corpora lets them parse specialized terminology and rhetorical structure, mapping text to price movements3,29, and sentiment-augmented models have been reported to identify early trend reversals3,28. Processing unstructured data at scale enables more agile, information-rich strategies1,23, extending foundational work showing that media-derived content yields quantifiable sentiment signals with measurable impact on equity prices3,28.</w:t>
      </w:r>
      <w:r>
        <w:rPr>
          <w:vertAlign w:val="superscript"/>
        </w:rPr>
      </w:r>
      <w:r>
        <w:rPr>
          <w:bCs/>
        </w:rPr>
      </w:r>
      <w:r>
        <w:rPr>
          <w:vertAlign w:val="superscript"/>
        </w:rPr>
      </w:r>
      <w:r>
        <w:rPr>
          <w:bCs/>
        </w:rPr>
      </w:r>
      <w:r>
        <w:rPr>
          <w:vertAlign w:val="superscript"/>
        </w:rPr>
      </w:r>
      <w:r>
        <w:rPr>
          <w:bCs/>
        </w:rPr>
      </w:r>
      <w:r>
        <w:rPr>
          <w:vertAlign w:val="superscript"/>
        </w:rPr>
      </w:r>
      <w:r>
        <w:rPr>
          <w:bCs/>
        </w:rPr>
      </w:r>
      <w:r>
        <w:rPr>
          <w:vertAlign w:val="superscript"/>
        </w:rPr>
      </w:r>
      <w:r>
        <w:rPr>
          <w:bCs/>
        </w:rPr>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LLMs29,31,32. Standardized datasets enable comparison across models on textual comprehension, sentiment extraction, and portfolio optimization29,32. Accuracy alone is insufficient — models must perform under live-market pressures6,19,32 — so benchmark development remains essential to separate genuine advances from artifacts of favorable evaluation conditions3,6,32.</w:t>
      </w:r>
      <w:r>
        <w:rPr>
          <w:vertAlign w:val="superscript"/>
        </w:rPr>
      </w:r>
      <w:r/>
      <w:r>
        <w:rPr>
          <w:vertAlign w:val="superscript"/>
        </w:rPr>
      </w:r>
      <w:r/>
      <w:r>
        <w:rPr>
          <w:vertAlign w:val="superscript"/>
        </w:rPr>
      </w:r>
      <w:r/>
      <w:r>
        <w:rPr>
          <w:vertAlign w:val="superscript"/>
        </w:rPr>
      </w:r>
      <w:r/>
    </w:p>
    <w:p w14:paraId="16EF4F29" w14:textId="77777777" w:rsidR="00557FAC" w:rsidRDefault="00824C87">
      <w:pPr>
        <w:spacing w:before="40" w:after="40"/>
        <w:jc w:val="both"/>
      </w:pPr>
      <w:r>
        <w:t>A critical concern in this literature is evaluation bias. A rigorous testing framework, FINSABER6,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r>
        <w:rPr>
          <w:vertAlign w:val="superscript"/>
        </w:rPr>
      </w:r>
      <w:r/>
    </w:p>
    <w:p w14:paraId="75BC9FBF" w14:textId="77777777" w:rsidR="00557FAC" w:rsidRDefault="00824C87">
      <w:pPr>
        <w:spacing w:before="40" w:after="40"/>
        <w:jc w:val="both"/>
      </w:pPr>
      <w:r>
        <w:t>Collectively these studies show LLMs can generate competitive strategies, but they focus on model capability — larger architectures, multi-agent systems, reinforcement learning, sentiment extraction. Little attention has gone to the structural architecture of information delivery. This gap motivates our central question: can restructuring the information flow presented to an LLM systematically improve long-term investment decision-making?</w:t>
      </w:r>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confidence12. In an investment context this yields recommendations built on non-existent events, incorrect figures, or invented analyst reports. Subtle hallucinations—small distortions in attributed facts or plausible-sounding mischaracterizations of company performance—may pass undetected and propagate through the pipeline, compounding over a holding period.</w:t>
      </w:r>
      <w:r>
        <w:rPr>
          <w:vertAlign w:val="superscript"/>
        </w:rPr>
      </w:r>
      <w:r/>
    </w:p>
    <w:p w14:paraId="0626F88F" w14:textId="77777777" w:rsidR="00557FAC" w:rsidRDefault="00824C87">
      <w:pPr>
        <w:spacing w:before="40" w:after="40"/>
        <w:jc w:val="both"/>
      </w:pPr>
      <w:r>
        <w:t>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comparisons with the S&amp;P 500 are reported as sector-relative context.</w:t>
      </w:r>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The framework has four phases. Historical news articles are collected from a fixed pre-analysis window; these prompt the LLM to nominate candidate stocks with qualitative justifications (Stage One); financial reports are retrieved for each candidate and evaluated in a second stage, producing a smaller set of final recommendations; and those selections and allocation weights build a long-only portfolio evaluated over a predefined horizon. The notation X→Y denotes this structure: X candidates identified in Stage One, Y final selections after report validation in Stage Two.</w:t>
      </w:r>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Separating qualitative reasoning (news narratives, report language) from quantitative evaluation—deterministic calculation of returns, volatility and benchmark comparisons in external code—assigns each component to the tool best suited to it and lets performance differences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rPr>
          <w:vertAlign w:val="superscript"/>
        </w:rPr>
        <w:t>12</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 rather than letting it select from an unstructured prompt, or forcing it to discard most of an oversized pool — consistently produced the strongest returns, and because the gain comes from pipeline design rather than a larger model it is available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r/>
    </w:p>
    <w:p w14:paraId="6B81293C"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