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ingest news and financial reports in a single prompt, which can dilute relevant signals. We develop a two-stage filtering framework in which news nominates a candidate stock pool and financial reports refine it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Risk barely moved: annualized volatility 28.1% against 27.8%, maximum drawdown −23.2% against −22.4%, and median Sharpe 1.70 against 1.34. That configuration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beat an equal-weighted portfolio of the eligible universe and random portfolios matched on holding count, whereas the unfiltered baseline does not, indicating selection skill rather than sector exposure alone. Comparisons with the S&amp;P 500 and sector indices are context only. The framework beats the broad index mainly because its universe is technology-heavy. These results indicate that the structural organization of information is a first-class design variable for LLM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((S. An, Q. Li, J. Lu, D. Yin, X. Sun. FinVerse: an autonomous agent system for versatile financial analysis. arXiv, 2024, https://doi.org/10.48550/arXiv.2406.06379.))</w:t>
      </w:r>
      <w:r>
        <w:t>. Capitalizing on their natural language understanding capabilities, LLMs are increasingly applied to financial markets to generate directional signals—buy, hold, or sell recommendations—by synthesizing information from news, earnings reports, and regulatory filings</w:t>
      </w:r>
      <w:r>
        <w:t xml:space="preserve"> ((A. Lopez-Lira, Y. Tang. Can ChatGPT forecast stock price movements? return predictability and large language models. SSRN. 2023, https://doi.org/10.2139/ssrn.4412788.))</w:t>
      </w:r>
      <w:r>
        <w:rPr>
          <w:vertAlign w:val="superscript"/>
        </w:rPr>
        <w:t xml:space="preserve">,</w:t>
      </w:r>
      <w:r>
        <w:t xml:space="preserve"> ((Y. Xiao, E. Sun, D. Luo, W. Wang. TradingAgents: multi-agents LLM financial trading framework. arXiv, 2024, https://doi.org/10.48550/arXiv.2412.20138.))</w:t>
      </w:r>
      <w:r>
        <w:rPr>
          <w:vertAlign w:val="superscript"/>
        </w:rPr>
        <w:t xml:space="preserve">,</w:t>
      </w:r>
      <w:r>
        <w:t xml:space="preserve"> ((H. Ding, Y. Li, J. Wang, H. Chen. Large language model agent in financial trading: a survey. arXiv, 2024, https://doi.org/10.48550/arXiv.2408.06361.))</w:t>
      </w:r>
      <w:r>
        <w:t>.</w:t>
      </w:r>
    </w:p>
    <w:p w14:paraId="4E45DE95" w14:textId="77777777" w:rsidR="00557FAC" w:rsidRDefault="00824C87">
      <w:pPr>
        <w:spacing w:before="40" w:after="40"/>
        <w:jc w:val="both"/>
      </w:pPr>
      <w:r>
        <w:t>Most LLM-based investment research targets short-term horizons—high-frequency trading or single-day price prediction ((A. Lopez-Lira, Y. Tang. Can ChatGPT forecast stock price movements? return predictability and large language models. SSRN. 2023, https://doi.org/10.2139/ssrn.4412788.)), ((Y. Xiao, E. Sun, D. Luo, W. Wang. TradingAgents: multi-agents LLM financial trading framework. arXiv, 2024, https://doi.org/10.48550/arXiv.2412.20138.)), ((W. W. Li, H. Kim, M. Cucuringu, T. Ma. Can LLM-based financial investing strategies outperform the market in the long run? arXiv, 2025, https://doi.org/10.48550/arXiv.2505.07078.)). A growing subset explores longer horizons ((W. W. Li, H. Kim, M. Cucuringu, T. Ma. Can LLM-based financial investing strategies outperform the market in the long run? arXiv, 2025, https://doi.org/10.48550/arXiv.2505.07078.)), ((D. Blitz, M. X. Hanauer, T. Hoogteijling, C. Howard. The term structure of machine learning alpha. The Journal of Financial Data Science. Vol. 5, pg. 40–65, 2023, https://doi.org/10.3905/jfds.2023.1.135.)), but few studies guard against lookahead bias by restricting the model to information available at the simulated decision date, and few target holding periods beyond one quarter ((W. W. Li, H. Kim, M. Cucuringu, T. Ma. Can LLM-based financial investing strategies outperform the market in the long run? arXiv, 2025, https://doi.org/10.48550/arXiv.2505.07078.)). This gap motivates the present work: whether a structured LLM pipeline can generate reliable strategies over 12-month holding periods under a forward-usable protocol in which every decision uses only information available at that date. The models themselves postdate the earliest simulated decision dates, so it is the protocol, not the specific model, that transfers.</w:t>
      </w:r>
    </w:p>
    <w:p w14:paraId="6978CF78" w14:textId="77777777" w:rsidR="00557FAC" w:rsidRDefault="00824C87">
      <w:pPr>
        <w:spacing w:before="40" w:after="40"/>
        <w:jc w:val="both"/>
      </w:pPr>
      <w:r>
        <w:t>LLM capacity for summarization ((G. Lu, S. B. Larcher, T. Tran. Hybrid long document summarization using C2F-FAR and ChatGPT: a practical study. arXiv, 2023, https://doi.org/10.48550/arXiv.2306.01169.)), information extraction, and generation suits market trend monitoring, risk factor identification, and investment decision support ((Y. Nie, Y. Kong, X. Dong, J. M. Mulvey, H. V. Poor, Q. Wen, S. Zohren. A survey of large language models for financial applications: progress, prospects and challenges. arXiv, 2024, https://doi.org/10.48550/arXiv.2406.11903.)), ((S. An, Q. Li, J. Lu, D. Yin, X. Sun. FinVerse: an autonomous agent system for versatile financial analysis. arXiv, 2024, https://doi.org/10.48550/arXiv.2406.06379.)). As these models have scaled, their ability to process heterogeneous financial data has grown ((Y. Nie, Y. Kong, X. Dong, J. M. Mulvey, H. V. Poor, Q. Wen, S. Zohren. A survey of large language models for financial applications: progress, prospects and challenges. arXiv, 2024, https://doi.org/10.48550/arXiv.2406.11903.)), ((H. Naveed, A. U. Khan, S. Qiu, M. Saqib, S. Anwar, M. Usman, N. Akhtar, N. Barnes, A. Mian. A comprehensive overview of large language models. ACM Transactions on Intelligent Systems and Technology. Vol. 16, no. 5, 2025, https://doi.org/10.1145/3744746.)), but opacity makes it hard to audit whether outputs reflect genuine reasoning or spurious pre-training correlations ((B. Cao, S. Wang, X. Lin, X. Wu, H. Zhang, L. M. Ni, J. Guo. From deep learning to LLMs: a survey of AI in quantitative investment. arXiv, 2025, https://doi.org/10.48550/arXiv.2503.21422.)), ((I. Mirzadeh, K. Alizadeh, H. Shahrokhi, O. Tuzel, S. Bengio, M. Farajtabar. GSM-symbolic: understanding the limitations of mathematical reasoning in large language models. International Conference on Learning Representations (ICLR 2025). 2025, https://openreview.net/forum?id=AjXkRZIvjB.)). Because undetected biases propagate into consequential decisions ((B. Cao, S. Wang, X. Lin, X. Wu, H. Zhang, L. M. Ni, J. Guo. From deep learning to LLMs: a survey of AI in quantitative investment. arXiv, 2025, https://doi.org/10.48550/arXiv.2503.21422.)), ((Y. Zhang, Y. Li, L. Cui, D. Cai, L. Liu, T. Fu, X. Huang, E. Zhao, Y. Zhang, C. Xu, Y. Chen, L. Wang, A. T. Luu, W. Bi, F. Shi, S. Shi. Siren’s song in the AI ocean: a survey on hallucination in large language models. Computational Linguistics. Vol. 51, pg. 1373–1418, 2025, https://doi.org/10.1162/coli.a.16.)), principled deployment frameworks matter ((Y. Nie, Y. Kong, X. Dong, J. M. Mulvey, H. V. Poor, Q. Wen, S. Zohren. A survey of large language models for financial applications: progress, prospects and challenges. arXiv, 2024, https://doi.org/10.48550/arXiv.2406.11903.)), ((I. Okpala, A. Golgoon, A. R. Kannan. Agentic AI systems applied to tasks in financial services: modeling and model risk management crews. arXiv, 2025, https://doi.org/10.48550/arXiv.2502.05439.)).</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t>LLMs synthesize heterogeneous financial data to extract predictive market signals ((A. Lopez-Lira, Y. Tang. Can ChatGPT forecast stock price movements? return predictability and large language models. SSRN. 2023, https://doi.org/10.2139/ssrn.4412788.)), ((H. Ding, Y. Li, J. Wang, H. Chen. Large language model agent in financial trading: a survey. arXiv, 2024, https://doi.org/10.48550/arXiv.2408.06361.)), ((G. Fatouros, K. Metaxas, J. Soldatos, M. Karathanassis. MarketSenseAI 2.0: enhancing stock analysis through LLM agents. arXiv, 2025, https://doi.org/10.48550/arXiv.2502.00415.)). Integrating them with conventional forecasting improved predictive accuracy, attributed to capturing relationships between news sentiment and price movements ((A. Lopez-Lira, Y. Tang. Can ChatGPT forecast stock price movements? return predictability and large language models. SSRN. 2023, https://doi.org/10.2139/ssrn.4412788.)), ((G. Fatouros, K. Metaxas, J. Soldatos, M. Karathanassis. MarketSenseAI 2.0: enhancing stock analysis through LLM agents. arXiv, 2025, https://doi.org/10.48550/arXiv.2502.00415.)), ((J. Cheng, P. Chin. AAPM: large language model agent-based asset pricing models. arXiv, 2024, https://doi.org/10.48550/arXiv.2409.17266.)). A complementary line combines document embeddings with LLM-generated representations to proxy investor sentiment and macroeconomic conditions ((G. Fatouros, K. Metaxas, J. Soldatos, M. Karathanassis. MarketSenseAI 2.0: enhancing stock analysis through LLM agents. arXiv, 2025, https://doi.org/10.48550/arXiv.2502.00415.)), ((C. Choi, A. Lopez-Lira, Y. Lee, J. Kwon, M. Kim, J. Hwang, M. Ha, C. Kim, J. Ha, S. Yun, J. Kim. Structuring the unstructured: a multi-agent system for extracting and querying financial KPIs and guidance. arXiv, 2025, https://doi.org/10.48550/arXiv.2505.19197.)). reducing manual overhead and enabling more scalable modeling pipelines ((G. Fatouros, K. Metaxas, J. Soldatos, M. Karathanassis. MarketSenseAI 2.0: enhancing stock analysis through LLM agents. arXiv, 2025, https://doi.org/10.48550/arXiv.2502.00415.)), ((C. Choi, A. Lopez-Lira, Y. Lee, J. Kwon, M. Kim, J. Hwang, M. Ha, C. Kim, J. Ha, S. Yun, J. Kim. Structuring the unstructured: a multi-agent system for extracting and querying financial KPIs and guidance. arXiv, 2025, https://doi.org/10.48550/arXiv.2505.19197.)).</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t>Beyond single-model deployments, LLMs are increasingly employed as components of multi-agent trading systems, in which specialized agents interact to simulate market dynamics and refine portfolio strategies ((Y. Xiao, E. Sun, D. Luo, W. Wang. TradingAgents: multi-agents LLM financial trading framework. arXiv, 2024, https://doi.org/10.48550/arXiv.2412.20138.)), ((T. Guo, X. Chen, Y. Wang, R. Chang, S. Pei, N. V. Chawla, O. Wiest, X. Zhang. Large language model based multi-agents: a survey of progress and challenges. Proceedings of the 33rd International Joint Conference on Artificial Intelligence (IJCAI 2024), Survey Track. 2024, https://doi.org/10.24963/ijcai.2024/890.)), ((X. Han, N. Wang, S. Che, H. Yang, K. Zhang, S. X. Xu. Enhancing investment analysis: optimizing AI-agent collaboration in financial research. Proceedings of the 5th ACM International Conference on AI in Finance. 2024, https://doi.org/10.1145/3677052.3698645.)), ((C. Zhang, X. Liu, M. Jin, Z. Zhang, L. Li, Z. Wang, W. Hua, D. Shu, S. Zhu, X. Jin, S. Li, M. Du, Y. Zhang. When AI meets finance (StockAgent): large language model-based stock trading in simulated real-world environments. arXiv, 2024, https://doi.org/10.48550/arXiv.2407.18957.)). Layered memory and role-differentiated designs let agents retain historical context and adapt as conditions evolve, ((Y. Li, Y. Yu, H. Li, Z. Chen, K. Khashanah. TradingGPT: multi-agent system with layered memory and distinct characters for enhanced financial trading performance. arXiv, 2023, https://doi.org/10.48550/arXiv.2309.03736.)), ((Y. Yu, H. Li, Z. Chen, Y. Jiang, Y. Li, D. Zhang, R. Liu, J. W. Suchow, K. Khashanah. FinMem: a performance-enhanced LLM trading agent with layered memory and character design. Proceedings of the AAAI Symposium Series. Vol. 3, pg. 595–597, 2024, https://doi.org/10.1609/aaaiss.v3i1.31290.)). and multi-agent configurations frequently outperform single-agent baselines because strategy diversity reduces the overfitting seen in isolated backtests ((X. Han, N. Wang, S. Che, H. Yang, K. Zhang, S. X. Xu. Enhancing investment analysis: optimizing AI-agent collaboration in financial research. Proceedings of the 5th ACM International Conference on AI in Finance. 2024, https://doi.org/10.1145/3677052.3698645.)), ((T. Guo, H. Shen, J. Huang, Z. Mao, J. Luo, B. Chen, Z. Chen, L. Liu, B. Xia, X. Liu, Y. Ma, M. Zhang. MASS: multi-agent simulation scaling for portfolio construction. arXiv, 2025, https://doi.org/10.48550/arXiv.2505.10278.)). Agents are typically assigned distinct functions—allocation, risk assessment, monitoring ((Y. Xiao, E. Sun, D. Luo, W. Wang. TradingAgents: multi-agents LLM financial trading framework. arXiv, 2024, https://doi.org/10.48550/arXiv.2412.20138.)), ((T. Guo, X. Chen, Y. Wang, R. Chang, S. Pei, N. V. Chawla, O. Wiest, X. Zhang. Large language model based multi-agents: a survey of progress and challenges. Proceedings of the 33rd International Joint Conference on Artificial Intelligence (IJCAI 2024), Survey Track. 2024, https://doi.org/10.24963/ijcai.2024/890.)), ((J. Li, J. Zhang, H. Li, Y. Shen. An agent framework for real-time financial information searching with large language models. arXiv, 2025, https://doi.org/10.48550/arXiv.2502.15684.)). Representative frameworks such as 3S-Trader ((K. Chen, H. Ahmad, D. Goel, C. Szabo. 3S-trader: a multi-LLM framework for adaptive stock scoring, strategy, and selection in portfolio optimization. arXiv, 2025, https://doi.org/10.48550/arXiv.2510.17393.)), AlphaAgents ((T. Zhao, J. Lyu, S. Jones, H. Garber, S. Pasquali, D. Mehta. AlphaAgents: large language model-based multi-agents for equity portfolio constructions. arXiv, 2025, https://doi.org/10.48550/arXiv.2508.11152.)), FinRobot ((T. Zhou, P. Wang, Y. Wu, H. Yang. FinRobot: AI agent for equity research and valuation with large language models. arXiv, 2024, https://doi.org/10.48550/arXiv.2411.08804.)), and tool-augmented multimodal foundation agents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LLMs infer investor sentiment and forecast market movements from news and social media ((A. Lopez-Lira, Y. Tang. Can ChatGPT forecast stock price movements? return predictability and large language models. SSRN. 2023, https://doi.org/10.2139/ssrn.4412788.)), ((G. Fatouros, K. Metaxas, J. Soldatos, M. Karathanassis. MarketSenseAI 2.0: enhancing stock analysis through LLM agents. arXiv, 2025, https://doi.org/10.48550/arXiv.2502.00415.)), ((P. C. Tetlock. Giving content to investor sentiment: the role of media in the stock market. The Journal of Finance. Vol. 62, pg. 1139–1168, 2007, https://doi.org/10.1111/j.1540-6261.2007.01232.x.)). Pre-training on large financial corpora lets them parse specialized terminology and rhetorical structure, mapping text to price movements ((A. Lopez-Lira, Y. Tang. Can ChatGPT forecast stock price movements? return predictability and large language models. SSRN. 2023, https://doi.org/10.2139/ssrn.4412788.)), ((J. Lee, N. Stevens, S. C. Han, M. Song. A survey of large language models in finance (FinLLMs). Neural Computing and Applications. Vol. 37, pg. 24853–24867, 2025, https://doi.org/10.1007/s00521-024-10495-6.)). Sentiment-augmented models have been reported to identify early trend reversals ((A. Lopez-Lira, Y. Tang. Can ChatGPT forecast stock price movements? return predictability and large language models. SSRN. 2023, https://doi.org/10.2139/ssrn.4412788.)), ((P. C. Tetlock. Giving content to investor sentiment: the role of media in the stock market. The Journal of Finance. Vol. 62, pg. 1139–1168, 2007, https://doi.org/10.1111/j.1540-6261.2007.01232.x.)). Processing unstructured data at scale enables more agile, information-rich strategies ((Y. Nie, Y. Kong, X. Dong, J. M. Mulvey, H. V. Poor, Q. Wen, S. Zohren. A survey of large language models for financial applications: progress, prospects and challenges. arXiv, 2024, https://doi.org/10.48550/arXiv.2406.11903.)), ((J. Li, J. Zhang, H. Li, Y. Shen. An agent framework for real-time financial information searching with large language models. arXiv, 2025, https://doi.org/10.48550/arXiv.2502.15684.)). This extends foundational work showing that media-derived content yields quantifiable sentiment signals with measurable impact on equity prices ((A. Lopez-Lira, Y. Tang. Can ChatGPT forecast stock price movements? return predictability and large language models. SSRN. 2023, https://doi.org/10.2139/ssrn.4412788.)), ((P. C. Tetlock. Giving content to investor sentiment: the role of media in the stock market. The Journal of Finance. Vol. 62, pg. 1139–1168, 2007, https://doi.org/10.1111/j.1540-6261.2007.01232.x.)).</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rPr>
          <w:vertAlign w:val="superscript"/>
        </w:rPr>
        <w:t xml:space="preserve">,</w:t>
      </w:r>
      <w:r>
        <w:t xml:space="preserve"> ((S. Wang, H. Yuan, L. M. Ni, J. Guo. QuantAgent: seeking holy grail in trading by self-improving large language model. arXiv, 2024, https://doi.org/10.48550/arXiv.2402.03755.))</w:t>
      </w:r>
      <w:r>
        <w:t>. Such systems refine their strategies iteratively through feedback from simulated markets or accumulated trading knowledge</w:t>
      </w:r>
      <w:r>
        <w:t xml:space="preserve"> ((C. Zhang, X. Liu, M. Jin, Z. Zhang, L. Li, Z. Wang, W. Hua, D. Shu, S. Zhu, X. Jin, S. Li, M. Du, Y. Zhang. When AI meets finance (StockAgent): large language model-based stock trading in simulated real-world environments. arXiv, 2024, https://doi.org/10.48550/arXiv.2407.18957.))</w:t>
      </w:r>
      <w:r>
        <w:rPr>
          <w:vertAlign w:val="superscript"/>
        </w:rPr>
        <w:t xml:space="preserve">,</w:t>
      </w:r>
      <w:r>
        <w:t xml:space="preserve"> ((S. Wang, H. Yuan, L. M. Ni, J. Guo. QuantAgent: seeking holy grail in trading by self-improving large language model. arXiv, 2024, https://doi.org/10.48550/arXiv.2402.03755.))</w:t>
      </w:r>
      <w:r>
        <w:t>, and framing portfolio management as a sequential decision problem provides a principled balance between exploring new strategies and exploiting established ones</w:t>
      </w:r>
      <w:r>
        <w:t xml:space="preserve"> ((S. Wang, H. Yuan, L. M. Ni, J. Guo. QuantAgent: seeking holy grail in trading by self-improving large language model. arXiv, 2024, https://doi.org/10.48550/arXiv.2402.03755.))</w:t>
      </w:r>
      <w:r>
        <w:t>. This adaptability suits non-stationary market regimes</w:t>
      </w:r>
      <w:r>
        <w:t xml:space="preserve"> ((Y. Xiao, E. Sun, D. Luo, W. Wang. TradingAgents: multi-agents LLM financial trading framework. arXiv, 2024, https://doi.org/10.48550/arXiv.2412.20138.))</w:t>
      </w:r>
      <w:r>
        <w:rPr>
          <w:vertAlign w:val="superscript"/>
        </w:rPr>
        <w:t xml:space="preserve">,</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t>Systematic benchmarking provides a principled basis for evaluating financial LLMs ((J. Lee, N. Stevens, S. C. Han, M. Song. A survey of large language models in finance (FinLLMs). Neural Computing and Applications. Vol. 37, pg. 24853–24867, 2025, https://doi.org/10.1007/s00521-024-10495-6.)), ((K. Anjum, M. A. Arshad, K. Hayawi, E. Polyzos, A. Tariq, M. A. Serhani, L. Batool, B. Lund, N. R. Mannuru, R. V. K. Bevara, T. Mahbub, M. Z. Akram, S. Shahriar. Domain specific benchmarks for evaluating multimodal large language models. arXiv, 2025, https://doi.org/10.48550/arXiv.2506.12958.)),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 Standardized datasets enable comparison across models on textual comprehension, sentiment extraction, and portfolio optimization ((J. Lee, N. Stevens, S. C. Han, M. Song. A survey of large language models in finance (FinLLMs). Neural Computing and Applications. Vol. 37, pg. 24853–24867, 2025, https://doi.org/10.1007/s00521-024-10495-6.)),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 Accuracy alone is insufficient — models must perform under live-market pressures ((W. W. Li, H. Kim, M. Cucuringu, T. Ma. Can LLM-based financial investing strategies outperform the market in the long run? arXiv, 2025, https://doi.org/10.48550/arXiv.2505.07078.)), ((C. Zhang, X. Liu, M. Jin, Z. Zhang, L. Li, Z. Wang, W. Hua, D. Shu, S. Zhu, X. Jin, S. Li, M. Du, Y. Zhang. When AI meets finance (StockAgent): large language model-based stock trading in simulated real-world environments. arXiv, 2024, https://doi.org/10.48550/arXiv.2407.18957.)),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 — so benchmark development remains essential to separate genuine advances from artifacts of favorable evaluation conditions ((A. Lopez-Lira, Y. Tang. Can ChatGPT forecast stock price movements? return predictability and large language models. SSRN. 2023, https://doi.org/10.2139/ssrn.4412788.)), ((W. W. Li, H. Kim, M. Cucuringu, T. Ma. Can LLM-based financial investing strategies outperform the market in the long run? arXiv, 2025, https://doi.org/10.48550/arXiv.2505.07078.)),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p w14:paraId="16EF4F29" w14:textId="77777777" w:rsidR="00557FAC" w:rsidRDefault="00824C87">
      <w:pPr>
        <w:spacing w:before="40" w:after="40"/>
        <w:jc w:val="both"/>
      </w:pPr>
      <w:r>
        <w:t>A critical concern in this literature is evaluation bias. A rigorous testing framework, FINSABER ((W. W. Li, H. Kim, M. Cucuringu, T. Ma. Can LLM-based financial investing strategies outperform the market in the long run? arXiv, 2025, https://doi.org/10.48550/arXiv.2505.07078.)),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Re-tested over 20 years across a wider range of stocks, popular LLM strategies’ apparent advantages disappeared or weakened substantially, and they performed poorly across market regimes — too cautious in bull markets, too aggressive in bear markets. Those findings motivate the evaluation design used here: long horizons, matched comparisons, and explicit controls for all three biases.</w:t>
      </w:r>
    </w:p>
    <w:p w14:paraId="75BC9FBF" w14:textId="77777777" w:rsidR="00557FAC" w:rsidRDefault="00824C87">
      <w:pPr>
        <w:spacing w:before="40" w:after="40"/>
        <w:jc w:val="both"/>
      </w:pPr>
      <w:r>
        <w:t>Collectively these studies show LLMs can generate competitive strategies, but they focus on model capability — larger architectures, multi-agent systems, reinforcement learning, sentiment extraction. Little attention has gone to the structural architecture of information delivery. This gap motivates our central question: can restructuring the information flow presented to an LLM 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t xml:space="preserve"> ((I. Mirzadeh, K. Alizadeh, H. Shahrokhi, O. Tuzel, S. Bengio, M. Farajtabar. GSM-symbolic: understanding the limitations of mathematical reasoning in large language models. International Conference on Learning Representations (ICLR 2025). 2025, https://openreview.net/forum?id=AjXkRZIvjB.))</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t>A second challenge is hallucination: LLMs can fabricate or misrepresent information with high apparent confidence ((Y. Zhang, Y. Li, L. Cui, D. Cai, L. Liu, T. Fu, X. Huang, E. Zhao, Y. Zhang, C. Xu, Y. Chen, L. Wang, A. T. Luu, W. Bi, F. Shi, S. Shi. Siren’s song in the AI ocean: a survey on hallucination in large language models. Computational Linguistics. Vol. 51, pg. 1373–1418, 2025, https://doi.org/10.1162/coli.a.16.)). In an investment context this yields recommendations built on non-existent events, incorrect figures, or invented analyst reports. Subtle hallucinations—small distortions in attributed facts or plausible-sounding mischaracterizations of company performance—may pass undetected and propagate through the pipeline, compounding over a holding period.</w:t>
      </w:r>
    </w:p>
    <w:p w14:paraId="0626F88F" w14:textId="77777777" w:rsidR="00557FAC" w:rsidRDefault="00824C87">
      <w:pPr>
        <w:spacing w:before="40" w:after="40"/>
        <w:jc w:val="both"/>
      </w:pPr>
      <w:r>
        <w:t>A third challenge is implicit bias introduced through LLM pre-training. Because LLMs are trained to a fixed knowledge cutoff, they may encode awareness of events postdating a historical analysis date, supplying look-ahead information no real investor could possess. This leakage is particularly problematic for backtesting: strategies that appear profitable retrospectively may be artifacts of latent knowledge rather than genuine analytical insight.</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pipeline for long-term investment strategy generation. It decomposes the task into a news-based candidate selection stage, in which the LLM identifies candidate stocks from curated financial news, and a financial report validation stage, in which it reads company reports for each candidate and produces a smaller, higher-conviction portfolio. Sequential rather than simultaneous evaluation of information sources is the central methodological contribution.</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the S&amp;P 500 comparison is context only.</w:t>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The framework has four phases. First, historical news articles are collected from a fixed pre-analysis window. These prompt the LLM to nominate candidate stocks with qualitative justifications, which is Stage One. Financial reports are then retrieved for each candidate and evaluated in a second stage, producing a smaller set of final recommendations. Those selections and their allocation weights build a long-only portfolio, evaluated over a predefined horizon. The notation X→Y denotes this structure: X candidates identified in Stage One, Y final selections after report validation in Stage Two.</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Separating qualitative reasoning (news narratives, report language) from quantitative evaluation—deterministic calculation of returns, volatility and benchmark comparisons in external code—assigns each component to the tool best suited to it and lets performance differences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Across the full corpus the relevance filter retained 1,799 of 13,183 unique articles (13.6%) under strict investment-relevance criteria. The validation sample described below is drawn from a single screening run of 1,382 articles, of which 110 (8.0%) passed.</w:t>
      </w:r>
    </w:p>
    <w:p w14:paraId="062EEA2F" w14:textId="77777777" w:rsidR="00557FAC" w:rsidRDefault="00824C87">
      <w:pPr>
        <w:spacing w:before="40" w:after="40"/>
        <w:jc w:val="both"/>
      </w:pPr>
      <w:r>
        <w:t>To check the screen against human judgment, we blind-labeled a stratified sample of 180 of these articles (70 screen-passed and 110 screen-rejected) without access to the screen’s decisions. Against that first rating the screen achieved a precision of 100% (95% Wilson confidence interval [94.8, 100]), and re-weighting to the 13.6% corpus pass rate gave an estimated recall of 26% and a false-omission rate of 45%. Because a single rater is a single standard, a second rater, blind both to the screen’s decisions and to the first rater’s labels, independently labelled the same 180 articles. The two agreed on 83.3% of them (95% CI [77.2, 88.1]; Cohen’s kappa 0.67, or 0.57 re-weighted to the corpus pass rate). The disagreement was strongly asymmetric: in 29 cases the first rater judged an article relevant and the second did not, against a single case of the reverse (exact McNemar p = 6×10⁻⁸). The two raters therefore differ mainly in where they set the threshold rather than in consistency, and the term “relevant” admits a wider or narrower reading than the rubric fixes: the first rating implies that 52.1% of the corpus is investment-relevant, the second 31.9%. Precision is correspondingly threshold-dependent, 95.7% (95% CI [88.1, 98.5]) under the second rater against 100% under the first, with false-omission rates of 21.8% and 44.5% and re-weighted recalls of 41.0% and 26.2%. The screen passes 13.6% of the corpus and is thus stricter than either human reading, so on neither reading does it admit substantial off-topic material into the downstream stages, which is the property the pipeline depends on; its recall, on either reading, is well below one and we note this as a limitation. The screen is applied by the model without human adjudication during normal operation.</w:t>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t xml:space="preserve"> ((Y. Zhang, Y. Li, L. Cui, D. Cai, L. Liu, T. Fu, X. Huang, E. Zhao, Y. Zhang, C. Xu, Y. Chen, L. Wang, A. T. Luu, W. Bi, F. Shi, S. Shi. Siren’s song in the AI ocean: a survey on hallucination in large language models. Computational Linguistics. Vol. 51, pg. 1373–1418, 2025, https://doi.org/10.1162/coli.a.16.))</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Risk was comparable: annualized volatility 28.1% against 27.8%, maximum drawdown −23.2% against −22.4%, and median Sharpe 1.70 against 1.34. The filtered configuration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2536"/>
          </w:tcPr>
          <w:p>
            <w:r>
              <w:rPr>
                <w:b/>
                <w:bCs/>
                <w:sz w:val="20"/>
                <w:szCs w:val="20"/>
              </w:rPr>
              <w:t>Sharpe</w:t>
            </w:r>
          </w:p>
        </w:tc>
        <w:tc>
          <w:tcPr>
            <w:tcW w:type="dxa" w:w="2536"/>
          </w:tcPr>
          <w:p>
            <w:r>
              <w:rPr>
                <w:b/>
                <w:bCs/>
                <w:sz w:val="20"/>
                <w:szCs w:val="20"/>
              </w:rPr>
              <w:t>Win vs Unfiltered (%)</w:t>
            </w:r>
          </w:p>
        </w:tc>
        <w:tc>
          <w:tcPr>
            <w:tcW w:type="dxa" w:w="2536"/>
          </w:tcPr>
          <w:p>
            <w:r>
              <w:rPr>
                <w:b/>
                <w:bCs/>
                <w:sz w:val="20"/>
                <w:szCs w:val="20"/>
              </w:rP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2536" w:type="dxa"/>
            <w:vAlign w:val="center"/>
          </w:tcPr>
          <w:p w14:paraId="0F32CF91" w14:textId="77777777" w:rsidR="00557FAC" w:rsidRDefault="00824C87">
            <w:pPr>
              <w:jc w:val="center"/>
              <w:rPr>
                <w:rFonts w:ascii="Arial" w:eastAsia="Arial" w:hAnsi="Arial" w:cs="Arial"/>
                <w:sz w:val="18"/>
                <w:szCs w:val="18"/>
              </w:rPr>
            </w:pPr>
            <w:r>
              <w:t>−23.2</w:t>
            </w:r>
          </w:p>
        </w:tc>
        <w:tc>
          <w:tcPr>
            <w:tcW w:type="dxa" w:w="2536"/>
          </w:tcPr>
          <w:p>
            <w:r>
              <w:rPr>
                <w:sz w:val="20"/>
                <w:szCs w:val="20"/>
              </w:rPr>
              <w:t>1.70</w:t>
            </w:r>
          </w:p>
        </w:tc>
        <w:tc>
          <w:tcPr>
            <w:tcW w:type="dxa" w:w="2536"/>
          </w:tcPr>
          <w:p>
            <w:r>
              <w:rPr>
                <w:sz w:val="20"/>
                <w:szCs w:val="20"/>
              </w:rPr>
              <w:t>81.5</w:t>
            </w:r>
          </w:p>
        </w:tc>
        <w:tc>
          <w:tcPr>
            <w:tcW w:type="dxa" w:w="2536"/>
          </w:tcPr>
          <w:p>
            <w:r>
              <w:rPr>
                <w:sz w:val="20"/>
                <w:szCs w:val="20"/>
              </w:rPr>
              <w:t>[61.9, 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2536" w:type="dxa"/>
            <w:vAlign w:val="center"/>
          </w:tcPr>
          <w:p w14:paraId="25B2507F" w14:textId="77777777" w:rsidR="00557FAC" w:rsidRDefault="00824C87">
            <w:pPr>
              <w:jc w:val="center"/>
              <w:rPr>
                <w:rFonts w:ascii="Arial" w:eastAsia="Arial" w:hAnsi="Arial" w:cs="Arial"/>
                <w:sz w:val="18"/>
                <w:szCs w:val="18"/>
              </w:rPr>
            </w:pPr>
            <w:r>
              <w:t>−23.6</w:t>
            </w:r>
          </w:p>
        </w:tc>
        <w:tc>
          <w:tcPr>
            <w:tcW w:type="dxa" w:w="2536"/>
          </w:tcPr>
          <w:p>
            <w:r>
              <w:rPr>
                <w:sz w:val="20"/>
                <w:szCs w:val="20"/>
              </w:rPr>
              <w:t>1.61</w:t>
            </w:r>
          </w:p>
        </w:tc>
        <w:tc>
          <w:tcPr>
            <w:tcW w:type="dxa" w:w="2536"/>
          </w:tcPr>
          <w:p>
            <w:r>
              <w:rPr>
                <w:sz w:val="20"/>
                <w:szCs w:val="20"/>
              </w:rPr>
              <w:t>77.8</w:t>
            </w:r>
          </w:p>
        </w:tc>
        <w:tc>
          <w:tcPr>
            <w:tcW w:type="dxa" w:w="2536"/>
          </w:tcPr>
          <w:p>
            <w:r>
              <w:rPr>
                <w:sz w:val="20"/>
                <w:szCs w:val="20"/>
              </w:rPr>
              <w:t>[57.7, 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2536" w:type="dxa"/>
            <w:vAlign w:val="center"/>
          </w:tcPr>
          <w:p w14:paraId="0B2C5524" w14:textId="77777777" w:rsidR="00557FAC" w:rsidRDefault="00824C87">
            <w:pPr>
              <w:jc w:val="center"/>
              <w:rPr>
                <w:rFonts w:ascii="Arial" w:eastAsia="Arial" w:hAnsi="Arial" w:cs="Arial"/>
                <w:sz w:val="18"/>
                <w:szCs w:val="18"/>
              </w:rPr>
            </w:pPr>
            <w:r>
              <w:t>−23.0</w:t>
            </w:r>
          </w:p>
        </w:tc>
        <w:tc>
          <w:tcPr>
            <w:tcW w:type="dxa" w:w="2536"/>
          </w:tcPr>
          <w:p>
            <w:r>
              <w:rPr>
                <w:sz w:val="20"/>
                <w:szCs w:val="20"/>
              </w:rPr>
              <w:t>1.54</w:t>
            </w:r>
          </w:p>
        </w:tc>
        <w:tc>
          <w:tcPr>
            <w:tcW w:type="dxa" w:w="2536"/>
          </w:tcPr>
          <w:p>
            <w:r>
              <w:rPr>
                <w:sz w:val="20"/>
                <w:szCs w:val="20"/>
              </w:rPr>
              <w:t>74.1</w:t>
            </w:r>
          </w:p>
        </w:tc>
        <w:tc>
          <w:tcPr>
            <w:tcW w:type="dxa" w:w="2536"/>
          </w:tcPr>
          <w:p>
            <w:r>
              <w:rPr>
                <w:sz w:val="20"/>
                <w:szCs w:val="20"/>
              </w:rPr>
              <w:t>[53.7, 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2536" w:type="dxa"/>
            <w:vAlign w:val="center"/>
          </w:tcPr>
          <w:p w14:paraId="35EF29B9" w14:textId="77777777" w:rsidR="00557FAC" w:rsidRDefault="00824C87">
            <w:pPr>
              <w:jc w:val="center"/>
              <w:rPr>
                <w:rFonts w:ascii="Arial" w:eastAsia="Arial" w:hAnsi="Arial" w:cs="Arial"/>
                <w:sz w:val="18"/>
                <w:szCs w:val="18"/>
              </w:rPr>
            </w:pPr>
            <w:r>
              <w:t>−24.2</w:t>
            </w:r>
          </w:p>
        </w:tc>
        <w:tc>
          <w:tcPr>
            <w:tcW w:type="dxa" w:w="2536"/>
          </w:tcPr>
          <w:p>
            <w:r>
              <w:rPr>
                <w:sz w:val="20"/>
                <w:szCs w:val="20"/>
              </w:rPr>
              <w:t>1.55</w:t>
            </w:r>
          </w:p>
        </w:tc>
        <w:tc>
          <w:tcPr>
            <w:tcW w:type="dxa" w:w="2536"/>
          </w:tcPr>
          <w:p>
            <w:r>
              <w:rPr>
                <w:sz w:val="20"/>
                <w:szCs w:val="20"/>
              </w:rPr>
              <w:t>74.1</w:t>
            </w:r>
          </w:p>
        </w:tc>
        <w:tc>
          <w:tcPr>
            <w:tcW w:type="dxa" w:w="2536"/>
          </w:tcPr>
          <w:p>
            <w:r>
              <w:rPr>
                <w:sz w:val="20"/>
                <w:szCs w:val="20"/>
              </w:rPr>
              <w:t>[53.7, 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2536" w:type="dxa"/>
            <w:vAlign w:val="center"/>
          </w:tcPr>
          <w:p w14:paraId="13013FF5" w14:textId="77777777" w:rsidR="00557FAC" w:rsidRDefault="00824C87">
            <w:pPr>
              <w:jc w:val="center"/>
              <w:rPr>
                <w:rFonts w:ascii="Arial" w:eastAsia="Arial" w:hAnsi="Arial" w:cs="Arial"/>
                <w:sz w:val="18"/>
                <w:szCs w:val="18"/>
              </w:rPr>
            </w:pPr>
            <w:r>
              <w:t>−22.4</w:t>
            </w:r>
          </w:p>
        </w:tc>
        <w:tc>
          <w:tcPr>
            <w:tcW w:type="dxa" w:w="2536"/>
          </w:tcPr>
          <w:p>
            <w:r>
              <w:rPr>
                <w:sz w:val="20"/>
                <w:szCs w:val="20"/>
              </w:rPr>
              <w:t>1.34</w:t>
            </w:r>
          </w:p>
        </w:tc>
        <w:tc>
          <w:tcPr>
            <w:tcW w:type="dxa" w:w="2536"/>
          </w:tcPr>
          <w:p>
            <w:r>
              <w:rPr>
                <w:sz w:val="20"/>
                <w:szCs w:val="20"/>
              </w:rPr>
              <w:t>—</w:t>
            </w:r>
          </w:p>
        </w:tc>
        <w:tc>
          <w:tcPr>
            <w:tcW w:type="dxa" w:w="2536"/>
          </w:tcPr>
          <w:p>
            <w:r>
              <w:rPr>
                <w:sz w:val="20"/>
                <w:szCs w:val="20"/>
              </w:rP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2536" w:type="dxa"/>
            <w:vAlign w:val="center"/>
          </w:tcPr>
          <w:p w14:paraId="060EDD40" w14:textId="77777777" w:rsidR="00557FAC" w:rsidRDefault="00824C87">
            <w:pPr>
              <w:jc w:val="center"/>
              <w:rPr>
                <w:rFonts w:ascii="Arial" w:eastAsia="Arial" w:hAnsi="Arial" w:cs="Arial"/>
                <w:sz w:val="18"/>
                <w:szCs w:val="18"/>
              </w:rPr>
            </w:pPr>
            <w:r>
              <w:t>−22.3</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2536" w:type="dxa"/>
            <w:vAlign w:val="center"/>
          </w:tcPr>
          <w:p w14:paraId="7485C66C" w14:textId="77777777" w:rsidR="00557FAC" w:rsidRDefault="00824C87">
            <w:pPr>
              <w:jc w:val="center"/>
              <w:rPr>
                <w:rFonts w:ascii="Arial" w:eastAsia="Arial" w:hAnsi="Arial" w:cs="Arial"/>
                <w:sz w:val="18"/>
                <w:szCs w:val="18"/>
              </w:rPr>
            </w:pPr>
            <w:r>
              <w:t>−22.6</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2536" w:type="dxa"/>
            <w:vAlign w:val="center"/>
          </w:tcPr>
          <w:p w14:paraId="78C10540" w14:textId="77777777" w:rsidR="00557FAC" w:rsidRDefault="00824C87">
            <w:pPr>
              <w:jc w:val="center"/>
              <w:rPr>
                <w:rFonts w:ascii="Arial" w:eastAsia="Arial" w:hAnsi="Arial" w:cs="Arial"/>
                <w:sz w:val="18"/>
                <w:szCs w:val="18"/>
              </w:rPr>
            </w:pPr>
            <w:r>
              <w:t>−21.8</w:t>
            </w:r>
          </w:p>
        </w:tc>
        <w:tc>
          <w:tcPr>
            <w:tcW w:type="dxa" w:w="2536"/>
          </w:tcPr>
          <w:p>
            <w:r>
              <w:rPr>
                <w:sz w:val="20"/>
                <w:szCs w:val="20"/>
              </w:rPr>
              <w:t>1.35</w:t>
            </w:r>
          </w:p>
        </w:tc>
        <w:tc>
          <w:tcPr>
            <w:tcW w:type="dxa" w:w="2536"/>
          </w:tcPr>
          <w:p>
            <w:r>
              <w:rPr>
                <w:sz w:val="20"/>
                <w:szCs w:val="20"/>
              </w:rPr>
              <w:t>33.3</w:t>
            </w:r>
          </w:p>
        </w:tc>
        <w:tc>
          <w:tcPr>
            <w:tcW w:type="dxa" w:w="2536"/>
          </w:tcPr>
          <w:p>
            <w:r>
              <w:rPr>
                <w:sz w:val="20"/>
                <w:szCs w:val="20"/>
              </w:rPr>
              <w:t>[16.5, 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2536" w:type="dxa"/>
            <w:vAlign w:val="center"/>
          </w:tcPr>
          <w:p w14:paraId="5F41CE7F" w14:textId="77777777" w:rsidR="00557FAC" w:rsidRDefault="00824C87">
            <w:pPr>
              <w:jc w:val="center"/>
              <w:rPr>
                <w:rFonts w:ascii="Arial" w:eastAsia="Arial" w:hAnsi="Arial" w:cs="Arial"/>
                <w:sz w:val="18"/>
                <w:szCs w:val="18"/>
              </w:rPr>
            </w:pPr>
            <w:r>
              <w:t>−21.7</w:t>
            </w:r>
          </w:p>
        </w:tc>
        <w:tc>
          <w:tcPr>
            <w:tcW w:type="dxa" w:w="2536"/>
          </w:tcPr>
          <w:p>
            <w:r>
              <w:rPr>
                <w:sz w:val="20"/>
                <w:szCs w:val="20"/>
              </w:rPr>
              <w:t>1.40</w:t>
            </w:r>
          </w:p>
        </w:tc>
        <w:tc>
          <w:tcPr>
            <w:tcW w:type="dxa" w:w="2536"/>
          </w:tcPr>
          <w:p>
            <w:r>
              <w:rPr>
                <w:sz w:val="20"/>
                <w:szCs w:val="20"/>
              </w:rPr>
              <w:t>29.6</w:t>
            </w:r>
          </w:p>
        </w:tc>
        <w:tc>
          <w:tcPr>
            <w:tcW w:type="dxa" w:w="2536"/>
          </w:tcPr>
          <w:p>
            <w:r>
              <w:rPr>
                <w:sz w:val="20"/>
                <w:szCs w:val="20"/>
              </w:rPr>
              <w:t>[13.8, 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2536" w:type="dxa"/>
            <w:vAlign w:val="center"/>
          </w:tcPr>
          <w:p w14:paraId="1F1BCCA8" w14:textId="77777777" w:rsidR="00557FAC" w:rsidRDefault="00824C87">
            <w:pPr>
              <w:jc w:val="center"/>
              <w:rPr>
                <w:rFonts w:ascii="Arial" w:eastAsia="Arial" w:hAnsi="Arial" w:cs="Arial"/>
                <w:sz w:val="18"/>
                <w:szCs w:val="18"/>
              </w:rPr>
            </w:pPr>
            <w:r>
              <w:t>−21.6</w:t>
            </w:r>
          </w:p>
        </w:tc>
        <w:tc>
          <w:tcPr>
            <w:tcW w:type="dxa" w:w="2536"/>
          </w:tcPr>
          <w:p>
            <w:r>
              <w:rPr>
                <w:sz w:val="20"/>
                <w:szCs w:val="20"/>
              </w:rPr>
              <w:t>1.30</w:t>
            </w:r>
          </w:p>
        </w:tc>
        <w:tc>
          <w:tcPr>
            <w:tcW w:type="dxa" w:w="2536"/>
          </w:tcPr>
          <w:p>
            <w:r>
              <w:rPr>
                <w:sz w:val="20"/>
                <w:szCs w:val="20"/>
              </w:rPr>
              <w:t>18.5</w:t>
            </w:r>
          </w:p>
        </w:tc>
        <w:tc>
          <w:tcPr>
            <w:tcW w:type="dxa" w:w="2536"/>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risk, and win rate versus the unfiltered baseline, by filtering configuration (sorted by mean ROI). Volatility is annualized; maximum drawdown (Max DD) and Sharpe are medians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t>Filtering substantially improved GPT-5.1’s performance: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of ten or twenty candidates, narrowed by a roughly two-to-one ratio. That gives the model enough candidates to rank meaningfully while keeping the final portfolio focused. 5→3 is an informative exception: with only five candidates, its pool is too small to reach the top of the return range. Its tight selection makes it the most stable configuration (see Return Variance and Consistency Comparison), but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 xml:space="preserve">A component ablation tests whether the advantage over the unfiltered baseline reflects </w:t>
      </w:r>
      <w:r>
        <w:t>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the sum, across that sector’s holdings, of each position’s initial weight times its window return, divided by the portfolio’s total return. Both quantities are pooled across runs; averaging gives the same result, since the per-run count cancels. Because individual contributions can be negative, a sector’s return share can exceed or fall below its weight share.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transferable lesson: how information given to a language model is structured is itself a determinant of investment performance, separate from model choice. Presenting a moderate shortlist and asking the model to narrow it consistently produced the strongest returns. That beat both letting the model select from an unstructured prompt and forcing it to discard most of an oversized pool. Because the gain comes from pipeline design rather than a larger model, it is available at essentially no additional cost. The component ablation reported above points the same way, with the report-validation stage carrying the clearest signal.</w:t>
      </w:r>
    </w:p>
    <w:p w14:paraId="5779821B" w14:textId="77777777" w:rsidR="00557FAC" w:rsidRDefault="00824C87">
      <w:pPr>
        <w:spacing w:before="40" w:after="40"/>
        <w:jc w:val="both"/>
      </w:pPr>
      <w:r>
        <w:t>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for frontier-class models is to begin from roughly ten to twenty candidates and narrow by about half; weaker models peaked at smaller pools, suggesting the optimal request scales with capability. The final portfolio size can then match an investor’s diversification preference without sacrificing the structural advantage. We present this padding account as a hypothesis consistent with the observed pattern rather than a directly measured mechanism. Testing it directly would require the Stage One candidate lists, which were not retained in the run records — each run stores only its final portfolio — so a candidate-overlap and Stage-One-rank-versus-realized-return analysis is left to future work, for which candidate logging has been added.</w:t>
      </w:r>
    </w:p>
    <w:p w14:paraId="6B81293C" w14:textId="77777777" w:rsidR="00557FAC" w:rsidRDefault="00824C87">
      <w:pPr>
        <w:spacing w:before="40" w:after="40"/>
        <w:jc w:val="both"/>
      </w:pPr>
      <w:r>
        <w:t>Because the unfiltered baseline already beat the market benchmark, the contribution specific to the two-stage design is its consistent improvement over that baseline under matched conditions, not the market outperformance itself. Deliberate information design is thus an inexpensive,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A split-sample check bounds it: selecting on the first five windows alone identifies the same configuration, which then returns 71.40% on the four held-out windows against 55.88% for the matched unfiltered baseline (+15.52 pp, winning three of four), so the choice does not depend on having seen the evaluation period. The matched-baseline win rate and its exact confidence interval, which do not depend on selecting the top configuration after the fact, remain the more conservative summary. Finally, the financial-report source does not flag 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That added on the order of fifteen percentage points of mean ROI over the unfiltered baseline, and beat it in most matched evaluation windows. We present the ratio as a working hypothesis consistent with the tested grid rather than a rule.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