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Summary of Revisions — URTC Manuscript</w:t>
      </w:r>
    </w:p>
    <w:p>
      <w:pPr>
        <w:spacing w:after="80"/>
      </w:pPr>
      <w:r>
        <w:t xml:space="preserve">“Where LLM Portfolio Value Is Created and Lost” (formerly “Decomposing a Two-Stage LLM Portfolio Framework: Selection Skill and the Cost of Reinvestment”). All changes are relative to the draft circulated with advisor comments. August 8, 2026.</w:t>
      </w:r>
    </w:p>
    <w:p>
      <w:pPr>
        <w:pStyle w:val="Heading1"/>
        <w:spacing w:after="120" w:before="240"/>
      </w:pPr>
      <w:r>
        <w:t xml:space="preserve">A. Responses to advisor comments (Dr. Qin)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Title replaced with a short, direct one that resolves the ambiguity flagged on the original: the paper answers where value is created (selection) and where it is lost (sizing and reinvestment).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Abstract rewritten results-first: headline numbers up front (SPY margin with Sharpe, the INIT reversal, the 11.4-point sizing effect), descriptive pipeline detail removed, and a concrete closing prescription (choose with the LLM, weight equally, leave the portfolio alone).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“Appears to succeed” and similar hedges removed; declarative sentences throughout.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“Against the correct baseline it does not” rewritten in plain language: every configuration underperformed simply buying the model’s own initial portfolio and never touching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metrics added beside the SPY claim, in the abstract (median Sharpe 1.07–1.17 vs 0.77) and in Benchmark Comparisons (volatility 24–27% vs 17%, drawdowns ≈−22% vs −14%, and INIT at Sharpe 1.26 beating every arm risk-adjusted). Newly computed from all 648 run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an underperforming result is worth reporting is now argued explicitly: the Discussion and Conclusion frame the negative result as a diagnosis that yields a deployment rule, not a failed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“effective screener whose surrounding layers subtract the value” sentence rewritten in plain terms.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“Cost” defined at first use (Contributions): the mean return foregone relative to the matched portfolio that differs only in that layer; “sizing costs more than reinvestment” now has a precise meaning.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Framework figure added (new Fig. 1, pipeline diagram) with a citation to the prior paper; the Context section was folded into the Introduction to cut lab-report framing.</w:t>
      </w:r>
    </w:p>
    <w:p>
      <w:pPr>
        <w:pStyle w:val="Heading1"/>
        <w:spacing w:after="120" w:before="240"/>
      </w:pPr>
      <w:r>
        <w:t xml:space="preserve">B. Responses to the IEEE peer review — major concerns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§4.1 Temporal protocol stated exactly as implemented (verified in the simulator code): calendar-date decisions, date-only news admission, execution at the last close on or before the decision date, and statements admitted by fiscal period end — with the disclosure that this can admit late-filed reports, the argument that any leakage favors the reinvestment arms (which still lose, making the finding conservative), and a commitment to a filing-deadline rule and next-day execution in the archival version. Adjusted-close retrospective adjustments also disclosed.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§4.2 “729 live runs” rephrased everywhere as API-generated backtest runs across nine overlapping windows; new window-level (n = 9) analysis added: shortfall direction unanimous, no arm wins more than four of nine windows; Holm-corrected Wilcoxon results reported (incumbent arms remain significant at adjusted p = 0.023–0.039; feedback arms marginal at 0.078; retained-position not significant).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§4.3 Selection-skill test construction verified in code and stated in the paper: both the model portfolio and the 10,000 random draws are equal-weighted baskets of identical size under identical price conventions — the test isolates selection from sizing by construction. No rerun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§4.4 Multiple testing addressed: two primary hypotheses designated (each arm vs INIT; equal weight vs conviction weights), all other contrasts labeled exploratory, Holm correction applied, and the equal-weighting effect noted as robust to any correction (p = 3×10⁻²⁴).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§4.5 Mechanism claims softened to “the evidence is consistent with”; the counterfactual sweep no longer “confirms”; and a per-decision attribution over 1,610 actual rebalance decisions added (dropped names outperform added names in every arm; per-swap cost concentrates at infrequent cadences; mean per-decision effect not individually significant).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§4.6 Black–Litterman fully specified from the implementation: ≥60-day pre-decision daily log-return covariance (annualized), equal-weight equilibrium prior with rationale, δ = 2.5, τ = 0.05, volatility-scaled equilibrium-anchored absolute views (strength 0.02), Idzorek-style Ω, long-only projection, fallback rules, and what the 45-cell subset 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§4.7 Reproducibility paragraph added: model alias, run dates (July 31–August 4, 2026), provider-default decoding, per-run artifacts retained, and the public repository URL including the full run corpus.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§4.8 The conviction-weights conclusion scoped to the tested setting, using the reviewer’s safer phrasing.</w:t>
      </w:r>
    </w:p>
    <w:p>
      <w:pPr>
        <w:pStyle w:val="Heading1"/>
        <w:spacing w:after="120" w:before="240"/>
      </w:pPr>
      <w:r>
        <w:t xml:space="preserve">C. Responses to the IEEE peer review — minor comments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Visible IEEE copyright placeholder removed from the footer.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Keyword line reformatted as “Keywords—…”.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“Live runs” eliminated throughout, including one instance later found in the Conclusion.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“Hold execution” renamed “retained-position execution” and defined at first use; “correct baseline” absolutism removed.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pp defined in the Table I caption; 1/N, INIT, and Black–Litterman defined at first 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supplementary 10→5 arm’s depth explained (monthly cadence only, nine windows × three runs); a duplicate description of it was also removed.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delta-trading arms carrying the idle-cash defect identified empirically (8.05% and 8.50% mean idle cash versus 1.91% after redeployment) and dagger-marked in Table 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Reference [10] completed with authors (Mantshimuli &amp; Muteba Mwamba) and article number; journal names abbreviated to IEEE style across the reference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Compact pipeline diagram added (same figure as advisor item 9).</w:t>
      </w:r>
    </w:p>
    <w:p>
      <w:pPr>
        <w:pStyle w:val="Heading1"/>
        <w:spacing w:after="120" w:before="240"/>
      </w:pPr>
      <w:r>
        <w:t xml:space="preserve">D. New analysis performed for this revision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Window-level (n = 9) sign and exact Wilcoxon tests for all six arms with Holm correction, computed from the 648 run records; computed arm means reproduce Table I exactly, confirming the analysis reads the same corpus as the paper.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Per-arm, INIT, and SPY risk aggregation (Sharpe, volatility, maximum drawdown) from stored per-run daily series.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Idle-cash accounting per arm to locate the delta-trading defect.</w:t>
      </w:r>
    </w:p>
    <w:p>
      <w:pPr>
        <w:pStyle w:val="Heading1"/>
        <w:spacing w:after="120" w:before="240"/>
      </w:pPr>
      <w:r>
        <w:t xml:space="preserve">E. Editorial and formatting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Advisor comment anchors removed from the document; comments addressed in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arms-vs-INIT bar figure removed (it duplicated Table I exactly); remaining figures renumbered with auto-numbered captions, in-text references updated.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 II is now cited in the text; a wrong cross-reference (§IV-B → §III-B) fixed.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latent schema defect in the original file (missing page-margin gutter attribute) repaired; the document passes full OOXML validation.</w:t>
      </w:r>
    </w:p>
    <w:p>
      <w:pPr>
        <w:pStyle w:val="Heading1"/>
        <w:spacing w:after="120" w:before="240"/>
      </w:pPr>
      <w:r>
        <w:t xml:space="preserve">F. Length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Reduced from 6 pages to the URTC 5-page limit via the Context merge, prose compression (≈15%), removal of the duplicate figure, modest figure scaling, and whitespace cleanup — with all reviewer-required content added, not cut.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2026-08-08T22:02:27.254Z</dcterms:created>
  <dcterms:modified xsi:type="dcterms:W3CDTF">2026-08-08T22:02:27.266Z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