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Response to Reviewer Comments</w:t>
      </w:r>
    </w:p>
    <w:p>
      <w:r>
        <w:rPr>
          <w:rFonts w:ascii="Times New Roman" w:hAnsi="Times New Roman"/>
          <w:i w:val="0"/>
          <w:sz w:val="24"/>
        </w:rPr>
        <w:t>Manuscript: “Improving the Performance of Long-Term Stock Investments with a Two-Stage LLM Filtering Framework” — National High School Journal of Science</w:t>
      </w:r>
    </w:p>
    <w:p/>
    <w:p>
      <w:r>
        <w:t>We thank the reviewer for an exceptionally careful and constructive review. The comments identified real weaknesses, and addressing them has substantially strengthened the paper. We were especially grateful for the detailed reading of our citations and statistics. Below we respond to each comment in turn; reviewer comments are in italics, and our responses follow.</w:t>
      </w:r>
    </w:p>
    <w:p/>
    <w:p>
      <w:r>
        <w:rPr>
          <w:rFonts w:ascii="Times New Roman" w:hAnsi="Times New Roman"/>
          <w:b/>
          <w:sz w:val="26"/>
        </w:rPr>
        <w:t>Major Issues – Must Fix</w:t>
      </w:r>
    </w:p>
    <w:p>
      <w:r>
        <w:rPr>
          <w:b/>
        </w:rPr>
        <w:t xml:space="preserve">1. </w:t>
      </w:r>
      <w:r>
        <w:rPr>
          <w:i/>
        </w:rPr>
        <w:t>Please remove the bullet points.</w:t>
      </w:r>
    </w:p>
    <w:p>
      <w:pPr>
        <w:ind w:left="480"/>
      </w:pPr>
      <w:r>
        <w:rPr>
          <w:b/>
        </w:rPr>
        <w:t xml:space="preserve">Response: </w:t>
      </w:r>
      <w:r>
        <w:t>The bulleted Objectives list has been rewritten as three prose paragraphs, and no bulleted lists remain in the body of the manuscript.</w:t>
      </w:r>
    </w:p>
    <w:p>
      <w:r>
        <w:rPr>
          <w:b/>
        </w:rPr>
        <w:t xml:space="preserve">2. </w:t>
      </w:r>
      <w:r>
        <w:rPr>
          <w:i/>
        </w:rPr>
        <w:t>Many citation numbers do not match the claims they sit on; the superscripts appear to have been applied after the reference list was alphabetized.</w:t>
      </w:r>
    </w:p>
    <w:p>
      <w:pPr>
        <w:ind w:left="480"/>
      </w:pPr>
      <w:r>
        <w:rPr>
          <w:b/>
        </w:rPr>
        <w:t xml:space="preserve">Response: </w:t>
      </w:r>
      <w:r>
        <w:t>We audited every in-text citation against the specific claim it supports and against the actual source. The reviewer’s diagnosis was correct: the superscripts had been misaligned. We have remapped all in-text citations, renumbered the reference list in order of first appearance (now 32 references), and removed references that were no longer cited. Every specific mismatch the reviewer named has been corrected, including the hallucination claim (now cites the hallucination survey), the arithmetic-reliability claim (now cites GSM-Symbolic), the media-sentiment claim (now cites Tetlock), the FINSABER characterization, and the reinforcement-learning sentence, whose original citations did not support it and which has been rewritten around the appropriate self-improving-agent references.</w:t>
      </w:r>
    </w:p>
    <w:p>
      <w:r>
        <w:rPr>
          <w:b/>
        </w:rPr>
        <w:t xml:space="preserve">3. </w:t>
      </w:r>
      <w:r>
        <w:rPr>
          <w:i/>
        </w:rPr>
        <w:t>The Methods promise ANOVA, post-hoc comparisons, confidence intervals, and p-values that never appear; paired per-window tests suit the design better; and temperature is not replication.</w:t>
      </w:r>
    </w:p>
    <w:p>
      <w:pPr>
        <w:ind w:left="480"/>
      </w:pPr>
      <w:r>
        <w:rPr>
          <w:b/>
        </w:rPr>
        <w:t xml:space="preserve">Response: </w:t>
      </w:r>
      <w:r>
        <w:t>The Statistical Testing Strategy has been rewritten around the paired, distribution-free tests appropriate to the overlapping-window design. For every configuration we now report the matched win rate with an exact binomial 95% confidence interval, an exact sign test, a Wilcoxon signed-rank test on the per-window ROI differences, and a bootstrap interval on the median difference; the ANOVA language and the “heuristic p-value” hedge have been removed. On replication: we discovered and now disclose that the OpenAI API does not accept custom temperature values for GPT-5.1, so its three per-cell generations are in fact independent replicates at identical settings. We use them as such and report the within-cell spread, and we additionally provide a conservative window-level test (n = 9) that collapses the replicates.</w:t>
      </w:r>
    </w:p>
    <w:p>
      <w:r>
        <w:rPr>
          <w:b/>
        </w:rPr>
        <w:t xml:space="preserve">4. </w:t>
      </w:r>
      <w:r>
        <w:rPr>
          <w:i/>
        </w:rPr>
        <w:t>State the number of evaluation windows in the text, and remove “three out of every four years,” since the windows overlap.</w:t>
      </w:r>
    </w:p>
    <w:p>
      <w:pPr>
        <w:ind w:left="480"/>
      </w:pPr>
      <w:r>
        <w:rPr>
          <w:b/>
        </w:rPr>
        <w:t xml:space="preserve">Response: </w:t>
      </w:r>
      <w:r>
        <w:t>The window counts are now stated explicitly in the text (nine completed windows for GPT-5.1; thirteen for each older model), the “three out of every four years” phrasing has been removed, and the Results now consistently describe the windows as overlapping and non-independent.</w:t>
      </w:r>
    </w:p>
    <w:p>
      <w:r>
        <w:rPr>
          <w:b/>
        </w:rPr>
        <w:t xml:space="preserve">5. </w:t>
      </w:r>
      <w:r>
        <w:rPr>
          <w:i/>
        </w:rPr>
        <w:t>The study cannot be reproduced; the 2,759 total does not decompose; 96.5% is not a fraction of 270; provide the prompts, the window list, the run breakdown, and binomial intervals.</w:t>
      </w:r>
    </w:p>
    <w:p>
      <w:pPr>
        <w:ind w:left="480"/>
      </w:pPr>
      <w:r>
        <w:rPr>
          <w:b/>
        </w:rPr>
        <w:t xml:space="preserve">Response: The 2,759 runs now decompose explicitly in the text as 921 for GPT-4o, 1,212 for GPT-4o-mini, and 626 for GPT-5.1, and the 96.5% market-beating figure is reported as 604 of 626 GPT-5.1 runs (not a fraction of 270). The Supplementary Information now contains the screening, Stage-One, Stage-Two, and baseline prompts; the evaluation-window list; and full run accounting. Table S2a traces every generated run file through to the analysed set, and Tables S2b and S2c give the incomplete-run rate by model and by window; incomplete runs are those whose generation returned no parseable portfolio, and because the failure is the absence of run metadata they carry no configuration label and cannot be attributed to a configuration. Table S3 gives the per-cell counts by model, window, and configuration. We note in particular that no configuration is missing from any window for any model — there are zero empty cells — so the matched design the reviewer asks about is intact. Exact binomial confidence intervals now accompany every win rate in the text and in Table 1.</w:t>
      </w:r>
    </w:p>
    <w:p>
      <w:r>
        <w:rPr>
          <w:b/>
        </w:rPr>
        <w:t xml:space="preserve">6. </w:t>
      </w:r>
      <w:r>
        <w:rPr>
          <w:i/>
        </w:rPr>
        <w:t>Explain how temperature was set for GPT-5.1; state the model variant and API.</w:t>
      </w:r>
    </w:p>
    <w:p>
      <w:pPr>
        <w:ind w:left="480"/>
      </w:pPr>
      <w:r>
        <w:rPr>
          <w:b/>
        </w:rPr>
        <w:t xml:space="preserve">Response: </w:t>
      </w:r>
      <w:r>
        <w:t>As noted under comment 3, we now disclose that the API applied a fixed default temperature to GPT-5.1, so the 0.3/0.4/0.5 labels were nominal for that model; we treat the runs as replicates and report no temperature-level analysis for GPT-5.1. The exact model identifiers used through the OpenAI API are stated, with the caveat that these are provider-managed aliases.</w:t>
      </w:r>
    </w:p>
    <w:p>
      <w:r>
        <w:rPr>
          <w:b/>
        </w:rPr>
        <w:t xml:space="preserve">7. </w:t>
      </w:r>
      <w:r>
        <w:rPr>
          <w:i/>
        </w:rPr>
        <w:t>State the training cutoffs and cite the model cards.</w:t>
      </w:r>
    </w:p>
    <w:p>
      <w:pPr>
        <w:ind w:left="480"/>
      </w:pPr>
      <w:r>
        <w:rPr>
          <w:b/>
        </w:rPr>
        <w:t xml:space="preserve">Response: </w:t>
      </w:r>
      <w:r>
        <w:t>The assumed knowledge cutoffs are now stated — October 2023 for GPT-4o and GPT-4o-mini and September 30, 2024 for GPT-5.1 — and cited to a maintained compilation of vendor-documented cutoff dates, since the vendor’s own public documentation is inconsistent. We give the resulting valid window range for each model, and note that GPT-5.1 windows begin in October 2024, a conservative one-month buffer beyond its cutoff.</w:t>
      </w:r>
    </w:p>
    <w:p>
      <w:r>
        <w:rPr>
          <w:b/>
        </w:rPr>
        <w:t xml:space="preserve">8. </w:t>
      </w:r>
      <w:r>
        <w:rPr>
          <w:i/>
        </w:rPr>
        <w:t>Establish that the news and reports were available on each decision date (the input-side lookahead question).</w:t>
      </w:r>
    </w:p>
    <w:p>
      <w:pPr>
        <w:ind w:left="480"/>
      </w:pPr>
      <w:r>
        <w:rPr>
          <w:b/>
        </w:rPr>
        <w:t xml:space="preserve">Response: The Data Sources section now documents, for news, the provider (Alpha Vantage), the fixed 24-month pre-decision window, the timestamp convention (publication date parsed to UTC and compared date-only), and the de-duplication of syndicated stories by exact headline. For financial reports we have addressed the input-side lookahead question the reviewer raises directly, and we thank the reviewer for it: our previous wording said only that reports preceded the evaluation period, which did not distinguish the fiscal period end from the filing date. A report whose period ends before a decision but which was filed after it would indeed be lookahead. Reports are now admitted only if they were public strictly before the decision date. Availability is the later of (i) the fiscal period end plus the statutory filing deadline for that report type — 45 days for quarterly and 75 days for annual filings, the accelerated-filer limits, so the bound holds across the whole universe rather than only its largest constituents — and (ii) any filing or report date supplied by the source. Reports dated on the decision date itself are excluded, since filings accepted after 17:30 Eastern Time are disseminated the following business day. The Methods now state this rule, together with the report type and fiscal periods used. We also disclose in the Limitations that the source does not flag restatements or amendments: a restated figure carries the period end of the original filing, so it is treated as public from that original date even though the corrected values appeared later.</w:t>
      </w:r>
    </w:p>
    <w:p>
      <w:r>
        <w:rPr>
          <w:b/>
        </w:rPr>
        <w:t xml:space="preserve">9. </w:t>
      </w:r>
      <w:r>
        <w:rPr>
          <w:i/>
        </w:rPr>
        <w:t>The benchmark is stacked; add sector benchmarks and random portfolios, and repeat the headline with the top contributor and semiconductors removed.</w:t>
      </w:r>
    </w:p>
    <w:p>
      <w:pPr>
        <w:ind w:left="480"/>
      </w:pPr>
      <w:r>
        <w:rPr>
          <w:b/>
        </w:rPr>
        <w:t xml:space="preserve">Response: The abstract has been rewritten to lead with the matched-baseline result and its confidence interval, to demote the S&amp;P 500 comparison to context, and to attribute the effect to the size of the initial candidate pool rather than to the number of companies eliminated between stages. A new Results subsection reports beat rates against the S&amp;P 500 Information Technology index (XLK), semiconductors (SMH), and an equal-weighted portfolio of the eligible universe, together with random matched-holding-count portfolios. The moderate configurations beat the equal-weighted universe and the random draws while the unfiltered baseline does not, isolating selection skill from sector exposure. We also repeat the headline with the single largest contributor removed and with semiconductors excluded, and report that the absolute returns are concentrated in a few semiconductor names while the matched filtering edge remains positive. On the point-in-time construction of the comparison set: every one of its 29 constituents was continuously listed on a US exchange across the full evaluation span, so no member was acquired or delisted during the study period and the benchmark needs no reconstruction on that account. We now state this in the text, together with the residual exposure that remains — omission of companies that were large-capitalisation technology names at the earliest window starts but no longer qualify — and note that the set does retain constituents whose prices declined materially, so it is not a selection of winners only.</w:t>
      </w:r>
    </w:p>
    <w:p>
      <w:r>
        <w:rPr>
          <w:b/>
        </w:rPr>
        <w:t xml:space="preserve">10. </w:t>
      </w:r>
      <w:r>
        <w:rPr>
          <w:i/>
        </w:rPr>
        <w:t>The unfiltered baseline is handicapped; report token counts and rebuild the comparison as a controlled set of arms that separate ordering, elimination, and context length.</w:t>
      </w:r>
    </w:p>
    <w:p>
      <w:pPr>
        <w:ind w:left="480"/>
      </w:pPr>
      <w:r>
        <w:rPr>
          <w:b/>
        </w:rPr>
        <w:t xml:space="preserve">Response: We rebuilt the comparison as a controlled six-arm ablation on the flagship configuration (GPT-5.1, 20→10) across all nine evaluation windows, holding the documents fixed and logging per-condition token counts. In re-checking these figures against the run files for this revision we found that our first summary overstated two of them, and we have corrected the manuscript accordingly. The corrected results: the full pipeline is the best arm (mean ROI 52.4%); paired by window it beats the shuffled-reports variant in nine of nine windows (mean +9.3 percentage points, Wilcoxon p = 0.004) and the hold-all variant in seven of nine (+5.6 points, p = 0.055), while its advantage over the budget-matched single-pass variant (+5.0 points, six of nine windows, p = 0.055) and over the no-elimination variant (+3.7 points, five of nine, p = 0.570) does not reach significance at this sample size. Cell depth is two to four independent generations rather than a uniform three. The substantive conclusion is unchanged and now stated more carefully: context length is not the driver, since a single prompt carrying the same or more material does not outperform the staged pipeline, and shuffling the financial reports produces the largest and only unambiguous degradation, indicating that the report-validation stage carries genuine signal. The ablation, the token counts, and the full paired statistics appear in a Results subsection and in Supplementary Tables S5a and S5b.</w:t>
      </w:r>
    </w:p>
    <w:p>
      <w:r>
        <w:rPr>
          <w:b/>
        </w:rPr>
        <w:t xml:space="preserve">11. </w:t>
      </w:r>
      <w:r>
        <w:rPr>
          <w:i/>
        </w:rPr>
        <w:t>Define the universe and defend it against survivorship bias; the 14.9% “unclassified” weight does not square with a fixed universe.</w:t>
      </w:r>
    </w:p>
    <w:p>
      <w:pPr>
        <w:ind w:left="480"/>
      </w:pPr>
      <w:r>
        <w:rPr>
          <w:b/>
        </w:rPr>
        <w:t xml:space="preserve">Response: </w:t>
      </w:r>
      <w:r>
        <w:t>We have clarified an important point that was previously implicit: the model is not restricted to a predefined ticker list. In every filtered configuration it proposes candidates freely from the screened news, so the effective universe is open and emerges from contemporaneous coverage rather than a curated survivor list — which is precisely why some allocated weight falls outside any fixed classification. The fixed ticker set is used only for the unfiltered baseline and as the eligible comparison set for the benchmark analyses. This removes the survivorship concern for the main pipeline, and the Scope section now states it explicitly.</w:t>
      </w:r>
    </w:p>
    <w:p>
      <w:r>
        <w:rPr>
          <w:b/>
        </w:rPr>
        <w:t xml:space="preserve">12. </w:t>
      </w:r>
      <w:r>
        <w:rPr>
          <w:i/>
        </w:rPr>
        <w:t>Inconsistent numbers: 47.0% in the text versus 46.5%/47.5% in Table 1; list which configurations enter each average.</w:t>
      </w:r>
    </w:p>
    <w:p>
      <w:pPr>
        <w:ind w:left="480"/>
      </w:pPr>
      <w:r>
        <w:rPr>
          <w:b/>
        </w:rPr>
        <w:t xml:space="preserve">Response: </w:t>
      </w:r>
      <w:r>
        <w:t>These figures are reconciled: 47.0% is the run-weighted mean across all GPT-5.1 runs, 46.5% is the unweighted mean of the ten per-configuration means, and 47.5% is the mean over the eight fixed-pool configurations. The text now states all three explicitly and identifies which configurations enter each, and all reported numbers are regenerated from a single frozen dataset.</w:t>
      </w:r>
    </w:p>
    <w:p>
      <w:r>
        <w:rPr>
          <w:b/>
        </w:rPr>
        <w:t xml:space="preserve">13. </w:t>
      </w:r>
      <w:r>
        <w:rPr>
          <w:i/>
        </w:rPr>
        <w:t>An investing paper needs risk numbers; the daily series can be rebuilt.</w:t>
      </w:r>
    </w:p>
    <w:p>
      <w:pPr>
        <w:ind w:left="480"/>
      </w:pPr>
      <w:r>
        <w:rPr>
          <w:b/>
        </w:rPr>
        <w:t xml:space="preserve">Response: We reconstructed the per-portfolio daily value series from public adjusted closing prices and now report annualized volatility, maximum drawdown, and Sharpe, Sortino, and Calmar ratios. For GPT-5.1, the best configuration (20→10) earns a median Sharpe of 1.99 and Sortino of 2.69, against 1.49 and 2.10 for the unfiltered baseline and roughly 0.83 for the S&amp;P 500; volatility and drawdown are similar across configurations, so the return gains are not obtained by taking proportionally more risk. Full per-configuration risk statistics for all three models appear in Supplementary Table S4. A small number of runs (29, about 1%) had price series covering fewer than 200 trading days; annualising so short a series inflates the ratios, so these are excluded from the reported risk statistics and the exclusion is stated in the Supplementary Information.</w:t>
      </w:r>
    </w:p>
    <w:p>
      <w:r>
        <w:rPr>
          <w:b/>
        </w:rPr>
        <w:t xml:space="preserve">14. </w:t>
      </w:r>
      <w:r>
        <w:rPr>
          <w:i/>
        </w:rPr>
        <w:t>The supplementary material is cited but absent.</w:t>
      </w:r>
    </w:p>
    <w:p>
      <w:pPr>
        <w:ind w:left="480"/>
      </w:pPr>
      <w:r>
        <w:rPr>
          <w:b/>
        </w:rPr>
        <w:t xml:space="preserve">Response: The Supplementary Information is now included with the submission. It contains the evaluation-window list (S1); full run accounting from generated files through to the analysed set, with incomplete-run rates by model and by window (S2); per-cell run counts by model, window, and configuration, showing no empty cells (S3); per-configuration performance and risk statistics for all three models (S4); the component ablation with paired tests (S5); and the screening, Stage One, Stage Two, unfiltered-baseline and integrated-strategy prompts (S6). The cross-model figures the reviewer could not check are in Table S4.</w:t>
      </w:r>
    </w:p>
    <w:p>
      <w:r>
        <w:rPr>
          <w:b/>
        </w:rPr>
        <w:t xml:space="preserve">15. </w:t>
      </w:r>
      <w:r>
        <w:rPr>
          <w:i/>
        </w:rPr>
        <w:t>The 2× rule overstates the grid; present it as a hypothesis, and Figure 2’s averaging confounds pool size with holding count.</w:t>
      </w:r>
    </w:p>
    <w:p>
      <w:pPr>
        <w:ind w:left="480"/>
      </w:pPr>
      <w:r>
        <w:rPr>
          <w:b/>
        </w:rPr>
        <w:t xml:space="preserve">Response: </w:t>
      </w:r>
      <w:r>
        <w:t>All “2× rule” language has been softened to a working hypothesis consistent with the tested grid, and the text now notes that the inverted-U figure averages configurations that carry different mixes of final portfolio sizes, so the curve should not be read as a dose-response in pool size.</w:t>
      </w:r>
    </w:p>
    <w:p>
      <w:r>
        <w:rPr>
          <w:b/>
        </w:rPr>
        <w:t xml:space="preserve">16. </w:t>
      </w:r>
      <w:r>
        <w:rPr>
          <w:i/>
        </w:rPr>
        <w:t>Audit every citation against the specific claim, not merely the topic.</w:t>
      </w:r>
    </w:p>
    <w:p>
      <w:pPr>
        <w:ind w:left="480"/>
      </w:pPr>
      <w:r>
        <w:rPr>
          <w:b/>
        </w:rPr>
        <w:t xml:space="preserve">Response: </w:t>
      </w:r>
      <w:r>
        <w:t>This audit was performed in full; see the response to comment 2. Every in-text citation was checked against its specific claim and the actual source, and the corrections and renumbering follow from that audit.</w:t>
      </w:r>
    </w:p>
    <w:p/>
    <w:p>
      <w:r>
        <w:rPr>
          <w:rFonts w:ascii="Times New Roman" w:hAnsi="Times New Roman"/>
          <w:b/>
          <w:sz w:val="26"/>
        </w:rPr>
        <w:t>Major Issues – Recommended</w:t>
      </w:r>
    </w:p>
    <w:p>
      <w:r>
        <w:rPr>
          <w:b/>
        </w:rPr>
        <w:t xml:space="preserve">1. </w:t>
      </w:r>
      <w:r>
        <w:rPr>
          <w:i/>
        </w:rPr>
        <w:t>The 60.6% headline is the maximum over configurations evaluated on the same windows — mild data snooping.</w:t>
      </w:r>
    </w:p>
    <w:p>
      <w:pPr>
        <w:ind w:left="480"/>
      </w:pPr>
      <w:r>
        <w:rPr>
          <w:b/>
        </w:rPr>
        <w:t xml:space="preserve">Response: </w:t>
      </w:r>
      <w:r>
        <w:t>The Limitations now state plainly that the best configuration was selected as the maximum mean ROI across ten configurations on the same windows, so the headline figure carries selection inflation, and we identify the matched-baseline win rate and its confidence interval as the more conservative summary.</w:t>
      </w:r>
    </w:p>
    <w:p>
      <w:r>
        <w:rPr>
          <w:b/>
        </w:rPr>
        <w:t xml:space="preserve">2. </w:t>
      </w:r>
      <w:r>
        <w:rPr>
          <w:i/>
        </w:rPr>
        <w:t>Add paired-difference statistics.</w:t>
      </w:r>
    </w:p>
    <w:p>
      <w:pPr>
        <w:ind w:left="480"/>
      </w:pPr>
      <w:r>
        <w:rPr>
          <w:b/>
        </w:rPr>
        <w:t xml:space="preserve">Response: </w:t>
      </w:r>
      <w:r>
        <w:t>Done; the paired sign and Wilcoxon tests, with intervals on the median difference, are now reported for every configuration (see comment 3).</w:t>
      </w:r>
    </w:p>
    <w:p>
      <w:r>
        <w:rPr>
          <w:b/>
        </w:rPr>
        <w:t xml:space="preserve">3. </w:t>
      </w:r>
      <w:r>
        <w:rPr>
          <w:i/>
        </w:rPr>
        <w:t>Test whether the model’s allocation weights add anything.</w:t>
      </w:r>
    </w:p>
    <w:p>
      <w:pPr>
        <w:ind w:left="480"/>
      </w:pPr>
      <w:r>
        <w:rPr>
          <w:b/>
        </w:rPr>
        <w:t xml:space="preserve">Response: </w:t>
      </w:r>
      <w:r>
        <w:t>We re-scored every portfolio at equal weights. The model’s allocation weights cost GPT-5.1 about 4.6 percentage points of mean ROI relative to equal-weighting the same picks (Wilcoxon p &lt; 0.0001), indicating that the selection adds value while the position sizing does not. This is now reported.</w:t>
      </w:r>
    </w:p>
    <w:p>
      <w:r>
        <w:rPr>
          <w:b/>
        </w:rPr>
        <w:t xml:space="preserve">4. </w:t>
      </w:r>
      <w:r>
        <w:rPr>
          <w:i/>
        </w:rPr>
        <w:t>The padding mechanism is asserted, not shown.</w:t>
      </w:r>
    </w:p>
    <w:p>
      <w:pPr>
        <w:ind w:left="480"/>
      </w:pPr>
      <w:r>
        <w:rPr>
          <w:b/>
        </w:rPr>
        <w:t xml:space="preserve">Response: </w:t>
      </w:r>
      <w:r>
        <w:t>We now label the padding account explicitly as a hypothesis consistent with the observed pattern rather than a measured mechanism, and note the candidate-overlap analysis that would test it directly as future work.</w:t>
      </w:r>
    </w:p>
    <w:p>
      <w:r>
        <w:rPr>
          <w:b/>
        </w:rPr>
        <w:t xml:space="preserve">5. </w:t>
      </w:r>
      <w:r>
        <w:rPr>
          <w:i/>
        </w:rPr>
        <w:t>Validate the relevance screen.</w:t>
      </w:r>
    </w:p>
    <w:p>
      <w:pPr>
        <w:ind w:left="480"/>
      </w:pPr>
      <w:r>
        <w:rPr>
          <w:b/>
        </w:rPr>
        <w:t xml:space="preserve">Response: </w:t>
      </w:r>
      <w:r>
        <w:t>We validated the relevance screen against a blind, hand-labeled sample. We first report the screen's pass rate: in a representative run it retained 110 of 1,382 collected articles (8.0%). We then blind-labeled a stratified sample of 180 of these articles (70 screen-passed, 110 screen-rejected) without access to the screen's decisions and computed precision, recall (re-weighted to the 8.0% population pass rate), and the false-omission rate. The screen's precision is 100% (95% Wilson CI 94.8–100%) — every article it passed was independently judged relevant — so it does not contaminate the downstream stages, which was the central concern raised. The screen is conservative (estimated recall 16%, false-omission rate 45%), reflecting a high relevance bar; we now report these figures and note the lower recall as a limitation in the News Article Relevance Screening section. Cohen's kappa = 0.17; because the passed class is rare, kappa understates agreement here, so we foreground precision and recall. The labeling sheet, the screen's decision key, and the scoring script are included in the reproducibility materials.</w:t>
      </w:r>
    </w:p>
    <w:p>
      <w:r>
        <w:rPr>
          <w:b/>
        </w:rPr>
        <w:t xml:space="preserve">6. </w:t>
      </w:r>
      <w:r>
        <w:rPr>
          <w:i/>
        </w:rPr>
        <w:t>Was the justification-consistency check ever applied?</w:t>
      </w:r>
    </w:p>
    <w:p>
      <w:pPr>
        <w:ind w:left="480"/>
      </w:pPr>
      <w:r>
        <w:rPr>
          <w:b/>
        </w:rPr>
        <w:t xml:space="preserve">Response: </w:t>
      </w:r>
      <w:r>
        <w:t>We now state plainly that in the reported runs this check operated as an audit rather than a filter and removed no recommendations.</w:t>
      </w:r>
    </w:p>
    <w:p>
      <w:r>
        <w:rPr>
          <w:b/>
        </w:rPr>
        <w:t xml:space="preserve">7. </w:t>
      </w:r>
      <w:r>
        <w:rPr>
          <w:i/>
        </w:rPr>
        <w:t>You promise temperature-level analyses for GPT-5.1 and never deliver one.</w:t>
      </w:r>
    </w:p>
    <w:p>
      <w:pPr>
        <w:ind w:left="480"/>
      </w:pPr>
      <w:r>
        <w:rPr>
          <w:b/>
        </w:rPr>
        <w:t xml:space="preserve">Response: </w:t>
      </w:r>
      <w:r>
        <w:t>The promise has been removed; as explained under comment 6, no temperature-level analysis is reported for GPT-5.1 because the API applied a fixed temperature.</w:t>
      </w:r>
    </w:p>
    <w:p>
      <w:r>
        <w:rPr>
          <w:b/>
        </w:rPr>
        <w:t xml:space="preserve">8. </w:t>
      </w:r>
      <w:r>
        <w:rPr>
          <w:i/>
        </w:rPr>
        <w:t>Pin down the return basis; adjusted close folds in dividends.</w:t>
      </w:r>
    </w:p>
    <w:p>
      <w:pPr>
        <w:ind w:left="480"/>
      </w:pPr>
      <w:r>
        <w:rPr>
          <w:b/>
        </w:rPr>
        <w:t xml:space="preserve">Response: </w:t>
      </w:r>
      <w:r>
        <w:t>The text now states that adjusted closing prices are used, so returns are total returns, and that the S&amp;P 500 comparison uses the SPY exchange-traded fund on the same adjusted-close basis, so the two are directly comparable and the excess-return figures are not inflated by a price-versus-total-return mismatch.</w:t>
      </w:r>
    </w:p>
    <w:p>
      <w:r>
        <w:rPr>
          <w:b/>
        </w:rPr>
        <w:t xml:space="preserve">9. </w:t>
      </w:r>
      <w:r>
        <w:rPr>
          <w:i/>
        </w:rPr>
        <w:t>“Alpha” here means raw excess return.</w:t>
      </w:r>
    </w:p>
    <w:p>
      <w:pPr>
        <w:ind w:left="480"/>
      </w:pPr>
      <w:r>
        <w:rPr>
          <w:b/>
        </w:rPr>
        <w:t xml:space="preserve">Response: </w:t>
      </w:r>
      <w:r>
        <w:t>Renamed throughout to “excess return,” with an explicit note that it is raw excess return over the index, not risk-adjusted alpha.</w:t>
      </w:r>
    </w:p>
    <w:p>
      <w:r>
        <w:rPr>
          <w:b/>
        </w:rPr>
        <w:t xml:space="preserve">10. </w:t>
      </w:r>
      <w:r>
        <w:rPr>
          <w:i/>
        </w:rPr>
        <w:t>Defend “long-term.”</w:t>
      </w:r>
    </w:p>
    <w:p>
      <w:pPr>
        <w:ind w:left="480"/>
      </w:pPr>
      <w:r>
        <w:rPr>
          <w:b/>
        </w:rPr>
        <w:t xml:space="preserve">Response: </w:t>
      </w:r>
      <w:r>
        <w:t>The Scope section now defines “long-term” as the 12-month buy-and-hold horizon — long relative to the intraday-to-quarterly horizons of the prior LLM-trading literature, though medium-term by traditional investing standards.</w:t>
      </w:r>
    </w:p>
    <w:p>
      <w:r>
        <w:rPr>
          <w:b/>
        </w:rPr>
        <w:t xml:space="preserve">11. </w:t>
      </w:r>
      <w:r>
        <w:rPr>
          <w:i/>
        </w:rPr>
        <w:t>“Conditions a real investor could reproduce” is too strong, since GPT-5.1 did not exist at the earlier dates.</w:t>
      </w:r>
    </w:p>
    <w:p>
      <w:pPr>
        <w:ind w:left="480"/>
      </w:pPr>
      <w:r>
        <w:rPr>
          <w:b/>
        </w:rPr>
        <w:t xml:space="preserve">Response: </w:t>
      </w:r>
      <w:r>
        <w:t>Rephrased as a forward-usable protocol, with an explicit note that the specific models were not themselves available at the earliest simulated decision dates.</w:t>
      </w:r>
    </w:p>
    <w:p>
      <w:r>
        <w:rPr>
          <w:b/>
        </w:rPr>
        <w:t xml:space="preserve">12. </w:t>
      </w:r>
      <w:r>
        <w:rPr>
          <w:i/>
        </w:rPr>
        <w:t>Define the sector-contribution metric behind Figure 8.</w:t>
      </w:r>
    </w:p>
    <w:p>
      <w:pPr>
        <w:ind w:left="480"/>
      </w:pPr>
      <w:r>
        <w:rPr>
          <w:b/>
        </w:rPr>
        <w:t xml:space="preserve">Response: </w:t>
      </w:r>
      <w:r>
        <w:t>The metric is now defined: a sector's share of realized return is the sum over its holdings of each position's initial weight times its window return, divided by the portfolio's total return, with both quantities pooled (summed) across runs (equivalently, averaged, since the per-run count cancels); because contributions can be negative, a sector's return share can exceed or fall below its weight share, and the shares sum to 100% by construction.</w:t>
      </w:r>
    </w:p>
    <w:p>
      <w:r>
        <w:rPr>
          <w:b/>
        </w:rPr>
        <w:t xml:space="preserve">13. </w:t>
      </w:r>
      <w:r>
        <w:rPr>
          <w:i/>
        </w:rPr>
        <w:t>Keep the Results descriptive; move the causal story and caption “Takeaways” to the Discussion.</w:t>
      </w:r>
    </w:p>
    <w:p>
      <w:pPr>
        <w:ind w:left="480"/>
      </w:pPr>
      <w:r>
        <w:rPr>
          <w:b/>
        </w:rPr>
        <w:t xml:space="preserve">Response: </w:t>
      </w:r>
      <w:r>
        <w:t>The “Takeaway” sentences have been removed from the figure captions, and the bolded slogans that opened the Results have been folded into ordinary prose.</w:t>
      </w:r>
    </w:p>
    <w:p>
      <w:r>
        <w:rPr>
          <w:b/>
        </w:rPr>
        <w:t xml:space="preserve">14. </w:t>
      </w:r>
      <w:r>
        <w:rPr>
          <w:i/>
        </w:rPr>
        <w:t>Add a data and code availability statement.</w:t>
      </w:r>
    </w:p>
    <w:p>
      <w:pPr>
        <w:ind w:left="480"/>
      </w:pPr>
      <w:r>
        <w:rPr>
          <w:b/>
        </w:rPr>
        <w:t>Response: A Data and Code Availability section has been added before the References. It now states that the following materials are made publicly available at [repository URL] upon acceptance: the screening, Stage One, Stage Two, and unfiltered and Ranked baseline prompts; the full evaluation-window list; the per-cell run outputs (tickers, weights, and dates for every run); and the analysis scripts, including the paired-difference tests and the risk-metric and benchmark reconstructions. This directly addresses the reproducibility gaps raised in Major issues 5 and 8: releasing the prompts, window list, and run outputs lets the pipeline and every reported statistic be reconstructed independently. Alpha Vantage news and financial-report content is not redistributed, in keeping with its terms of use; the retrieval queries and date conventions required to rebuild the corpora are documented in the Methods.</w:t>
      </w:r>
      <w:r/>
    </w:p>
    <w:p/>
    <w:p>
      <w:r>
        <w:rPr>
          <w:rFonts w:ascii="Times New Roman" w:hAnsi="Times New Roman"/>
          <w:b/>
          <w:sz w:val="26"/>
        </w:rPr>
        <w:t>Minor Issues</w:t>
      </w:r>
    </w:p>
    <w:p>
      <w:r>
        <w:rPr>
          <w:b/>
        </w:rPr>
        <w:t xml:space="preserve">1. </w:t>
      </w:r>
      <w:r>
        <w:rPr>
          <w:i/>
        </w:rPr>
        <w:t>Two sentences carry leftover yellow highlighting.</w:t>
      </w:r>
    </w:p>
    <w:p>
      <w:pPr>
        <w:ind w:left="480"/>
      </w:pPr>
      <w:r>
        <w:rPr>
          <w:b/>
        </w:rPr>
        <w:t xml:space="preserve">Response: </w:t>
      </w:r>
      <w:r>
        <w:t>Removed.</w:t>
      </w:r>
    </w:p>
    <w:p>
      <w:r>
        <w:rPr>
          <w:b/>
        </w:rPr>
        <w:t xml:space="preserve">2. </w:t>
      </w:r>
      <w:r>
        <w:rPr>
          <w:i/>
        </w:rPr>
        <w:t>Stray bold survives mid-sentence in the sentiment section.</w:t>
      </w:r>
    </w:p>
    <w:p>
      <w:pPr>
        <w:ind w:left="480"/>
      </w:pPr>
      <w:r>
        <w:rPr>
          <w:b/>
        </w:rPr>
        <w:t xml:space="preserve">Response: </w:t>
      </w:r>
      <w:r>
        <w:t>Removed.</w:t>
      </w:r>
    </w:p>
    <w:p>
      <w:r>
        <w:rPr>
          <w:b/>
        </w:rPr>
        <w:t xml:space="preserve">3. </w:t>
      </w:r>
      <w:r>
        <w:rPr>
          <w:i/>
        </w:rPr>
        <w:t>Inconsistent referencing style; “Li et al. (2025)” uses author-date, and the FINSABER paragraph lacks a citation.</w:t>
      </w:r>
    </w:p>
    <w:p>
      <w:pPr>
        <w:ind w:left="480"/>
      </w:pPr>
      <w:r>
        <w:rPr>
          <w:b/>
        </w:rPr>
        <w:t xml:space="preserve">Response: </w:t>
      </w:r>
      <w:r>
        <w:t>All in-text citations now use numeric superscripts. The author-date instance was removed and the FINSABER paragraph now carries its citation.</w:t>
      </w:r>
    </w:p>
    <w:p>
      <w:r>
        <w:rPr>
          <w:b/>
        </w:rPr>
        <w:t xml:space="preserve">4. </w:t>
      </w:r>
      <w:r>
        <w:rPr>
          <w:i/>
        </w:rPr>
        <w:t>Reference details need cleaning (arXiv vs. publication DOIs, wrong links, missing DOIs).</w:t>
      </w:r>
    </w:p>
    <w:p>
      <w:pPr>
        <w:ind w:left="480"/>
      </w:pPr>
      <w:r>
        <w:rPr>
          <w:b/>
        </w:rPr>
        <w:t xml:space="preserve">Response: </w:t>
      </w:r>
      <w:r>
        <w:t>The reference list has been cleaned: published venues and DOIs now replace the arXiv preprint DOIs where a formal publication exists (including the journal, IJCAI, ACL, KDD, AAAI, and SIGIR versions), incorrect links have been corrected, and missing DOIs added.</w:t>
      </w:r>
    </w:p>
    <w:p>
      <w:r>
        <w:rPr>
          <w:b/>
        </w:rPr>
        <w:t xml:space="preserve">5. </w:t>
      </w:r>
      <w:r>
        <w:rPr>
          <w:i/>
        </w:rPr>
        <w:t>Figure captions are inconsistently formatted.</w:t>
      </w:r>
    </w:p>
    <w:p>
      <w:pPr>
        <w:ind w:left="480"/>
      </w:pPr>
      <w:r>
        <w:rPr>
          <w:b/>
        </w:rPr>
        <w:t xml:space="preserve">Response: </w:t>
      </w:r>
      <w:r>
        <w:t>All figure and table captions have been normalized to a consistent “Figure N.” / “Table N.” style, sequentially numbered and referenced in the text.</w:t>
      </w:r>
    </w:p>
    <w:p>
      <w:r>
        <w:rPr>
          <w:b/>
        </w:rPr>
        <w:t xml:space="preserve">6. </w:t>
      </w:r>
      <w:r>
        <w:rPr>
          <w:i/>
        </w:rPr>
        <w:t>Figure 2 repeats the curve in Figure 7, and Table 1 repeats the win rates in Figure 4.</w:t>
      </w:r>
    </w:p>
    <w:p>
      <w:pPr>
        <w:ind w:left="480"/>
      </w:pPr>
      <w:r>
        <w:rPr>
          <w:b/>
        </w:rPr>
        <w:t xml:space="preserve">Response: </w:t>
      </w:r>
      <w:r>
        <w:t>The duplicate GPT-5.1 pool-size curve (former Figure 2) has been removed and the remaining figures renumbered; Table 1 is retained because it additionally reports the confidence intervals that the corresponding figure does not.</w:t>
      </w:r>
    </w:p>
    <w:p>
      <w:r>
        <w:rPr>
          <w:b/>
        </w:rPr>
        <w:t xml:space="preserve">7. </w:t>
      </w:r>
      <w:r>
        <w:rPr>
          <w:i/>
        </w:rPr>
        <w:t>Figure 1 does not show where X and Y enter the pipeline, and omits the unfiltered and Ranked variants.</w:t>
      </w:r>
    </w:p>
    <w:p>
      <w:pPr>
        <w:ind w:left="480"/>
      </w:pPr>
      <w:r>
        <w:rPr>
          <w:b/>
        </w:rPr>
        <w:t xml:space="preserve">Response: </w:t>
      </w:r>
      <w:r>
        <w:t>The Figure 1 caption now defines the X→Y notation — Stage One identifies X candidates from news, Stage Two narrows them to the Y-stock portfolio — and identifies the unfiltered single-pass baseline and the Ranked variant.</w:t>
      </w:r>
    </w:p>
    <w:p>
      <w:r>
        <w:rPr>
          <w:b/>
        </w:rPr>
        <w:t xml:space="preserve">8. </w:t>
      </w:r>
      <w:r>
        <w:rPr>
          <w:i/>
        </w:rPr>
        <w:t>The bolded slogans opening the Results read like a blog post.</w:t>
      </w:r>
    </w:p>
    <w:p>
      <w:pPr>
        <w:ind w:left="480"/>
      </w:pPr>
      <w:r>
        <w:rPr>
          <w:b/>
        </w:rPr>
        <w:t xml:space="preserve">Response: </w:t>
      </w:r>
      <w:r>
        <w:t>Folded into ordinary prose (see Recommended comment 13).</w:t>
      </w:r>
    </w:p>
    <w:p>
      <w:r>
        <w:rPr>
          <w:b/>
        </w:rPr>
        <w:t xml:space="preserve">9. </w:t>
      </w:r>
      <w:r>
        <w:rPr>
          <w:i/>
        </w:rPr>
        <w:t>The keyword list includes GPT-5.1, which will age fast.</w:t>
      </w:r>
    </w:p>
    <w:p>
      <w:pPr>
        <w:ind w:left="480"/>
      </w:pPr>
      <w:r>
        <w:rPr>
          <w:b/>
        </w:rPr>
        <w:t xml:space="preserve">Response: </w:t>
      </w:r>
      <w:r>
        <w:t>Replaced with “information structuring.”</w:t>
      </w:r>
    </w:p>
    <w:p>
      <w:r>
        <w:rPr>
          <w:b/>
        </w:rPr>
        <w:t xml:space="preserve">10. </w:t>
      </w:r>
      <w:r>
        <w:rPr>
          <w:i/>
        </w:rPr>
        <w:t>Many sentences chain three or more clauses with long dashes.</w:t>
      </w:r>
    </w:p>
    <w:p>
      <w:pPr>
        <w:ind w:left="480"/>
      </w:pPr>
      <w:r>
        <w:rPr>
          <w:b/>
        </w:rPr>
        <w:t xml:space="preserve">Response: </w:t>
      </w:r>
      <w:r>
        <w:t>The most dash-heavy sentences, including the Objectives, have been split or de-chained for readability.</w:t>
      </w:r>
    </w:p>
    <w:p>
      <w:r>
        <w:rPr>
          <w:b/>
        </w:rPr>
        <w:t xml:space="preserve">11. </w:t>
      </w:r>
      <w:r>
        <w:rPr>
          <w:i/>
        </w:rPr>
        <w:t>The “Methodology Overview” subsection repeats the opening of the Methods.</w:t>
      </w:r>
    </w:p>
    <w:p>
      <w:pPr>
        <w:ind w:left="480"/>
      </w:pPr>
      <w:r>
        <w:rPr>
          <w:b/>
        </w:rPr>
        <w:t xml:space="preserve">Response: </w:t>
      </w:r>
      <w:r>
        <w:t>The duplicate subsection has been removed.</w:t>
      </w:r>
    </w:p>
    <w:p/>
    <w:p>
      <w:r>
        <w:rPr>
          <w:rFonts w:ascii="Times New Roman" w:hAnsi="Times New Roman"/>
          <w:i w:val="0"/>
          <w:sz w:val="24"/>
        </w:rPr>
        <w:t>We are grateful for the reviewer’s time and believe the manuscript is substantially improved as a result. We hope the revised version is now suitable for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