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bCs/>
          <w:color w:val="auto"/>
          <w:sz w:val="40"/>
          <w:szCs w:val="40"/>
        </w:rPr>
      </w:pPr>
      <w:r>
        <w:rPr>
          <w:b/>
          <w:bCs/>
          <w:color w:val="auto"/>
          <w:sz w:val="32"/>
          <w:szCs w:val="32"/>
        </w:rPr>
        <w:t>Improving the Performance of Long-Term Stock Investments with a Two-Stage LLM Filtering Framework</w:t>
      </w:r>
    </w:p>
    <w:p w14:paraId="0B612DA1" w14:textId="77777777" w:rsidR="00557FAC" w:rsidRDefault="00824C87">
      <w:pPr>
        <w:pStyle w:val="Heading1"/>
        <w:keepNext/>
        <w:keepLines/>
      </w:pPr>
      <w:r>
        <w:t>Abstract</w:t>
      </w:r>
    </w:p>
    <w:p w14:paraId="2A201E94" w14:textId="77777777" w:rsidR="00557FAC" w:rsidRDefault="00824C87">
      <w:pPr>
        <w:spacing w:before="40" w:after="40"/>
        <w:jc w:val="both"/>
        <w:sectPr w:rsidR="00557FAC">
          <w:footerReference w:type="default" r:id="rId7"/>
          <w:headerReference w:type="first" r:id="rId8"/>
          <w:footerReference w:type="first" r:id="rId9"/>
          <w:pgSz w:w="12240" w:h="15840"/>
          <w:pgMar w:top="1080" w:right="1080" w:bottom="1080" w:left="1080" w:header="708" w:footer="708" w:gutter="0"/>
          <w:pgNumType w:start="1"/>
          <w:cols w:space="720"/>
        </w:sectPr>
      </w:pPr>
      <w:r>
        <w:t>Large language models (LLMs) are increasingly applied to investment strategy, but most existing systems ingest news and financial reports in a single prompt, an approach that can introduce noise and dilute relevant signals. We develop a two-stage sequential filtering framework in which news articles first nominate a candidate stock pool and financial reports then validate and refine that pool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and beat the matched baseline in 22 of 27 window comparisons (81.5%; exact 95% CI 61.9–93.7%). The effect is driven primarily by the size of the initial candidate pool: moderate pools of ten to 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These results indicate that the structural organization of information is a first-class design variable for LLM-based investment systems.</w:t>
      </w:r>
    </w:p>
    <w:p w14:paraId="2D41EA3C" w14:textId="77777777" w:rsidR="00557FAC" w:rsidRDefault="00824C87">
      <w:pPr>
        <w:spacing w:before="40" w:after="40"/>
        <w:jc w:val="both"/>
      </w:pPr>
      <w:r>
        <w:t>Keywords: large language models, investment strategy, two-stage filtering, portfolio construction, financial news analysis, information structuring</w:t>
      </w:r>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
      <w:r>
        <w:t>Introduction</w:t>
      </w:r>
    </w:p>
    <w:p w14:paraId="406EDE81" w14:textId="77777777" w:rsidR="00557FAC" w:rsidRDefault="00824C87">
      <w:pPr>
        <w:pStyle w:val="Heading2"/>
        <w:keepNext/>
        <w:keepLines/>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((S. An, Q. Li, J. Lu, D. Yin, X. Sun. FinVerse: an autonomous agent system for versatile financial analysis. arXiv, 2024, https://doi.org/10.48550/arXiv.2406.06379.))</w:t>
      </w:r>
      <w:r>
        <w:t>. Capitalizing on their natural language understanding capabilities, LLMs are increasingly applied to financial markets to generate directional signals—buy, hold, or sell recommendations—by synthesizing information from news, earnings reports, and regulatory filings</w:t>
      </w:r>
      <w:r>
        <w:t xml:space="preserve"> ((A. Lopez-Lira, Y. Tang. Can ChatGPT forecast stock price movements? return predictability and large language models. SSRN. 2023, https://doi.org/10.2139/ssrn.4412788.))</w:t>
      </w:r>
      <w:r>
        <w:rPr>
          <w:vertAlign w:val="superscript"/>
        </w:rPr>
        <w:t xml:space="preserve">,</w:t>
      </w:r>
      <w:r>
        <w:t xml:space="preserve"> ((Y. Xiao, E. Sun, D. Luo, W. Wang. TradingAgents: multi-agents LLM financial trading framework. arXiv, 2024, https://doi.org/10.48550/arXiv.2412.20138.))</w:t>
      </w:r>
      <w:r>
        <w:rPr>
          <w:vertAlign w:val="superscript"/>
        </w:rPr>
        <w:t xml:space="preserve">,</w:t>
      </w:r>
      <w:r>
        <w:t xml:space="preserve"> ((H. Ding, Y. Li, J. Wang, H. Chen. Large language model agent in financial trading: a survey. arXiv, 2024, https://doi.org/10.48550/arXiv.2408.06361.))</w:t>
      </w:r>
      <w:r>
        <w:t>.</w:t>
      </w:r>
    </w:p>
    <w:p w14:paraId="4E45DE95" w14:textId="77777777" w:rsidR="00557FAC" w:rsidRDefault="00824C87">
      <w:pPr>
        <w:spacing w:before="40" w:after="40"/>
        <w:jc w:val="both"/>
      </w:pPr>
      <w:r>
        <w:t>The bulk of existing LLM-based investment research focuses on short-term trading horizons—high-frequency trading or single-day price prediction</w:t>
      </w:r>
      <w:r>
        <w:t xml:space="preserve"> ((A. Lopez-Lira, Y. Tang. Can ChatGPT forecast stock price movements? return predictability and large language models. SSRN. 2023, https://doi.org/10.2139/ssrn.4412788.))</w:t>
      </w:r>
      <w:r>
        <w:rPr>
          <w:vertAlign w:val="superscript"/>
        </w:rPr>
        <w:t xml:space="preserve">,</w:t>
      </w:r>
      <w:r>
        <w:t xml:space="preserve"> ((Y. Xiao, E. Sun, D. Luo, W. Wang. TradingAgents: multi-agents LLM financial trading framework. arXiv, 2024, https://doi.org/10.48550/arXiv.2412.20138.))</w:t>
      </w:r>
      <w:r>
        <w:rPr>
          <w:vertAlign w:val="superscript"/>
        </w:rPr>
        <w:t xml:space="preserve">,</w:t>
      </w:r>
      <w:r>
        <w:t xml:space="preserve"> ((W. W. Li, H. Kim, M. Cucuringu, T. Ma. Can LLM-based financial investing strategies outperform the market in the long run? arXiv, 2025, https://doi.org/10.48550/arXiv.2505.07078.))</w:t>
      </w:r>
      <w:r>
        <w:t>. A growing subset of work has begun exploring longer horizons</w:t>
      </w:r>
      <w:r>
        <w:t xml:space="preserve"> ((W. W. Li, H. Kim, M. Cucuringu, T. Ma. Can LLM-based financial investing strategies outperform the market in the long run? arXiv, 2025, https://doi.org/10.48550/arXiv.2505.07078.))</w:t>
      </w:r>
      <w:r>
        <w:rPr>
          <w:vertAlign w:val="superscript"/>
        </w:rPr>
        <w:t xml:space="preserve">,</w:t>
      </w:r>
      <w:r>
        <w:t xml:space="preserve"> ((D. Blitz, M. X. Hanauer, T. Hoogteijling, C. Howard. The term structure of machine learning alpha. The Journal of Financial Data Science. Vol. 5, pg. 40–65, 2023, https://doi.org/10.3905/jfds.2023.1.135.))</w:t>
      </w:r>
      <w:r>
        <w:t xml:space="preserve">, but this literature remains limited in scope: most studies do not guard against lookahead bias by restricting the model to information available at the simulated investment date, and </w:t>
      </w:r>
      <w:r>
        <w:t>few target holding periods exceeding one quarter. Long-term investing, by contrast, demands sustained reasoning over extended horizons—a domain traditionally reserved for human analysts who synthesize broad macroeconomic insights, qualitative judgment, and multi-year strategic perspectives</w:t>
      </w:r>
      <w:r>
        <w:t xml:space="preserve"> ((W. W. Li, H. Kim, M. Cucuringu, T. Ma. Can LLM-based financial investing strategies outperform the market in the long run? arXiv, 2025, https://doi.org/10.48550/arXiv.2505.07078.))</w:t>
      </w:r>
      <w:r>
        <w:t>. This gap motivates the present work: we investigate whether a structured LLM pipeline can generate reliable investment strategies over 12-month holding periods under a forward-usable protocol: every decision uses only information available at that decision date, with no look-ahead into future data. The models themselves postdate the earliest simulated decision dates, so it is the protocol, not the specific model, that transfers.</w:t>
      </w:r>
    </w:p>
    <w:p w14:paraId="6978CF78" w14:textId="77777777" w:rsidR="00557FAC" w:rsidRDefault="00824C87">
      <w:pPr>
        <w:spacing w:before="40" w:after="40"/>
        <w:jc w:val="both"/>
      </w:pPr>
      <w:r>
        <w:t>Large language models have emerged as transformative tools in finance. Their capacity for summarization</w:t>
      </w:r>
      <w:r>
        <w:t xml:space="preserve"> ((G. Lu, S. B. Larcher, T. Tran. Hybrid long document summarization using C2F-FAR and ChatGPT: a practical study. arXiv, 2023, https://doi.org/10.48550/arXiv.2306.01169.))</w:t>
      </w:r>
      <w:r>
        <w:t>, information extraction, and natural language generation suits applications such as market trend monitoring, risk factor identification, and investment decision support</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((S. An, Q. Li, J. Lu, D. Yin, X. Sun. FinVerse: an autonomous agent system for versatile financial analysis. arXiv, 2024, https://doi.org/10.48550/arXiv.2406.06379.))</w:t>
      </w:r>
      <w:r>
        <w:t xml:space="preserve">. As LLMs have scaled, their </w:t>
      </w:r>
      <w:r>
        <w:lastRenderedPageBreak/>
        <w:t>ability to process complex, heterogeneous financial datasets has grown substantially</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((H. Naveed, A. U. Khan, S. Qiu, M. Saqib, S. Anwar, M. Usman, N. Akhtar, N. Barnes, A. Mian. A comprehensive overview of large language models. ACM Transactions on Intelligent Systems and Technology. Vol. 16, no. 5, 2025, https://doi.org/10.1145/3744746.))</w:t>
      </w:r>
      <w:r>
        <w:t>, but this capability brings interpretability challenges: model opacity makes it difficult to audit whether outputs reflect genuine financial reasoning or spurious correlations from pre-training</w:t>
      </w:r>
      <w:r>
        <w:t xml:space="preserve"> ((B. Cao, S. Wang, X. Lin, X. Wu, H. Zhang, L. M. Ni, J. Guo. From deep learning to LLMs: a survey of AI in quantitative investment. arXiv, 2025, https://doi.org/10.48550/arXiv.2503.21422.))</w:t>
      </w:r>
      <w:r>
        <w:rPr>
          <w:vertAlign w:val="superscript"/>
        </w:rPr>
        <w:t xml:space="preserve">,</w:t>
      </w:r>
      <w:r>
        <w:t xml:space="preserve"> ((I. Mirzadeh, K. Alizadeh, H. Shahrokhi, O. Tuzel, S. Bengio, M. Farajtabar. GSM-symbolic: understanding the limitations of mathematical reasoning in large language models. International Conference on Learning Representations (ICLR 2025). 2025, https://openreview.net/forum?id=AjXkRZIvjB.))</w:t>
      </w:r>
      <w:r>
        <w:t>. Because undetected biases can propagate into consequential financial decisions</w:t>
      </w:r>
      <w:r>
        <w:t xml:space="preserve"> ((B. Cao, S. Wang, X. Lin, X. Wu, H. Zhang, L. M. Ni, J. Guo. From deep learning to LLMs: a survey of AI in quantitative investment. arXiv, 2025, https://doi.org/10.48550/arXiv.2503.21422.))</w:t>
      </w:r>
      <w:r>
        <w:rPr>
          <w:vertAlign w:val="superscript"/>
        </w:rPr>
        <w:t xml:space="preserve">,</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realizing the potential of LLMs in financial analysis depends on clear, principled deployment frameworks</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((I. Okpala, A. Golgoon, A. R. Kannan. Agentic AI systems applied to tasks in financial services: modeling and model risk management crews. arXiv, 2025, https://doi.org/10.48550/arXiv.2502.05439.))</w:t>
      </w:r>
      <w:r>
        <w:t>.</w:t>
      </w:r>
    </w:p>
    <w:p w14:paraId="5ABC2A86" w14:textId="77777777" w:rsidR="00557FAC" w:rsidRDefault="00824C87">
      <w:pPr>
        <w:pStyle w:val="Heading3"/>
        <w:keepNext/>
        <w:keepLines/>
        <w:spacing w:before="140" w:after="50"/>
      </w:pPr>
      <w:r>
        <w:t>Large Language Models in Financial Forecasting</w:t>
      </w:r>
    </w:p>
    <w:p w14:paraId="7FB84126" w14:textId="77777777" w:rsidR="00557FAC" w:rsidRDefault="00824C87">
      <w:pPr>
        <w:spacing w:before="40" w:after="40"/>
        <w:jc w:val="both"/>
      </w:pPr>
      <w:r>
        <w:t>Existing research has demonstrated the proficiency of LLMs in synthesizing heterogeneous financial data to extract predictive market signals</w:t>
      </w:r>
      <w:r>
        <w:t xml:space="preserve"> ((A. Lopez-Lira, Y. Tang. Can ChatGPT forecast stock price movements? return predictability and large language models. SSRN. 2023, https://doi.org/10.2139/ssrn.4412788.))</w:t>
      </w:r>
      <w:r>
        <w:rPr>
          <w:vertAlign w:val="superscript"/>
        </w:rPr>
        <w:t xml:space="preserve">,</w:t>
      </w:r>
      <w:r>
        <w:t xml:space="preserve"> ((H. Ding, Y. Li, J. Wang, H. Chen. Large language model agent in financial trading: a survey. arXiv, 2024, https://doi.org/10.48550/arXiv.2408.06361.))</w:t>
      </w:r>
      <w:r>
        <w:rPr>
          <w:vertAlign w:val="superscript"/>
        </w:rPr>
        <w:t xml:space="preserve">,</w:t>
      </w:r>
      <w:r>
        <w:t xml:space="preserve"> ((G. Fatouros, K. Metaxas, J. Soldatos, M. Karathanassis. MarketSenseAI 2.0: enhancing stock analysis through LLM agents. arXiv, 2025, https://doi.org/10.48550/arXiv.2502.00415.))</w:t>
      </w:r>
      <w:r>
        <w:t>. Studies integrating LLMs with conventional forecasting techniques reported improved predictive accuracy, attributed to the models’ ability to capture nuanced relationships between news sentiment and price movements</w:t>
      </w:r>
      <w:r>
        <w:t xml:space="preserve"> ((A. Lopez-Lira, Y. Tang. Can ChatGPT forecast stock price movements? return predictability and large language models. SSRN. 2023, https://doi.org/10.2139/ssrn.4412788.))</w:t>
      </w:r>
      <w:r>
        <w:rPr>
          <w:vertAlign w:val="superscript"/>
        </w:rPr>
        <w:t xml:space="preserve">,</w:t>
      </w:r>
      <w:r>
        <w:t xml:space="preserve"> ((G. Fatouros, K. Metaxas, J. Soldatos, M. Karathanassis. MarketSenseAI 2.0: enhancing stock analysis through LLM agents. arXiv, 2025, https://doi.org/10.48550/arXiv.2502.00415.))</w:t>
      </w:r>
      <w:r>
        <w:rPr>
          <w:vertAlign w:val="superscript"/>
        </w:rPr>
        <w:t xml:space="preserve">,</w:t>
      </w:r>
      <w:r>
        <w:t xml:space="preserve"> ((J. Cheng, P. Chin. AAPM: large language model agent-based asset pricing models. arXiv, 2024, https://doi.org/10.48550/arXiv.2409.17266.))</w:t>
      </w:r>
      <w:r>
        <w:t>. A complementary line of work combines document embeddings with LLM-generated representations to construct richer proxies for investor sentiment and macroeconomic conditions</w:t>
      </w:r>
      <w:r>
        <w:t xml:space="preserve"> ((G. Fatouros, K. Metaxas, J. Soldatos, M. Karathanassis. MarketSenseAI 2.0: enhancing stock analysis through LLM agents. arXiv, 2025, https://doi.org/10.48550/arXiv.2502.00415.))</w:t>
      </w:r>
      <w:r>
        <w:rPr>
          <w:vertAlign w:val="superscript"/>
        </w:rPr>
        <w:t xml:space="preserve">,</w:t>
      </w:r>
      <w:r>
        <w:t xml:space="preserve"> ((C. Choi, A. Lopez-Lira, Y. Lee, J. Kwon, M. Kim, J. Hwang, M. Ha, C. Kim, J. Ha, S. Yun, J. Kim. Structuring the unstructured: a multi-agent system for extracting and querying financial KPIs and guidance. arXiv, 2025, https://doi.org/10.48550/arXiv.2505.19197.))</w:t>
      </w:r>
      <w:r>
        <w:t>. By automating the extraction of financially relevant signals from unstructured text, LLMs reduce the manual overhead of information processing and enable more scalable financial modeling pipelines</w:t>
      </w:r>
      <w:r>
        <w:t xml:space="preserve"> ((G. Fatouros, K. Metaxas, J. Soldatos, M. Karathanassis. MarketSenseAI 2.0: enhancing stock analysis through LLM agents. arXiv, 2025, https://doi.org/10.48550/arXiv.2502.00415.))</w:t>
      </w:r>
      <w:r>
        <w:rPr>
          <w:vertAlign w:val="superscript"/>
        </w:rPr>
        <w:t xml:space="preserve">,</w:t>
      </w:r>
      <w:r>
        <w:t xml:space="preserve"> ((C. Choi, A. Lopez-Lira, Y. Lee, J. Kwon, M. Kim, J. Hwang, M. Ha, C. Kim, J. Ha, S. Yun, J. Kim. Structuring the unstructured: a multi-agent system for extracting and querying financial KPIs and guidance. arXiv, 2025, https://doi.org/10.48550/arXiv.2505.19197.))</w:t>
      </w:r>
      <w:r>
        <w:t>.</w:t>
      </w:r>
    </w:p>
    <w:p w14:paraId="5AA85347" w14:textId="77777777" w:rsidR="00557FAC" w:rsidRDefault="00824C87">
      <w:pPr>
        <w:pStyle w:val="Heading3"/>
        <w:keepNext/>
        <w:keepLines/>
        <w:spacing w:before="140" w:after="50"/>
      </w:pPr>
      <w:r>
        <w:t>Multi-Agent LLM Systems for Trading</w:t>
      </w:r>
    </w:p>
    <w:p w14:paraId="068FAA08" w14:textId="77777777" w:rsidR="00557FAC" w:rsidRDefault="00824C87">
      <w:pPr>
        <w:spacing w:before="40" w:after="40"/>
        <w:jc w:val="both"/>
      </w:pPr>
      <w:r>
        <w:t>Beyond single-model deployments, LLMs are increasingly employed as components of multi-agent trading systems, in which specialized agents interact to simulate market dynamics and refine portfolio strategies</w:t>
      </w:r>
      <w:r>
        <w:t xml:space="preserve"> ((Y. Xiao, E. Sun, D. Luo, W. Wang. TradingAgents: multi-agents LLM financial trading framework. arXiv, 2024, https://doi.org/10.48550/arXiv.2412.20138.))</w:t>
      </w:r>
      <w:r>
        <w:rPr>
          <w:vertAlign w:val="superscript"/>
        </w:rPr>
        <w:t xml:space="preserve">,</w:t>
      </w:r>
      <w:r>
        <w:t xml:space="preserve">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r>
        <w:rPr>
          <w:vertAlign w:val="superscript"/>
        </w:rPr>
        <w:t xml:space="preserve">,</w:t>
      </w:r>
      <w:r>
        <w:t xml:space="preserve"> ((X. Han, N. Wang, S. Che, H. Yang, K. Zhang, S. X. Xu. Enhancing investment analysis: optimizing AI-agent collaboration in financial research. Proceedings of the 5th ACM International Conference on AI in Finance. 2024, https://doi.org/10.1145/3677052.3698645.))</w:t>
      </w:r>
      <w:r>
        <w:rPr>
          <w:vertAlign w:val="superscript"/>
        </w:rPr>
        <w:t xml:space="preserve">,</w:t>
      </w:r>
      <w:r>
        <w:t xml:space="preserve"> ((C. Zhang, X. Liu, M. Jin, Z. Zhang, L. Li, Z. Wang, W. Hua, D. Shu, S. Zhu, X. Jin, S. Li, M. Du, Y. Zhang. When AI meets finance (StockAgent): large language model-based stock trading in simulated real-world environments. arXiv, 2024, https://doi.org/10.48550/arXiv.2407.18957.))</w:t>
      </w:r>
      <w:r>
        <w:t>. Such systems incorporate layered memory architectures and role-differentiated agent designs, enabling individual agents to retain relevant historical context and adapt their behavior as market conditions evolve</w:t>
      </w:r>
      <w:r>
        <w:t xml:space="preserve"> ((Y. Li, Y. Yu, H. Li, Z. Chen, K. Khashanah. TradingGPT: multi-agent system with layered memory and distinct characters for enhanced financial trading performance. arXiv, 2023, https://doi.org/10.48550/arXiv.2309.03736.))</w:t>
      </w:r>
      <w:r>
        <w:rPr>
          <w:vertAlign w:val="superscript"/>
        </w:rPr>
        <w:t xml:space="preserve">,</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t>. Empirical evidence indicates that multi-agent configurations frequently outperform single-agent baselines, as the diversity of strategies across agents reduces overfitting observed in isolated backtests</w:t>
      </w:r>
      <w:r>
        <w:t xml:space="preserve"> ((X. Han, N. Wang, S. Che, H. Yang, K. Zhang, S. X. Xu. Enhancing investment analysis: optimizing AI-agent collaboration in financial research. Proceedings of the 5th ACM International Conference on AI in Finance. 2024, https://doi.org/10.1145/3677052.3698645.))</w:t>
      </w:r>
      <w:r>
        <w:rPr>
          <w:vertAlign w:val="superscript"/>
        </w:rPr>
        <w:t xml:space="preserve">,</w:t>
      </w:r>
      <w:r>
        <w:t xml:space="preserve"> ((T. Guo, H. Shen, J. Huang, Z. Mao, J. Luo, B. Chen, Z. Chen, L. Liu, B. Xia, X. Liu, Y. Ma, M. Zhang. MASS: multi-agent simulation scaling for portfolio construction. arXiv, 2025, https://doi.org/10.48550/arXiv.2505.10278.))</w:t>
      </w:r>
      <w:r>
        <w:t xml:space="preserve">. Within these architectures, individual agents are assigned </w:t>
      </w:r>
      <w:r>
        <w:t>distinct functions—portfolio allocation, risk assessment, and real-time monitoring—enabling a modular division of responsibilities that exploits the natural language flexibility of LLMs</w:t>
      </w:r>
      <w:r>
        <w:t xml:space="preserve"> ((Y. Xiao, E. Sun, D. Luo, W. Wang. TradingAgents: multi-agents LLM financial trading framework. arXiv, 2024, https://doi.org/10.48550/arXiv.2412.20138.))</w:t>
      </w:r>
      <w:r>
        <w:rPr>
          <w:vertAlign w:val="superscript"/>
        </w:rPr>
        <w:t xml:space="preserve">,</w:t>
      </w:r>
      <w:r>
        <w:t xml:space="preserve">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r>
        <w:rPr>
          <w:vertAlign w:val="superscript"/>
        </w:rPr>
        <w:t xml:space="preserve">,</w:t>
      </w:r>
      <w:r>
        <w:t xml:space="preserve"> ((J. Li, J. Zhang, H. Li, Y. Shen. An agent framework for real-time financial information searching with large language models. arXiv, 2025, https://doi.org/10.48550/arXiv.2502.15684.))</w:t>
      </w:r>
      <w:r>
        <w:t>. Representative frameworks such as 3S-Trader</w:t>
      </w:r>
      <w:r>
        <w:t xml:space="preserve"> ((K. Chen, H. Ahmad, D. Goel, C. Szabo. 3S-trader: a multi-LLM framework for adaptive stock scoring, strategy, and selection in portfolio optimization. arXiv, 2025, https://doi.org/10.48550/arXiv.2510.17393.))</w:t>
      </w:r>
      <w:r>
        <w:t>, AlphaAgents</w:t>
      </w:r>
      <w:r>
        <w:t xml:space="preserve"> ((T. Zhao, J. Lyu, S. Jones, H. Garber, S. Pasquali, D. Mehta. AlphaAgents: large language model-based multi-agents for equity portfolio constructions. arXiv, 2025, https://doi.org/10.48550/arXiv.2508.11152.))</w:t>
      </w:r>
      <w:r>
        <w:t>, FinRobot</w:t>
      </w:r>
      <w:r>
        <w:t xml:space="preserve"> ((T. Zhou, P. Wang, Y. Wu, H. Yang. FinRobot: AI agent for equity research and valuation with large language models. arXiv, 2024, https://doi.org/10.48550/arXiv.2411.08804.))</w:t>
      </w:r>
      <w:r>
        <w:t>, and tool-augmented multimodal foundation agents</w:t>
      </w:r>
      <w:r>
        <w:t xml:space="preserve">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r>
        <w:t xml:space="preserve"> coordinate multiple LLMs to score candidate stocks, construct a portfolio, and iteratively refine strategies from historical performance, though at the cost of considerable system complexity.</w:t>
      </w:r>
    </w:p>
    <w:p w14:paraId="507AA336" w14:textId="77777777" w:rsidR="00557FAC" w:rsidRDefault="00824C87">
      <w:pPr>
        <w:pStyle w:val="Heading3"/>
        <w:keepNext/>
        <w:keepLines/>
        <w:spacing w:before="140" w:after="50"/>
      </w:pPr>
      <w:r>
        <w:t>Sentiment Analysis and Market Dynamics</w:t>
      </w:r>
    </w:p>
    <w:p w14:paraId="0BD43233" w14:textId="77777777" w:rsidR="00557FAC" w:rsidRDefault="00824C87">
      <w:pPr>
        <w:spacing w:before="40" w:after="40"/>
        <w:jc w:val="both"/>
      </w:pPr>
      <w:r>
        <w:rPr>
          <w:bCs/>
        </w:rPr>
        <w:t>LLMs have proven adept at inferring investor sentiment and forecasting market movements by analyzing news articles and social media data</w:t>
      </w:r>
      <w:r>
        <w:t xml:space="preserve"> ((A. Lopez-Lira, Y. Tang. Can ChatGPT forecast stock price movements? return predictability and large language models. SSRN. 2023, https://doi.org/10.2139/ssrn.4412788.))</w:t>
      </w:r>
      <w:r>
        <w:rPr>
          <w:vertAlign w:val="superscript"/>
        </w:rPr>
        <w:t xml:space="preserve">,</w:t>
      </w:r>
      <w:r>
        <w:t xml:space="preserve"> ((G. Fatouros, K. Metaxas, J. Soldatos, M. Karathanassis. MarketSenseAI 2.0: enhancing stock analysis through LLM agents. arXiv, 2025, https://doi.org/10.48550/arXiv.2502.00415.))</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 By leveraging pre-training on large-scale financial datasets, LLMs can discern specialized terminology and complex rhetorical structures, providing an effective framework for mapping textual information to market price movements</w:t>
      </w:r>
      <w:r>
        <w:t xml:space="preserve"> ((A. Lopez-Lira, Y. Tang. Can ChatGPT forecast stock price movements? return predictability and large language models. SSRN. 2023, https://doi.org/10.2139/ssrn.4412788.))</w:t>
      </w:r>
      <w:r>
        <w:rPr>
          <w:vertAlign w:val="superscript"/>
        </w:rPr>
        <w:t xml:space="preserve">,</w:t>
      </w:r>
      <w:r>
        <w:t xml:space="preserve"> ((J. Lee, N. Stevens, S. C. Han, M. Song. A survey of large language models in finance (FinLLMs). Neural Computing and Applications. Vol. 37, pg. 24853–24867, 2025, https://doi.org/10.1007/s00521-024-10495-6.))</w:t>
      </w:r>
      <w:r>
        <w:rPr>
          <w:bCs/>
        </w:rPr>
        <w:t>. Sentiment-augmented models have also been reported to identify early indicators of trend reversals</w:t>
      </w:r>
      <w:r>
        <w:t xml:space="preserve"> ((A. Lopez-Lira, Y. Tang. Can ChatGPT forecast stock price movements? return predictability and large language models. SSRN. 2023, https://doi.org/10.2139/ssrn.4412788.))</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 By processing vast quantities of unstructured data at scale, LLMs enable the development of more agile, information-rich trading strategies that respond to market shifts in real time</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((J. Li, J. Zhang, H. Li, Y. Shen. An agent framework for real-time financial information searching with large language models. arXiv, 2025, https://doi.org/10.48550/arXiv.2502.15684.))</w:t>
      </w:r>
      <w:r>
        <w:rPr>
          <w:bCs/>
        </w:rPr>
        <w:t>. This body of research extends foundational work by demonstrating that media-derived content yields quantifiable sentiment signals that have a direct and measurable impact on equity prices</w:t>
      </w:r>
      <w:r>
        <w:t xml:space="preserve"> ((A. Lopez-Lira, Y. Tang. Can ChatGPT forecast stock price movements? return predictability and large language models. SSRN. 2023, https://doi.org/10.2139/ssrn.4412788.))</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w:t>
      </w:r>
    </w:p>
    <w:p w14:paraId="6696915D" w14:textId="77777777" w:rsidR="00557FAC" w:rsidRDefault="00824C87">
      <w:pPr>
        <w:pStyle w:val="Heading3"/>
        <w:keepNext/>
        <w:keepLines/>
        <w:spacing w:before="140" w:after="50"/>
      </w:pPr>
      <w:r>
        <w:t>Self-Improving and Feedback-Driven Financial LLMs</w:t>
      </w:r>
    </w:p>
    <w:p w14:paraId="39537786" w14:textId="77777777" w:rsidR="00557FAC" w:rsidRDefault="00824C87">
      <w:pPr>
        <w:spacing w:before="40" w:after="40"/>
        <w:jc w:val="both"/>
      </w:pPr>
      <w:r>
        <w:t>Beyond static single-pass designs, self-improving and feedback-driven agent systems have produced further gains in automated trading</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rPr>
          <w:vertAlign w:val="superscript"/>
        </w:rPr>
        <w:t xml:space="preserve">,</w:t>
      </w:r>
      <w:r>
        <w:t xml:space="preserve"> ((S. Wang, H. Yuan, L. M. Ni, J. Guo. QuantAgent: seeking holy grail in trading by self-improving large language model. arXiv, 2024, https://doi.org/10.48550/arXiv.2402.03755.))</w:t>
      </w:r>
      <w:r>
        <w:t>. Such systems refine their strategies iteratively through feedback from simulated markets or accumulated trading knowledge</w:t>
      </w:r>
      <w:r>
        <w:t xml:space="preserve"> ((C. Zhang, X. Liu, M. Jin, Z. Zhang, L. Li, Z. Wang, W. Hua, D. Shu, S. Zhu, X. Jin, S. Li, M. Du, Y. Zhang. When AI meets finance (StockAgent): large language model-based stock trading in simulated real-world environments. arXiv, 2024, https://doi.org/10.48550/arXiv.2407.18957.))</w:t>
      </w:r>
      <w:r>
        <w:rPr>
          <w:vertAlign w:val="superscript"/>
        </w:rPr>
        <w:t xml:space="preserve">,</w:t>
      </w:r>
      <w:r>
        <w:t xml:space="preserve"> ((S. Wang, H. Yuan, L. M. Ni, J. Guo. QuantAgent: seeking holy grail in trading by self-improving large language model. arXiv, 2024, https://doi.org/10.48550/arXiv.2402.03755.))</w:t>
      </w:r>
      <w:r>
        <w:t>, and framing portfolio management as a sequential decision problem provides a principled balance between exploring new strategies and exploiting established ones</w:t>
      </w:r>
      <w:r>
        <w:t xml:space="preserve"> ((S. Wang, H. Yuan, L. M. Ni, J. Guo. QuantAgent: seeking holy grail in trading by self-improving large language model. arXiv, 2024, https://doi.org/10.48550/arXiv.2402.03755.))</w:t>
      </w:r>
      <w:r>
        <w:t>. This adaptability suits non-stationary market regimes</w:t>
      </w:r>
      <w:r>
        <w:t xml:space="preserve"> ((Y. Xiao, E. Sun, D. Luo, W. Wang. TradingAgents: multi-agents LLM financial trading framework. arXiv, 2024, https://doi.org/10.48550/arXiv.2412.20138.))</w:t>
      </w:r>
      <w:r>
        <w:rPr>
          <w:vertAlign w:val="superscript"/>
        </w:rPr>
        <w:t xml:space="preserve">,</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t>.</w:t>
      </w:r>
    </w:p>
    <w:p w14:paraId="521D283F" w14:textId="77777777" w:rsidR="00557FAC" w:rsidRDefault="00824C87">
      <w:pPr>
        <w:pStyle w:val="Heading3"/>
        <w:keepNext/>
        <w:keepLines/>
        <w:spacing w:before="140" w:after="50"/>
      </w:pPr>
      <w:r>
        <w:lastRenderedPageBreak/>
        <w:t>Benchmarks, Evaluation, and Bias</w:t>
      </w:r>
    </w:p>
    <w:p w14:paraId="439DC730" w14:textId="77777777" w:rsidR="00557FAC" w:rsidRDefault="00824C87">
      <w:pPr>
        <w:spacing w:before="40" w:after="40"/>
        <w:jc w:val="both"/>
      </w:pPr>
      <w:r>
        <w:t>Systematic benchmarking provides a principled basis for evaluating financial LLMs</w:t>
      </w:r>
      <w:r>
        <w:t xml:space="preserve"> ((J. Lee, N. Stevens, S. C. Han, M. Song. A survey of large language models in finance (FinLLMs). Neural Computing and Applications. Vol. 37, pg. 24853–24867, 2025, https://doi.org/10.1007/s00521-024-10495-6.))</w:t>
      </w:r>
      <w:r>
        <w:rPr>
          <w:vertAlign w:val="superscript"/>
        </w:rPr>
        <w:t xml:space="preserve">,</w:t>
      </w:r>
      <w:r>
        <w:t xml:space="preserve"> ((K. Anjum, M. A. Arshad, K. Hayawi, E. Polyzos, A. Tariq, M. A. Serhani, L. Batool, B. Lund, N. R. Mannuru, R. V. K. Bevara, T. Mahbub, M. Z. Akram, S. Shahriar. Domain specific benchmarks for evaluating multimodal large language models. arXiv, 2025, https://doi.org/10.48550/arXiv.2506.12958.))</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Standardized datasets enable rigorous comparison across models and multi-agent systems on textual comprehension, sentiment extraction, and portfolio optimization</w:t>
      </w:r>
      <w:r>
        <w:t xml:space="preserve"> ((J. Lee, N. Stevens, S. C. Han, M. Song. A survey of large language models in finance (FinLLMs). Neural Computing and Applications. Vol. 37, pg. 24853–24867, 2025, https://doi.org/10.1007/s00521-024-10495-6.))</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A consistent finding is that accuracy alone is insufficient — models must perform reliably under live-market pressures</w:t>
      </w:r>
      <w:r>
        <w:t xml:space="preserve"> ((W. W. Li, H. Kim, M. Cucuringu, T. Ma. Can LLM-based financial investing strategies outperform the market in the long run? arXiv, 2025, https://doi.org/10.48550/arXiv.2505.07078.))</w:t>
      </w:r>
      <w:r>
        <w:rPr>
          <w:vertAlign w:val="superscript"/>
        </w:rPr>
        <w:t xml:space="preserve">,</w:t>
      </w:r>
      <w:r>
        <w:t xml:space="preserve"> ((C. Zhang, X. Liu, M. Jin, Z. Zhang, L. Li, Z. Wang, W. Hua, D. Shu, S. Zhu, X. Jin, S. Li, M. Du, Y. Zhang. When AI meets finance (StockAgent): large language model-based stock trading in simulated real-world environments. arXiv, 2024, https://doi.org/10.48550/arXiv.2407.18957.))</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xml:space="preserve"> — so continued benchmark development is essential to ensure reported advances are genuine rather than artifacts of favorable evaluation conditions</w:t>
      </w:r>
      <w:r>
        <w:t xml:space="preserve"> ((A. Lopez-Lira, Y. Tang. Can ChatGPT forecast stock price movements? return predictability and large language models. SSRN. 2023, https://doi.org/10.2139/ssrn.4412788.))</w:t>
      </w:r>
      <w:r>
        <w:rPr>
          <w:vertAlign w:val="superscript"/>
        </w:rPr>
        <w:t xml:space="preserve">,</w:t>
      </w:r>
      <w:r>
        <w:t xml:space="preserve"> ((W. W. Li, H. Kim, M. Cucuringu, T. Ma. Can LLM-based financial investing strategies outperform the market in the long run? arXiv, 2025, https://doi.org/10.48550/arXiv.2505.07078.))</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w:t>
      </w:r>
    </w:p>
    <w:p w14:paraId="16EF4F29" w14:textId="77777777" w:rsidR="00557FAC" w:rsidRDefault="00824C87">
      <w:pPr>
        <w:spacing w:before="40" w:after="40"/>
        <w:jc w:val="both"/>
      </w:pPr>
      <w:r>
        <w:t>A critical concern in this literature is evaluation bias. A rigorous testing framework, FINSABER</w:t>
      </w:r>
      <w:r>
        <w:t xml:space="preserve"> ((W. W. Li, H. Kim, M. Cucuringu, T. Ma. Can LLM-based financial investing strategies outperform the market in the long run? arXiv, 2025, https://doi.org/10.48550/arXiv.2505.07078.))</w:t>
      </w:r>
      <w:r>
        <w:t>, was introduced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popular LLM strategies were re-tested over 20 years across a wider range of stocks, the strategies’ apparent advantages either disappeared or appeared much weaker. That work also found that LLM strategies often performed poorly in different market conditions — too cautious during bull markets and overly aggressive during bear markets. Those findings motivate the evaluation design used here: long horizons, matched comparisons, and explicit controls for the three biases named above.</w:t>
      </w:r>
    </w:p>
    <w:p w14:paraId="75BC9FBF" w14:textId="77777777" w:rsidR="00557FAC" w:rsidRDefault="00824C87">
      <w:pPr>
        <w:spacing w:before="40" w:after="40"/>
        <w:jc w:val="both"/>
      </w:pPr>
      <w:r>
        <w:t xml:space="preserve">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the information flow presented to an LLM </w:t>
      </w:r>
      <w:r>
        <w:t>systematically improve long-term investment decision-making?</w:t>
      </w:r>
    </w:p>
    <w:p w14:paraId="60496A01" w14:textId="77777777" w:rsidR="00557FAC" w:rsidRDefault="00824C87">
      <w:pPr>
        <w:pStyle w:val="Heading2"/>
        <w:keepNext/>
        <w:keepLines/>
      </w:pPr>
      <w:r>
        <w:t>Problem Statement and Rationale</w:t>
      </w:r>
    </w:p>
    <w:p w14:paraId="7B749FDF" w14:textId="77777777" w:rsidR="00557FAC" w:rsidRDefault="00824C87">
      <w:pPr>
        <w:spacing w:before="40" w:after="40"/>
        <w:jc w:val="both"/>
      </w:pPr>
      <w:r>
        <w:t>Several limitations constrain LLMs in investment contexts. A primary concern is their documented inability to perform reliable numerical computation</w:t>
      </w:r>
      <w:r>
        <w:t xml:space="preserve"> ((I. Mirzadeh, K. Alizadeh, H. Shahrokhi, O. Tuzel, S. Bengio, M. Farajtabar. GSM-symbolic: understanding the limitations of mathematical reasoning in large language models. International Conference on Learning Representations (ICLR 2025). 2025, https://openreview.net/forum?id=AjXkRZIvjB.))</w:t>
      </w:r>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t>A second challenge is hallucination: LLMs can fabricate or misrepresent information with high apparent confidence</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investment applications where errors in reasoning compound over a holding period.</w:t>
      </w:r>
    </w:p>
    <w:p w14:paraId="0626F88F" w14:textId="77777777" w:rsidR="00557FAC" w:rsidRDefault="00824C87">
      <w:pPr>
        <w:spacing w:before="40" w:after="40"/>
        <w:jc w:val="both"/>
      </w:pPr>
      <w:r>
        <w:t>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the model’s latent knowledge of subsequent market developments rather than genuine analytical insight, casting doubt on the validity of reported results.</w:t>
      </w:r>
    </w:p>
    <w:p w14:paraId="201A36A8" w14:textId="77777777" w:rsidR="00557FAC" w:rsidRDefault="00824C87">
      <w:pPr>
        <w:spacing w:before="40" w:after="40"/>
        <w:jc w:val="both"/>
      </w:pPr>
      <w:r>
        <w:t xml:space="preserve">This study addresses two gaps tied to the challenges outlined above. First, long-term LLM investment strategies remain underexplored relative to short-term counterparts, leaving open whether LLMs can sustain reliable performance over multi-month </w:t>
      </w:r>
      <w:r>
        <w:lastRenderedPageBreak/>
        <w:t>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
      <w:r>
        <w:t>Significance and Purpose</w:t>
      </w:r>
    </w:p>
    <w:p w14:paraId="6FF6CE80" w14:textId="77777777" w:rsidR="00557FAC" w:rsidRDefault="00824C87">
      <w:pPr>
        <w:spacing w:before="40" w:after="40"/>
        <w:jc w:val="both"/>
      </w:pPr>
      <w: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portfolio. This sequential evaluation of information sources, rather than simultaneous ingestion, constitutes the central methodological contribution of this work.</w:t>
      </w:r>
    </w:p>
    <w:p w14:paraId="6A5CEB39" w14:textId="77777777" w:rsidR="00557FAC" w:rsidRDefault="00824C87">
      <w:pPr>
        <w:spacing w:before="40" w:after="40"/>
        <w:jc w:val="both"/>
        <w:rPr>
          <w:rFonts w:ascii="Arial" w:eastAsia="Arial" w:hAnsi="Arial" w:cs="Arial"/>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
      <w:r>
        <w:t>Objectives</w:t>
      </w:r>
    </w:p>
    <w:p w14:paraId="16205F40" w14:textId="77777777" w:rsidR="00557FAC" w:rsidRDefault="00824C87">
      <w:pPr>
        <w:spacing w:before="120" w:after="120"/>
        <w:jc w:val="both"/>
      </w:pPr>
      <w:r>
        <w:t>This paper delivers three primary contributions.</w:t>
      </w:r>
    </w:p>
    <w:p w14:paraId="72F2D810" w14:textId="77777777" w:rsidR="00557FAC" w:rsidRDefault="00824C87">
      <w:pPr>
        <w:spacing w:before="120"/>
        <w:ind w:left="720" w:hanging="360"/>
        <w:jc w:val="both"/>
      </w:pPr>
      <w:r>
        <w:t>First, it introduces a two-stage news-and-financial-report architecture for LLM-driven long-term investment strategy generation. The architecture separates qualitative from quantitative reasoning in a principled way, which makes each stage independently auditable and lets performance differences be attributed to a specific stage.</w:t>
      </w:r>
    </w:p>
    <w:p w14:paraId="6957D865" w14:textId="77777777" w:rsidR="00557FAC" w:rsidRDefault="00824C87">
      <w:pPr>
        <w:ind w:left="720" w:hanging="360"/>
        <w:jc w:val="both"/>
      </w:pPr>
      <w:r>
        <w:t xml:space="preserve">Second, it provides extensive empirical validation centered on advanced frontier models. Moderate filtering configurations, which keep a mid-sized candidate pool and roughly halve it </w:t>
      </w:r>
      <w:r>
        <w:t>between stages, achieve a mean ROI of up to 60.6% and outperform the unfiltered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comparisons with the S&amp;P 500 are reported as sector-relative context.</w:t>
      </w:r>
    </w:p>
    <w:p w14:paraId="6A157AD2" w14:textId="77777777" w:rsidR="00557FAC" w:rsidRDefault="00824C87">
      <w:pPr>
        <w:spacing w:after="120"/>
        <w:ind w:left="720" w:hanging="360"/>
        <w:jc w:val="both"/>
      </w:pPr>
      <w: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14:paraId="5515CC37" w14:textId="77777777" w:rsidR="00557FAC" w:rsidRDefault="00824C87">
      <w:pPr>
        <w:pStyle w:val="Heading2"/>
        <w:keepNext/>
        <w:keepLines/>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w:t>
      </w:r>
      <w:r>
        <w:lastRenderedPageBreak/>
        <w:t>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14:paraId="2CC5134A" w14:textId="77777777" w:rsidR="00557FAC" w:rsidRDefault="00824C87">
      <w:pPr>
        <w:pStyle w:val="Heading1"/>
        <w:keepNext/>
        <w:spacing w:after="0"/>
        <w:rPr>
          <w:rFonts w:ascii="Arial" w:eastAsia="Arial" w:hAnsi="Arial" w:cs="Arial"/>
        </w:rPr>
      </w:pPr>
      <w:r>
        <w:t>Methods</w:t>
      </w:r>
    </w:p>
    <w:p w14:paraId="1F81D4BA" w14:textId="77777777" w:rsidR="00557FAC" w:rsidRDefault="00824C87">
      <w:pPr>
        <w:keepNext/>
        <w:jc w:val="center"/>
      </w:pPr>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743200" cy="1741221"/>
                    </a:xfrm>
                    <a:prstGeom prst="rect">
                      <a:avLst/>
                    </a:prstGeom>
                    <a:ln/>
                  </pic:spPr>
                </pic:pic>
              </a:graphicData>
            </a:graphic>
          </wp:inline>
        </w:drawing>
      </w:r>
    </w:p>
    <w:p w14:paraId="52CAAB0D" w14:textId="77777777" w:rsidR="00557FAC" w:rsidRDefault="00824C87">
      <w:pPr>
        <w:pStyle w:val="Heading3"/>
        <w:keepNext/>
        <w:keepLines/>
        <w:spacing w:before="0"/>
      </w:pPr>
      <w:bookmarkStart w:id="0" w:name="_sn5z0gfe3jsb" w:colFirst="0" w:colLast="0"/>
      <w:bookmarkEnd w:id="0"/>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14:paraId="4410F680" w14:textId="77777777" w:rsidR="00557FAC" w:rsidRDefault="00824C87">
      <w:pPr>
        <w:pStyle w:val="Heading2"/>
        <w:keepNext/>
        <w:keepLines/>
      </w:pPr>
      <w:r>
        <w:t>Overall Framework Overview</w:t>
      </w:r>
    </w:p>
    <w:p w14:paraId="59CD721A" w14:textId="77777777" w:rsidR="00557FAC" w:rsidRDefault="00824C87">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eastAsia="Arial" w:hAnsi="Arial" w:cs="Arial"/>
        </w:rPr>
      </w:pPr>
      <w:r>
        <w:t xml:space="preserve">The framework consists of four primary phases. First, historical news articles are collected from a fixed pre-analysis window. </w:t>
      </w:r>
      <w:r>
        <w:t>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By separating qualitative reasoning (interpreting news narratives and financial-report language) 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
      <w:r>
        <w:lastRenderedPageBreak/>
        <w:t>Data Sources</w:t>
      </w:r>
    </w:p>
    <w:p w14:paraId="4EF5A5FE" w14:textId="77777777" w:rsidR="00557FAC" w:rsidRDefault="00824C87">
      <w:pPr>
        <w:spacing w:before="40" w:after="40"/>
        <w:jc w:val="both"/>
      </w:pPr>
      <w:r>
        <w:t>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p>
    <w:p w14:paraId="40EDF0C4" w14:textId="77777777" w:rsidR="00557FAC" w:rsidRDefault="00824C87">
      <w:pPr>
        <w:spacing w:before="40" w:after="40"/>
        <w:jc w:val="both"/>
      </w:pPr>
      <w:r>
        <w:t>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 xml:space="preserve">Market data comprises daily adjusted closing prices for individual stocks and benchmark indices, introduced only after recommendations are finalized. This isolates </w:t>
      </w:r>
      <w:r>
        <w:t>the reasoning process from look-ahead bias, and all return calculations and risk metrics are computed externally using deterministic formulas.</w:t>
      </w:r>
    </w:p>
    <w:p w14:paraId="747A8A0B" w14:textId="77777777" w:rsidR="00557FAC" w:rsidRDefault="00824C87">
      <w:pPr>
        <w:pStyle w:val="Heading2"/>
        <w:keepNext/>
        <w:keepLines/>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 earnings announcements, major corporate events, regulatory changes, macroeconomic indicators, and industry-level shifts.</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 In a representative screening run, the relevance filter retained 110 of 1,382 collected articles (8.0%) under strict investment-relevance criteria.</w:t>
      </w:r>
    </w:p>
    <w:p w14:paraId="062EEA2F" w14:textId="77777777" w:rsidR="00557FAC" w:rsidRDefault="00824C87">
      <w:pPr>
        <w:spacing w:before="40" w:after="40"/>
        <w:jc w:val="both"/>
      </w:pPr>
      <w:r>
        <w:t xml:space="preserve">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not contaminated by off-topic news. It is, however, deliberately conservative — re-weighting to the 8.0% population pass rate gives an estimated recall of 16% and a false-omission rate of 45% — indicating a high relevance bar rather than exhaustive retrieval; because the pipeline </w:t>
      </w:r>
      <w:r>
        <w:lastRenderedPageBreak/>
        <w:t>requires a focused, high-precision input set rather than complete coverage, precision is the more consequential property for downstream quality, and we note the lower recall as a limitation. Human–screen agreement was positive but modest (Cohen’s kappa = 0.17), a value held down by the low base rate of passed articles, for which kappa is known to understate agreement. The screen is applied by the model without human adjudication during normal operation.</w:t>
      </w:r>
    </w:p>
    <w:p w14:paraId="6803E74C" w14:textId="77777777" w:rsidR="00557FAC" w:rsidRDefault="00824C87">
      <w:pPr>
        <w:pStyle w:val="Heading2"/>
        <w:keepNext/>
        <w:keepLines/>
      </w:pPr>
      <w:r>
        <w:t>LLM-Based Strategy Generation</w:t>
      </w:r>
    </w:p>
    <w:p w14:paraId="78CD3E8D" w14:textId="77777777" w:rsidR="00557FAC" w:rsidRDefault="00824C87">
      <w:pPr>
        <w:spacing w:before="40" w:after="40"/>
        <w:jc w:val="both"/>
      </w:pPr>
      <w:r>
        <w:t>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14:paraId="74E58F4C" w14:textId="77777777" w:rsidR="00557FAC" w:rsidRDefault="00824C87">
      <w:pPr>
        <w:spacing w:before="40" w:after="40"/>
        <w:jc w:val="both"/>
      </w:pPr>
      <w:r>
        <w:t>The model also assigns each candidate a percentage allocation and is instructed to make the allocations sum to 100 percent.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p>
    <w:p w14:paraId="25B73BFD" w14:textId="77777777" w:rsidR="00557FAC" w:rsidRDefault="00824C87">
      <w:pPr>
        <w:spacing w:before="40" w:after="40"/>
        <w:jc w:val="both"/>
      </w:pPr>
      <w:r>
        <w:t>The output of each stage is a structured set of tickers, allocation weights, and qualitative explanations, enabling transparent evaluation without further LLM inference.</w:t>
      </w:r>
    </w:p>
    <w:p w14:paraId="0185299D" w14:textId="77777777" w:rsidR="00557FAC" w:rsidRDefault="00824C87">
      <w:pPr>
        <w:spacing w:before="40" w:after="40"/>
        <w:jc w:val="both"/>
      </w:pPr>
      <w:r>
        <w:t>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
      <w:r>
        <w:t>Bias and Hallucination Mitigation</w:t>
      </w:r>
    </w:p>
    <w:p w14:paraId="6D92AEF6" w14:textId="77777777" w:rsidR="00557FAC" w:rsidRDefault="00824C87">
      <w:pPr>
        <w:spacing w:before="40" w:after="40"/>
        <w:jc w:val="both"/>
      </w:pPr>
      <w:r>
        <w:t>Large language models are known to exhibit hallucinations and implicit bias</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xml:space="preserve">, particularly when prompted with open-ended tasks or </w:t>
      </w:r>
      <w:r>
        <w:t>incomplete constraints. To mitigate these issues, several safeguards are integrated into the proposed framework.</w:t>
      </w:r>
    </w:p>
    <w:p w14:paraId="2F4F0C3A" w14:textId="77777777" w:rsidR="00557FAC" w:rsidRDefault="00824C87">
      <w:pPr>
        <w:spacing w:before="40" w:after="40"/>
        <w:jc w:val="both"/>
      </w:pPr>
      <w:r>
        <w:t>First, strict temporal constraints are enforced at every stage of the pipeline. News articles provided to the LLM are published strictly before the evaluation period, financial reports are admitted only once public under the availability rule given in Data Sources, and no market price data appears in any prompt. This design blocks the principal channels of look-ahead bias: the LLM cannot receive, directly or indirectly,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All portfolios are long-only, buy-and-hold: no leverage, short selling, or derivatives, with positions established at the start of the evaluation period and held without rebalancing, which aligns the strategy with realistic long-term investment behavior.</w:t>
      </w:r>
    </w:p>
    <w:p w14:paraId="37C14559" w14:textId="77777777" w:rsidR="00557FAC" w:rsidRDefault="00824C87">
      <w:pPr>
        <w:spacing w:before="40" w:after="40"/>
        <w:jc w:val="both"/>
        <w:rPr>
          <w:rFonts w:ascii="Arial" w:eastAsia="Arial" w:hAnsi="Arial" w:cs="Arial"/>
        </w:rPr>
      </w:pPr>
      <w:r>
        <w:lastRenderedPageBreak/>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14:paraId="0C8E43F2" w14:textId="77777777" w:rsidR="00557FAC" w:rsidRDefault="00824C87">
      <w:pPr>
        <w:pStyle w:val="Heading2"/>
        <w:keepNext/>
        <w:keepLines/>
        <w:rPr>
          <w:color w:val="auto"/>
        </w:rPr>
      </w:pPr>
      <w:bookmarkStart w:id="1" w:name="_p97uf83itixa" w:colFirst="0" w:colLast="0"/>
      <w:bookmarkEnd w:id="1"/>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14:paraId="792A78F5" w14:textId="77777777" w:rsidR="00557FAC" w:rsidRDefault="00824C87">
      <w:pPr>
        <w:spacing w:before="120" w:after="120"/>
        <w:jc w:val="both"/>
      </w:pPr>
      <w:r>
        <w:t xml:space="preserve">In the X→Y notation used throughout, X is the number of candidate stocks the model proposes in Stage One and Y is the number retained in the final portfolio after Stage-Two validation; the unfiltered baseline selects the portfolio in a </w:t>
      </w:r>
      <w:r>
        <w:t>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639A4647" w14:textId="77777777" w:rsidR="00557FAC" w:rsidRDefault="00824C87">
      <w:pPr>
        <w:spacing w:before="120" w:after="120"/>
        <w:jc w:val="both"/>
      </w:pPr>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14:paraId="3086EB55" w14:textId="77777777" w:rsidR="00557FAC" w:rsidRDefault="00824C87">
      <w:pPr>
        <w:spacing w:before="120" w:after="120"/>
        <w:jc w:val="both"/>
      </w:pPr>
      <w:r>
        <w:t xml:space="preserve">The final dataset comprised 2,759 matched portfolio runs, including repeated generations within cells, decomposing as 921 runs for GPT-4o, 1,212 for GPT-4o-mini, and 626 for GPT-5.1; a full per-cell breakdown by model, window, temperature (where it applies), and </w:t>
      </w:r>
      <w:r>
        <w:lastRenderedPageBreak/>
        <w:t>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Portfolio variability is evaluated using standard deviation and coefficient of variation (CV), the latter a scale-independent measure of variability relative to average return, which allows performance and stability to be assessed together.</w:t>
      </w:r>
    </w:p>
    <w:p w14:paraId="07D2066F" w14:textId="77777777" w:rsidR="00557FAC" w:rsidRDefault="00824C87">
      <w:pPr>
        <w:spacing w:before="40" w:after="40"/>
        <w:jc w:val="both"/>
      </w:pPr>
      <w:r>
        <w:t xml:space="preserve">Finally, results were aggregated across all models, temperatures, configurations, and evaluation windows to discern broader performance trends and assess the interplay </w:t>
      </w:r>
      <w:r>
        <w:t>between model capability and the structural organization of information.</w:t>
      </w:r>
    </w:p>
    <w:p w14:paraId="1F4D8A52" w14:textId="77777777" w:rsidR="00557FAC" w:rsidRDefault="00824C87">
      <w:pPr>
        <w:pStyle w:val="Heading2"/>
        <w:keepNext/>
        <w:keepLines/>
      </w:pPr>
      <w:r>
        <w:t>Statistical Limitations</w:t>
      </w:r>
    </w:p>
    <w:p w14:paraId="7CC035E4" w14:textId="77777777" w:rsidR="00557FAC" w:rsidRDefault="00824C87">
      <w:pPr>
        <w:jc w:val="both"/>
      </w:pPr>
      <w: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 Run depth is also uneven across windows for GPT-4o-mini: the September 2024 window was generated at greater depth than the rest and supplies 309 of that model’s 1,212 analyzed runs, so that model’s run-weighted mean is influenced disproportionately by a single window. The paired tests are unaffected, because they compare each configuration with its baseline inside a window before any aggregation.</w:t>
      </w:r>
    </w:p>
    <w:p w14:paraId="74E05E51" w14:textId="77777777" w:rsidR="00557FAC" w:rsidRDefault="00824C87">
      <w:pPr>
        <w:pStyle w:val="Heading2"/>
        <w:jc w:val="both"/>
      </w:pPr>
      <w:r>
        <w:t>Statistical Testing Strategy</w:t>
      </w:r>
    </w:p>
    <w:p w14:paraId="5E8F383E" w14:textId="77777777" w:rsidR="00557FAC" w:rsidRDefault="00824C87">
      <w:pPr>
        <w:pBdr>
          <w:top w:val="nil"/>
          <w:left w:val="nil"/>
          <w:bottom w:val="nil"/>
          <w:right w:val="nil"/>
          <w:between w:val="nil"/>
        </w:pBdr>
        <w:spacing w:after="100"/>
        <w:jc w:val="both"/>
      </w:pPr>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 the paired tests above quantify the strength of that isolation.</w:t>
      </w:r>
    </w:p>
    <w:p w14:paraId="02032286" w14:textId="77777777" w:rsidR="00557FAC" w:rsidRDefault="00824C87">
      <w:pPr>
        <w:pStyle w:val="Heading1"/>
        <w:keepNext/>
        <w:keepLines/>
      </w:pPr>
      <w:r>
        <w:lastRenderedPageBreak/>
        <w:t>Results</w:t>
      </w:r>
    </w:p>
    <w:p w14:paraId="4D502E98" w14:textId="77777777" w:rsidR="00557FAC" w:rsidRDefault="00824C87">
      <w:pPr>
        <w:pStyle w:val="Heading2"/>
        <w:keepNext/>
        <w:keepLines/>
        <w:spacing w:after="60"/>
      </w:pPr>
      <w:r>
        <w:rPr>
          <w:sz w:val="24"/>
          <w:szCs w:val="24"/>
        </w:rPr>
        <w:t>Key Findings</w:t>
      </w:r>
    </w:p>
    <w:p w14:paraId="181854BD" w14:textId="77777777" w:rsidR="00557FAC" w:rsidRDefault="00824C87">
      <w:pPr>
        <w:spacing w:before="40" w:after="40"/>
        <w:jc w:val="both"/>
      </w:pPr>
      <w:r>
        <w:t>Structured two-stage filtering raised GPT-5.1’s mean ROI to 60.6%, against 45.7% for unfiltered single-pass prompting, a 15-point gain, and beat that baseline in 22 of 27 matched 12-month window comparisons (81.5%; exact 95% CI 61.9–93.7%).</w:t>
      </w:r>
    </w:p>
    <w:p w14:paraId="7877A721" w14:textId="77777777" w:rsidR="00557FAC" w:rsidRDefault="00824C87">
      <w:pPr>
        <w:spacing w:before="40" w:after="40"/>
        <w:jc w:val="both"/>
      </w:pPr>
      <w: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14:paraId="2153A057" w14:textId="77777777" w:rsidR="00557FAC" w:rsidRDefault="00824C87">
      <w:pPr>
        <w:spacing w:before="40" w:after="40"/>
        <w:jc w:val="both"/>
      </w:pPr>
      <w: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14:paraId="203AED1E" w14:textId="77777777" w:rsidR="00557FAC" w:rsidRDefault="00824C87">
      <w:pPr>
        <w:spacing w:before="40" w:after="40"/>
        <w:jc w:val="both"/>
      </w:pPr>
      <w:r>
        <w:t xml:space="preserve">Information design rivals model choice: how the model’s input was structured affected </w:t>
      </w:r>
      <w:r>
        <w:t>returns about as much as which model was used.</w:t>
      </w:r>
    </w:p>
    <w:p w14:paraId="0FA764A1" w14:textId="77777777" w:rsidR="00557FAC" w:rsidRDefault="00824C87">
      <w:pPr>
        <w:pStyle w:val="Heading2"/>
        <w:keepNext/>
        <w:keepLines/>
      </w:pPr>
      <w:r>
        <w:t>Evaluation Setup</w:t>
      </w:r>
    </w:p>
    <w:p w14:paraId="23CC27F7" w14:textId="77777777" w:rsidR="00557FAC" w:rsidRDefault="00824C87">
      <w:pPr>
        <w:spacing w:before="40" w:after="40"/>
        <w:jc w:val="both"/>
      </w:pPr>
      <w:r>
        <w:t>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14:paraId="6A260066"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 sweep tests a specific expectation: an intermediate initial pool should perform best, because too few candidates limit Stage-Two choices while too many force the model to include lower-conviction names.</w:t>
      </w:r>
    </w:p>
    <w:p w14:paraId="4EEA48CF" w14:textId="77777777" w:rsidR="00557FAC" w:rsidRDefault="00824C87">
      <w:pPr>
        <w:pStyle w:val="Heading2"/>
        <w:keepNext/>
        <w:spacing w:after="40"/>
      </w:pPr>
      <w:bookmarkStart w:id="2" w:name="_voy6hmxtkipu" w:colFirst="0" w:colLast="0"/>
      <w:bookmarkEnd w:id="2"/>
      <w:r>
        <w:t>Filtered vs. Unstructured Baseline</w:t>
      </w:r>
    </w:p>
    <w:p w14:paraId="0CF7FB6E" w14:textId="77777777" w:rsidR="00557FAC" w:rsidRDefault="00824C87">
      <w:pPr>
        <w:spacing w:before="40" w:after="40"/>
        <w:jc w:val="both"/>
      </w:pPr>
      <w: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w:t>
      </w:r>
      <w:r>
        <w:t>stage — 30→5 (32.3%), 30→10 (40.1%), 30→15 (44.2%), and Ranked (38.9%) — all underperformed even the unfiltered baseline (45.7%). All ten configurations are retained and interpreted together in the analyses that follow.</w:t>
      </w:r>
    </w:p>
    <w:p w14:paraId="4F9858AC" w14:textId="77777777" w:rsidR="00557FAC" w:rsidRDefault="00824C87">
      <w:pPr>
        <w:spacing w:before="40" w:after="40"/>
        <w:jc w:val="both"/>
      </w:pPr>
      <w:r>
        <w:t xml:space="preserve">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w:t>
      </w:r>
      <w:r>
        <w:lastRenderedPageBreak/>
        <w:t xml:space="preserve">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w:t>
      </w:r>
      <w:r>
        <w:t>candidates as the model can justify, whereas too small a pool (five) produces the opposite problem, leaving the model too few options from which to construct a strong portfolio.</w:t>
      </w:r>
    </w:p>
    <w:p w14:paraId="228E9F5E"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Overall, for GPT-5.1 — the model a practitioner would deploy — structural organization of information is a major, controllable driver of performance: a moderate pool feeding a focused Stage Two maximizes return, while both under-structuring and over-filtering give up return that the same model could otherwise achieve.</w:t>
      </w:r>
    </w:p>
    <w:p w14:paraId="5484ADAB" w14:textId="77777777" w:rsidR="00557FAC" w:rsidRDefault="00824C87">
      <w:pPr>
        <w:keepNext/>
        <w:spacing w:before="40" w:after="40"/>
        <w:jc w:val="center"/>
      </w:pPr>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120640" cy="2963942"/>
                    </a:xfrm>
                    <a:prstGeom prst="rect">
                      <a:avLst/>
                    </a:prstGeom>
                    <a:ln/>
                  </pic:spPr>
                </pic:pic>
              </a:graphicData>
            </a:graphic>
          </wp:inline>
        </w:drawing>
      </w:r>
    </w:p>
    <w:p w14:paraId="01074EC5" w14:textId="77777777" w:rsidR="00557FAC" w:rsidRDefault="00824C87">
      <w:pPr>
        <w:pStyle w:val="Heading3"/>
        <w:keepNext/>
        <w:keepLines/>
      </w:pPr>
      <w:bookmarkStart w:id="3" w:name="_tw8ghlrmg8v9" w:colFirst="0" w:colLast="0"/>
      <w:bookmarkEnd w:id="3"/>
      <w:r>
        <w:t>Figure 2. Percentage of matched evaluation windows in which each GPT-5.1 filtering configuration outperformed the unfiltered baseline, with bars colored by initial Stage-One pool size.</w:t>
      </w:r>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
      <w:tblGrid>
        <w:gridCol w:w="2392"/>
        <w:gridCol w:w="2536"/>
        <w:gridCol w:w="2536"/>
        <w:gridCol w:w="2536"/>
      </w:tblGrid>
      <w:tr w:rsidR="00557FAC" w14:paraId="541E463D" w14:textId="77777777">
        <w:trPr>
          <w:tblHeader/>
        </w:trPr>
        <w:tc>
          <w:tcPr>
            <w:tcW w:w="2392" w:type="dxa"/>
            <w:shd w:val="clear" w:color="auto" w:fill="D9E1F2"/>
            <w:vAlign w:val="center"/>
          </w:tcPr>
          <w:p w14:paraId="10658049" w14:textId="77777777" w:rsidR="00557FAC" w:rsidRDefault="00824C87">
            <w:pPr>
              <w:jc w:val="both"/>
              <w:rPr>
                <w:rFonts w:ascii="Arial" w:eastAsia="Arial" w:hAnsi="Arial" w:cs="Arial"/>
                <w:b/>
                <w:bCs/>
                <w:sz w:val="18"/>
                <w:szCs w:val="18"/>
              </w:rPr>
            </w:pPr>
            <w:r>
              <w:rPr>
                <w:b/>
                <w:bCs/>
                <w:sz w:val="20"/>
                <w:szCs w:val="20"/>
              </w:rPr>
              <w:t>Configuration</w:t>
            </w:r>
          </w:p>
        </w:tc>
        <w:tc>
          <w:tcPr>
            <w:tcW w:w="2536" w:type="dxa"/>
            <w:shd w:val="clear" w:color="auto" w:fill="D9E1F2"/>
            <w:vAlign w:val="center"/>
          </w:tcPr>
          <w:p w14:paraId="20F72426" w14:textId="77777777" w:rsidR="00557FAC" w:rsidRDefault="00824C87">
            <w:pPr>
              <w:jc w:val="center"/>
              <w:rPr>
                <w:rFonts w:ascii="Arial" w:eastAsia="Arial" w:hAnsi="Arial" w:cs="Arial"/>
                <w:b/>
                <w:bCs/>
                <w:sz w:val="18"/>
                <w:szCs w:val="18"/>
              </w:rPr>
            </w:pPr>
            <w:r>
              <w:rPr>
                <w:b/>
                <w:bCs/>
                <w:sz w:val="20"/>
                <w:szCs w:val="20"/>
              </w:rPr>
              <w:t>Mean ROI (%)</w:t>
            </w:r>
          </w:p>
        </w:tc>
        <w:tc>
          <w:tcPr>
            <w:tcW w:w="2536" w:type="dxa"/>
            <w:shd w:val="clear" w:color="auto" w:fill="D9E1F2"/>
            <w:vAlign w:val="center"/>
          </w:tcPr>
          <w:p w14:paraId="44328A8D" w14:textId="77777777" w:rsidR="00557FAC" w:rsidRDefault="00824C87">
            <w:pPr>
              <w:jc w:val="center"/>
              <w:rPr>
                <w:rFonts w:ascii="Arial" w:eastAsia="Arial" w:hAnsi="Arial" w:cs="Arial"/>
                <w:b/>
                <w:bCs/>
                <w:sz w:val="18"/>
                <w:szCs w:val="18"/>
              </w:rPr>
            </w:pPr>
            <w:r>
              <w:rPr>
                <w:b/>
                <w:bCs/>
                <w:sz w:val="20"/>
                <w:szCs w:val="20"/>
              </w:rPr>
              <w:t>Win vs Unfiltered (%)</w:t>
            </w:r>
          </w:p>
        </w:tc>
        <w:tc>
          <w:tcPr>
            <w:tcW w:w="2536" w:type="dxa"/>
            <w:shd w:val="clear" w:color="auto" w:fill="D9E1F2"/>
            <w:vAlign w:val="center"/>
          </w:tcPr>
          <w:p w14:paraId="61FA2304" w14:textId="77777777" w:rsidR="00557FAC" w:rsidRDefault="00824C87">
            <w:pPr>
              <w:jc w:val="center"/>
              <w:rPr>
                <w:rFonts w:ascii="Arial" w:eastAsia="Arial" w:hAnsi="Arial" w:cs="Arial"/>
                <w:b/>
                <w:bCs/>
                <w:sz w:val="18"/>
                <w:szCs w:val="18"/>
              </w:rPr>
            </w:pPr>
            <w:r>
              <w:t>95% CI (Win %)</w:t>
            </w:r>
          </w:p>
        </w:tc>
      </w:tr>
      <w:tr w:rsidR="00557FAC" w14:paraId="2B51AC8B" w14:textId="77777777">
        <w:tc>
          <w:tcPr>
            <w:tcW w:w="2392" w:type="dxa"/>
            <w:vAlign w:val="center"/>
          </w:tcPr>
          <w:p w14:paraId="287980AE" w14:textId="77777777" w:rsidR="00557FAC" w:rsidRDefault="00824C87">
            <w:pPr>
              <w:jc w:val="both"/>
              <w:rPr>
                <w:rFonts w:ascii="Arial" w:eastAsia="Arial" w:hAnsi="Arial" w:cs="Arial"/>
                <w:sz w:val="18"/>
                <w:szCs w:val="18"/>
              </w:rPr>
            </w:pPr>
            <w:r>
              <w:rPr>
                <w:sz w:val="20"/>
                <w:szCs w:val="20"/>
              </w:rPr>
              <w:t>20→10</w:t>
            </w:r>
          </w:p>
        </w:tc>
        <w:tc>
          <w:tcPr>
            <w:tcW w:w="2536" w:type="dxa"/>
            <w:vAlign w:val="center"/>
          </w:tcPr>
          <w:p w14:paraId="584A69FA" w14:textId="77777777" w:rsidR="00557FAC" w:rsidRDefault="00824C87">
            <w:pPr>
              <w:jc w:val="center"/>
              <w:rPr>
                <w:rFonts w:ascii="Arial" w:eastAsia="Arial" w:hAnsi="Arial" w:cs="Arial"/>
                <w:sz w:val="18"/>
                <w:szCs w:val="18"/>
              </w:rPr>
            </w:pPr>
            <w:r>
              <w:rPr>
                <w:sz w:val="20"/>
                <w:szCs w:val="20"/>
              </w:rPr>
              <w:t>60.6</w:t>
            </w:r>
          </w:p>
        </w:tc>
        <w:tc>
          <w:tcPr>
            <w:tcW w:w="2536" w:type="dxa"/>
            <w:vAlign w:val="center"/>
          </w:tcPr>
          <w:p w14:paraId="39D082B3" w14:textId="77777777" w:rsidR="00557FAC" w:rsidRDefault="00824C87">
            <w:pPr>
              <w:jc w:val="center"/>
              <w:rPr>
                <w:rFonts w:ascii="Arial" w:eastAsia="Arial" w:hAnsi="Arial" w:cs="Arial"/>
                <w:sz w:val="18"/>
                <w:szCs w:val="18"/>
              </w:rPr>
            </w:pPr>
            <w:r>
              <w:rPr>
                <w:sz w:val="20"/>
                <w:szCs w:val="20"/>
              </w:rPr>
              <w:t>81.5</w:t>
            </w:r>
          </w:p>
        </w:tc>
        <w:tc>
          <w:tcPr>
            <w:tcW w:w="2536" w:type="dxa"/>
            <w:vAlign w:val="center"/>
          </w:tcPr>
          <w:p w14:paraId="0F32CF91" w14:textId="77777777" w:rsidR="00557FAC" w:rsidRDefault="00824C87">
            <w:pPr>
              <w:jc w:val="center"/>
              <w:rPr>
                <w:rFonts w:ascii="Arial" w:eastAsia="Arial" w:hAnsi="Arial" w:cs="Arial"/>
                <w:sz w:val="18"/>
                <w:szCs w:val="18"/>
              </w:rPr>
            </w:pPr>
            <w:r>
              <w:t>61.9–93.7</w:t>
            </w:r>
          </w:p>
        </w:tc>
      </w:tr>
      <w:tr w:rsidR="00557FAC" w14:paraId="44C6EDC8" w14:textId="77777777">
        <w:tc>
          <w:tcPr>
            <w:tcW w:w="2392" w:type="dxa"/>
            <w:vAlign w:val="center"/>
          </w:tcPr>
          <w:p w14:paraId="7755132E" w14:textId="77777777" w:rsidR="00557FAC" w:rsidRDefault="00824C87">
            <w:pPr>
              <w:jc w:val="both"/>
              <w:rPr>
                <w:rFonts w:ascii="Arial" w:eastAsia="Arial" w:hAnsi="Arial" w:cs="Arial"/>
                <w:sz w:val="18"/>
                <w:szCs w:val="18"/>
              </w:rPr>
            </w:pPr>
            <w:r>
              <w:rPr>
                <w:sz w:val="20"/>
                <w:szCs w:val="20"/>
              </w:rPr>
              <w:t>10→5</w:t>
            </w:r>
          </w:p>
        </w:tc>
        <w:tc>
          <w:tcPr>
            <w:tcW w:w="2536" w:type="dxa"/>
            <w:vAlign w:val="center"/>
          </w:tcPr>
          <w:p w14:paraId="15CDBEE1" w14:textId="77777777" w:rsidR="00557FAC" w:rsidRDefault="00824C87">
            <w:pPr>
              <w:jc w:val="center"/>
              <w:rPr>
                <w:rFonts w:ascii="Arial" w:eastAsia="Arial" w:hAnsi="Arial" w:cs="Arial"/>
                <w:sz w:val="18"/>
                <w:szCs w:val="18"/>
              </w:rPr>
            </w:pPr>
            <w:r>
              <w:rPr>
                <w:sz w:val="20"/>
                <w:szCs w:val="20"/>
              </w:rPr>
              <w:t>56.2</w:t>
            </w:r>
          </w:p>
        </w:tc>
        <w:tc>
          <w:tcPr>
            <w:tcW w:w="2536" w:type="dxa"/>
            <w:vAlign w:val="center"/>
          </w:tcPr>
          <w:p w14:paraId="11207843" w14:textId="77777777" w:rsidR="00557FAC" w:rsidRDefault="00824C87">
            <w:pPr>
              <w:jc w:val="center"/>
              <w:rPr>
                <w:rFonts w:ascii="Arial" w:eastAsia="Arial" w:hAnsi="Arial" w:cs="Arial"/>
                <w:sz w:val="18"/>
                <w:szCs w:val="18"/>
              </w:rPr>
            </w:pPr>
            <w:r>
              <w:rPr>
                <w:sz w:val="20"/>
                <w:szCs w:val="20"/>
              </w:rPr>
              <w:t>77.8</w:t>
            </w:r>
          </w:p>
        </w:tc>
        <w:tc>
          <w:tcPr>
            <w:tcW w:w="2536" w:type="dxa"/>
            <w:vAlign w:val="center"/>
          </w:tcPr>
          <w:p w14:paraId="25B2507F" w14:textId="77777777" w:rsidR="00557FAC" w:rsidRDefault="00824C87">
            <w:pPr>
              <w:jc w:val="center"/>
              <w:rPr>
                <w:rFonts w:ascii="Arial" w:eastAsia="Arial" w:hAnsi="Arial" w:cs="Arial"/>
                <w:sz w:val="18"/>
                <w:szCs w:val="18"/>
              </w:rPr>
            </w:pPr>
            <w:r>
              <w:t>57.7–91.4</w:t>
            </w:r>
          </w:p>
        </w:tc>
      </w:tr>
      <w:tr w:rsidR="00557FAC" w14:paraId="3ECB05AF" w14:textId="77777777">
        <w:tc>
          <w:tcPr>
            <w:tcW w:w="2392" w:type="dxa"/>
            <w:vAlign w:val="center"/>
          </w:tcPr>
          <w:p w14:paraId="1E9CDCBD" w14:textId="77777777" w:rsidR="00557FAC" w:rsidRDefault="00824C87">
            <w:pPr>
              <w:jc w:val="both"/>
              <w:rPr>
                <w:rFonts w:ascii="Arial" w:eastAsia="Arial" w:hAnsi="Arial" w:cs="Arial"/>
                <w:sz w:val="18"/>
                <w:szCs w:val="18"/>
              </w:rPr>
            </w:pPr>
            <w:r>
              <w:rPr>
                <w:sz w:val="20"/>
                <w:szCs w:val="20"/>
              </w:rPr>
              <w:t>10→3</w:t>
            </w:r>
          </w:p>
        </w:tc>
        <w:tc>
          <w:tcPr>
            <w:tcW w:w="2536" w:type="dxa"/>
            <w:vAlign w:val="center"/>
          </w:tcPr>
          <w:p w14:paraId="02CCF24A" w14:textId="77777777" w:rsidR="00557FAC" w:rsidRDefault="00824C87">
            <w:pPr>
              <w:jc w:val="center"/>
              <w:rPr>
                <w:rFonts w:ascii="Arial" w:eastAsia="Arial" w:hAnsi="Arial" w:cs="Arial"/>
                <w:sz w:val="18"/>
                <w:szCs w:val="18"/>
              </w:rPr>
            </w:pPr>
            <w:r>
              <w:rPr>
                <w:sz w:val="20"/>
                <w:szCs w:val="20"/>
              </w:rPr>
              <w:t>54.1</w:t>
            </w:r>
          </w:p>
        </w:tc>
        <w:tc>
          <w:tcPr>
            <w:tcW w:w="2536" w:type="dxa"/>
            <w:vAlign w:val="center"/>
          </w:tcPr>
          <w:p w14:paraId="0B77BA22"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0B2C5524" w14:textId="77777777" w:rsidR="00557FAC" w:rsidRDefault="00824C87">
            <w:pPr>
              <w:jc w:val="center"/>
              <w:rPr>
                <w:rFonts w:ascii="Arial" w:eastAsia="Arial" w:hAnsi="Arial" w:cs="Arial"/>
                <w:sz w:val="18"/>
                <w:szCs w:val="18"/>
              </w:rPr>
            </w:pPr>
            <w:r>
              <w:t>53.7–88.9</w:t>
            </w:r>
          </w:p>
        </w:tc>
      </w:tr>
      <w:tr w:rsidR="00557FAC" w14:paraId="33205DF9" w14:textId="77777777">
        <w:tc>
          <w:tcPr>
            <w:tcW w:w="2392" w:type="dxa"/>
            <w:vAlign w:val="center"/>
          </w:tcPr>
          <w:p w14:paraId="0DA5DD54" w14:textId="77777777" w:rsidR="00557FAC" w:rsidRDefault="00824C87">
            <w:pPr>
              <w:jc w:val="both"/>
              <w:rPr>
                <w:rFonts w:ascii="Arial" w:eastAsia="Arial" w:hAnsi="Arial" w:cs="Arial"/>
                <w:sz w:val="18"/>
                <w:szCs w:val="18"/>
              </w:rPr>
            </w:pPr>
            <w:r>
              <w:rPr>
                <w:sz w:val="20"/>
                <w:szCs w:val="20"/>
              </w:rPr>
              <w:t>20→5</w:t>
            </w:r>
          </w:p>
        </w:tc>
        <w:tc>
          <w:tcPr>
            <w:tcW w:w="2536" w:type="dxa"/>
            <w:vAlign w:val="center"/>
          </w:tcPr>
          <w:p w14:paraId="2F28886E" w14:textId="77777777" w:rsidR="00557FAC" w:rsidRDefault="00824C87">
            <w:pPr>
              <w:jc w:val="center"/>
              <w:rPr>
                <w:rFonts w:ascii="Arial" w:eastAsia="Arial" w:hAnsi="Arial" w:cs="Arial"/>
                <w:sz w:val="18"/>
                <w:szCs w:val="18"/>
              </w:rPr>
            </w:pPr>
            <w:r>
              <w:rPr>
                <w:sz w:val="20"/>
                <w:szCs w:val="20"/>
              </w:rPr>
              <w:t>50.4</w:t>
            </w:r>
          </w:p>
        </w:tc>
        <w:tc>
          <w:tcPr>
            <w:tcW w:w="2536" w:type="dxa"/>
            <w:vAlign w:val="center"/>
          </w:tcPr>
          <w:p w14:paraId="41069E2E"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35EF29B9" w14:textId="77777777" w:rsidR="00557FAC" w:rsidRDefault="00824C87">
            <w:pPr>
              <w:jc w:val="center"/>
              <w:rPr>
                <w:rFonts w:ascii="Arial" w:eastAsia="Arial" w:hAnsi="Arial" w:cs="Arial"/>
                <w:sz w:val="18"/>
                <w:szCs w:val="18"/>
              </w:rPr>
            </w:pPr>
            <w:r>
              <w:t>53.7–88.9</w:t>
            </w:r>
          </w:p>
        </w:tc>
      </w:tr>
      <w:tr w:rsidR="00557FAC" w14:paraId="31FF5E91" w14:textId="77777777">
        <w:tc>
          <w:tcPr>
            <w:tcW w:w="2392" w:type="dxa"/>
            <w:vAlign w:val="center"/>
          </w:tcPr>
          <w:p w14:paraId="7BC1E309" w14:textId="77777777" w:rsidR="00557FAC" w:rsidRDefault="00824C87">
            <w:pPr>
              <w:jc w:val="both"/>
              <w:rPr>
                <w:rFonts w:ascii="Arial" w:eastAsia="Arial" w:hAnsi="Arial" w:cs="Arial"/>
                <w:sz w:val="18"/>
                <w:szCs w:val="18"/>
              </w:rPr>
            </w:pPr>
            <w:r>
              <w:rPr>
                <w:sz w:val="20"/>
                <w:szCs w:val="20"/>
              </w:rPr>
              <w:t>unfiltered</w:t>
            </w:r>
          </w:p>
        </w:tc>
        <w:tc>
          <w:tcPr>
            <w:tcW w:w="2536" w:type="dxa"/>
            <w:vAlign w:val="center"/>
          </w:tcPr>
          <w:p w14:paraId="582FB858" w14:textId="77777777" w:rsidR="00557FAC" w:rsidRDefault="00824C87">
            <w:pPr>
              <w:jc w:val="center"/>
              <w:rPr>
                <w:rFonts w:ascii="Arial" w:eastAsia="Arial" w:hAnsi="Arial" w:cs="Arial"/>
                <w:sz w:val="18"/>
                <w:szCs w:val="18"/>
              </w:rPr>
            </w:pPr>
            <w:r>
              <w:rPr>
                <w:sz w:val="20"/>
                <w:szCs w:val="20"/>
              </w:rPr>
              <w:t>45.7</w:t>
            </w:r>
          </w:p>
        </w:tc>
        <w:tc>
          <w:tcPr>
            <w:tcW w:w="2536" w:type="dxa"/>
            <w:vAlign w:val="center"/>
          </w:tcPr>
          <w:p w14:paraId="39BFED59" w14:textId="77777777" w:rsidR="00557FAC" w:rsidRDefault="00824C87">
            <w:pPr>
              <w:jc w:val="center"/>
              <w:rPr>
                <w:rFonts w:ascii="Arial" w:eastAsia="Arial" w:hAnsi="Arial" w:cs="Arial"/>
                <w:sz w:val="18"/>
                <w:szCs w:val="18"/>
              </w:rPr>
            </w:pPr>
            <w:r>
              <w:rPr>
                <w:sz w:val="20"/>
                <w:szCs w:val="20"/>
              </w:rPr>
              <w:t>—</w:t>
            </w:r>
          </w:p>
        </w:tc>
        <w:tc>
          <w:tcPr>
            <w:tcW w:w="2536" w:type="dxa"/>
            <w:vAlign w:val="center"/>
          </w:tcPr>
          <w:p w14:paraId="13013FF5" w14:textId="77777777" w:rsidR="00557FAC" w:rsidRDefault="00824C87">
            <w:pPr>
              <w:jc w:val="center"/>
              <w:rPr>
                <w:rFonts w:ascii="Arial" w:eastAsia="Arial" w:hAnsi="Arial" w:cs="Arial"/>
                <w:sz w:val="18"/>
                <w:szCs w:val="18"/>
              </w:rPr>
            </w:pPr>
            <w:r>
              <w:t>—</w:t>
            </w:r>
          </w:p>
        </w:tc>
      </w:tr>
      <w:tr w:rsidR="00557FAC" w14:paraId="034A9A8C" w14:textId="77777777">
        <w:tc>
          <w:tcPr>
            <w:tcW w:w="2392" w:type="dxa"/>
            <w:vAlign w:val="center"/>
          </w:tcPr>
          <w:p w14:paraId="2CDB9BDF" w14:textId="77777777" w:rsidR="00557FAC" w:rsidRDefault="00824C87">
            <w:pPr>
              <w:jc w:val="both"/>
              <w:rPr>
                <w:rFonts w:ascii="Arial" w:eastAsia="Arial" w:hAnsi="Arial" w:cs="Arial"/>
                <w:sz w:val="18"/>
                <w:szCs w:val="18"/>
              </w:rPr>
            </w:pPr>
            <w:r>
              <w:rPr>
                <w:sz w:val="20"/>
                <w:szCs w:val="20"/>
              </w:rPr>
              <w:t>30→15</w:t>
            </w:r>
          </w:p>
        </w:tc>
        <w:tc>
          <w:tcPr>
            <w:tcW w:w="2536" w:type="dxa"/>
            <w:vAlign w:val="center"/>
          </w:tcPr>
          <w:p w14:paraId="7FF78084" w14:textId="77777777" w:rsidR="00557FAC" w:rsidRDefault="00824C87">
            <w:pPr>
              <w:jc w:val="center"/>
              <w:rPr>
                <w:rFonts w:ascii="Arial" w:eastAsia="Arial" w:hAnsi="Arial" w:cs="Arial"/>
                <w:sz w:val="18"/>
                <w:szCs w:val="18"/>
              </w:rPr>
            </w:pPr>
            <w:r>
              <w:rPr>
                <w:sz w:val="20"/>
                <w:szCs w:val="20"/>
              </w:rPr>
              <w:t>44.2</w:t>
            </w:r>
          </w:p>
        </w:tc>
        <w:tc>
          <w:tcPr>
            <w:tcW w:w="2536" w:type="dxa"/>
            <w:vAlign w:val="center"/>
          </w:tcPr>
          <w:p w14:paraId="550A453B"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060EDD40" w14:textId="77777777" w:rsidR="00557FAC" w:rsidRDefault="00824C87">
            <w:pPr>
              <w:jc w:val="center"/>
              <w:rPr>
                <w:rFonts w:ascii="Arial" w:eastAsia="Arial" w:hAnsi="Arial" w:cs="Arial"/>
                <w:sz w:val="18"/>
                <w:szCs w:val="18"/>
              </w:rPr>
            </w:pPr>
            <w:r>
              <w:t>22.4–61.2</w:t>
            </w:r>
          </w:p>
        </w:tc>
      </w:tr>
      <w:tr w:rsidR="00557FAC" w14:paraId="4B1A151F" w14:textId="77777777">
        <w:tc>
          <w:tcPr>
            <w:tcW w:w="2392" w:type="dxa"/>
            <w:vAlign w:val="center"/>
          </w:tcPr>
          <w:p w14:paraId="6017AC79" w14:textId="77777777" w:rsidR="00557FAC" w:rsidRDefault="00824C87">
            <w:pPr>
              <w:jc w:val="both"/>
              <w:rPr>
                <w:rFonts w:ascii="Arial" w:eastAsia="Arial" w:hAnsi="Arial" w:cs="Arial"/>
                <w:sz w:val="18"/>
                <w:szCs w:val="18"/>
              </w:rPr>
            </w:pPr>
            <w:r>
              <w:rPr>
                <w:sz w:val="20"/>
                <w:szCs w:val="20"/>
              </w:rPr>
              <w:t>5→3</w:t>
            </w:r>
          </w:p>
        </w:tc>
        <w:tc>
          <w:tcPr>
            <w:tcW w:w="2536" w:type="dxa"/>
            <w:vAlign w:val="center"/>
          </w:tcPr>
          <w:p w14:paraId="07407FF8" w14:textId="77777777" w:rsidR="00557FAC" w:rsidRDefault="00824C87">
            <w:pPr>
              <w:jc w:val="center"/>
              <w:rPr>
                <w:rFonts w:ascii="Arial" w:eastAsia="Arial" w:hAnsi="Arial" w:cs="Arial"/>
                <w:sz w:val="18"/>
                <w:szCs w:val="18"/>
              </w:rPr>
            </w:pPr>
            <w:r>
              <w:rPr>
                <w:sz w:val="20"/>
                <w:szCs w:val="20"/>
              </w:rPr>
              <w:t>42.2</w:t>
            </w:r>
          </w:p>
        </w:tc>
        <w:tc>
          <w:tcPr>
            <w:tcW w:w="2536" w:type="dxa"/>
            <w:vAlign w:val="center"/>
          </w:tcPr>
          <w:p w14:paraId="507A07B0"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7485C66C" w14:textId="77777777" w:rsidR="00557FAC" w:rsidRDefault="00824C87">
            <w:pPr>
              <w:jc w:val="center"/>
              <w:rPr>
                <w:rFonts w:ascii="Arial" w:eastAsia="Arial" w:hAnsi="Arial" w:cs="Arial"/>
                <w:sz w:val="18"/>
                <w:szCs w:val="18"/>
              </w:rPr>
            </w:pPr>
            <w:r>
              <w:t>22.4–61.2</w:t>
            </w:r>
          </w:p>
        </w:tc>
      </w:tr>
      <w:tr w:rsidR="00557FAC" w14:paraId="1FF352F3" w14:textId="77777777">
        <w:tc>
          <w:tcPr>
            <w:tcW w:w="2392" w:type="dxa"/>
            <w:vAlign w:val="center"/>
          </w:tcPr>
          <w:p w14:paraId="42A911B7" w14:textId="77777777" w:rsidR="00557FAC" w:rsidRDefault="00824C87">
            <w:pPr>
              <w:jc w:val="both"/>
              <w:rPr>
                <w:rFonts w:ascii="Arial" w:eastAsia="Arial" w:hAnsi="Arial" w:cs="Arial"/>
                <w:sz w:val="18"/>
                <w:szCs w:val="18"/>
              </w:rPr>
            </w:pPr>
            <w:r>
              <w:rPr>
                <w:sz w:val="20"/>
                <w:szCs w:val="20"/>
              </w:rPr>
              <w:t>30→10</w:t>
            </w:r>
          </w:p>
        </w:tc>
        <w:tc>
          <w:tcPr>
            <w:tcW w:w="2536" w:type="dxa"/>
            <w:vAlign w:val="center"/>
          </w:tcPr>
          <w:p w14:paraId="6B196FF2" w14:textId="77777777" w:rsidR="00557FAC" w:rsidRDefault="00824C87">
            <w:pPr>
              <w:jc w:val="center"/>
              <w:rPr>
                <w:rFonts w:ascii="Arial" w:eastAsia="Arial" w:hAnsi="Arial" w:cs="Arial"/>
                <w:sz w:val="18"/>
                <w:szCs w:val="18"/>
              </w:rPr>
            </w:pPr>
            <w:r>
              <w:rPr>
                <w:sz w:val="20"/>
                <w:szCs w:val="20"/>
              </w:rPr>
              <w:t>40.1</w:t>
            </w:r>
          </w:p>
        </w:tc>
        <w:tc>
          <w:tcPr>
            <w:tcW w:w="2536" w:type="dxa"/>
            <w:vAlign w:val="center"/>
          </w:tcPr>
          <w:p w14:paraId="49E88848" w14:textId="77777777" w:rsidR="00557FAC" w:rsidRDefault="00824C87">
            <w:pPr>
              <w:jc w:val="center"/>
              <w:rPr>
                <w:rFonts w:ascii="Arial" w:eastAsia="Arial" w:hAnsi="Arial" w:cs="Arial"/>
                <w:sz w:val="18"/>
                <w:szCs w:val="18"/>
              </w:rPr>
            </w:pPr>
            <w:r>
              <w:rPr>
                <w:sz w:val="20"/>
                <w:szCs w:val="20"/>
              </w:rPr>
              <w:t>33.3</w:t>
            </w:r>
          </w:p>
        </w:tc>
        <w:tc>
          <w:tcPr>
            <w:tcW w:w="2536" w:type="dxa"/>
            <w:vAlign w:val="center"/>
          </w:tcPr>
          <w:p w14:paraId="78C10540" w14:textId="77777777" w:rsidR="00557FAC" w:rsidRDefault="00824C87">
            <w:pPr>
              <w:jc w:val="center"/>
              <w:rPr>
                <w:rFonts w:ascii="Arial" w:eastAsia="Arial" w:hAnsi="Arial" w:cs="Arial"/>
                <w:sz w:val="18"/>
                <w:szCs w:val="18"/>
              </w:rPr>
            </w:pPr>
            <w:r>
              <w:t>16.5–54.0</w:t>
            </w:r>
          </w:p>
        </w:tc>
      </w:tr>
      <w:tr w:rsidR="00557FAC" w14:paraId="7A9BD63E" w14:textId="77777777">
        <w:tc>
          <w:tcPr>
            <w:tcW w:w="2392" w:type="dxa"/>
            <w:vAlign w:val="center"/>
          </w:tcPr>
          <w:p w14:paraId="54C200EE" w14:textId="77777777" w:rsidR="00557FAC" w:rsidRDefault="00824C87">
            <w:pPr>
              <w:jc w:val="both"/>
              <w:rPr>
                <w:rFonts w:ascii="Arial" w:eastAsia="Arial" w:hAnsi="Arial" w:cs="Arial"/>
                <w:sz w:val="18"/>
                <w:szCs w:val="18"/>
              </w:rPr>
            </w:pPr>
            <w:r>
              <w:rPr>
                <w:sz w:val="20"/>
                <w:szCs w:val="20"/>
              </w:rPr>
              <w:t>Ranked</w:t>
            </w:r>
          </w:p>
        </w:tc>
        <w:tc>
          <w:tcPr>
            <w:tcW w:w="2536" w:type="dxa"/>
            <w:vAlign w:val="center"/>
          </w:tcPr>
          <w:p w14:paraId="31AA7D55" w14:textId="77777777" w:rsidR="00557FAC" w:rsidRDefault="00824C87">
            <w:pPr>
              <w:jc w:val="center"/>
              <w:rPr>
                <w:rFonts w:ascii="Arial" w:eastAsia="Arial" w:hAnsi="Arial" w:cs="Arial"/>
                <w:sz w:val="18"/>
                <w:szCs w:val="18"/>
              </w:rPr>
            </w:pPr>
            <w:r>
              <w:rPr>
                <w:sz w:val="20"/>
                <w:szCs w:val="20"/>
              </w:rPr>
              <w:t>38.9</w:t>
            </w:r>
          </w:p>
        </w:tc>
        <w:tc>
          <w:tcPr>
            <w:tcW w:w="2536" w:type="dxa"/>
            <w:vAlign w:val="center"/>
          </w:tcPr>
          <w:p w14:paraId="7496FBAB" w14:textId="77777777" w:rsidR="00557FAC" w:rsidRDefault="00824C87">
            <w:pPr>
              <w:jc w:val="center"/>
              <w:rPr>
                <w:rFonts w:ascii="Arial" w:eastAsia="Arial" w:hAnsi="Arial" w:cs="Arial"/>
                <w:sz w:val="18"/>
                <w:szCs w:val="18"/>
              </w:rPr>
            </w:pPr>
            <w:r>
              <w:rPr>
                <w:sz w:val="20"/>
                <w:szCs w:val="20"/>
              </w:rPr>
              <w:t>29.6</w:t>
            </w:r>
          </w:p>
        </w:tc>
        <w:tc>
          <w:tcPr>
            <w:tcW w:w="2536" w:type="dxa"/>
            <w:vAlign w:val="center"/>
          </w:tcPr>
          <w:p w14:paraId="5F41CE7F" w14:textId="77777777" w:rsidR="00557FAC" w:rsidRDefault="00824C87">
            <w:pPr>
              <w:jc w:val="center"/>
              <w:rPr>
                <w:rFonts w:ascii="Arial" w:eastAsia="Arial" w:hAnsi="Arial" w:cs="Arial"/>
                <w:sz w:val="18"/>
                <w:szCs w:val="18"/>
              </w:rPr>
            </w:pPr>
            <w:r>
              <w:t>13.8–50.2</w:t>
            </w:r>
          </w:p>
        </w:tc>
      </w:tr>
      <w:tr w:rsidR="00557FAC" w14:paraId="08871623" w14:textId="77777777">
        <w:tc>
          <w:tcPr>
            <w:tcW w:w="2392" w:type="dxa"/>
            <w:vAlign w:val="center"/>
          </w:tcPr>
          <w:p w14:paraId="47770F3F" w14:textId="77777777" w:rsidR="00557FAC" w:rsidRDefault="00824C87">
            <w:pPr>
              <w:jc w:val="both"/>
              <w:rPr>
                <w:rFonts w:ascii="Arial" w:eastAsia="Arial" w:hAnsi="Arial" w:cs="Arial"/>
                <w:sz w:val="18"/>
                <w:szCs w:val="18"/>
              </w:rPr>
            </w:pPr>
            <w:r>
              <w:rPr>
                <w:sz w:val="20"/>
                <w:szCs w:val="20"/>
              </w:rPr>
              <w:t>30→5</w:t>
            </w:r>
          </w:p>
        </w:tc>
        <w:tc>
          <w:tcPr>
            <w:tcW w:w="2536" w:type="dxa"/>
            <w:vAlign w:val="center"/>
          </w:tcPr>
          <w:p w14:paraId="3D90AE24" w14:textId="77777777" w:rsidR="00557FAC" w:rsidRDefault="00824C87">
            <w:pPr>
              <w:jc w:val="center"/>
              <w:rPr>
                <w:rFonts w:ascii="Arial" w:eastAsia="Arial" w:hAnsi="Arial" w:cs="Arial"/>
                <w:sz w:val="18"/>
                <w:szCs w:val="18"/>
              </w:rPr>
            </w:pPr>
            <w:r>
              <w:rPr>
                <w:sz w:val="20"/>
                <w:szCs w:val="20"/>
              </w:rPr>
              <w:t>32.3</w:t>
            </w:r>
          </w:p>
        </w:tc>
        <w:tc>
          <w:tcPr>
            <w:tcW w:w="2536" w:type="dxa"/>
            <w:vAlign w:val="center"/>
          </w:tcPr>
          <w:p w14:paraId="72757524" w14:textId="77777777" w:rsidR="00557FAC" w:rsidRDefault="00824C87">
            <w:pPr>
              <w:jc w:val="center"/>
              <w:rPr>
                <w:rFonts w:ascii="Arial" w:eastAsia="Arial" w:hAnsi="Arial" w:cs="Arial"/>
                <w:sz w:val="18"/>
                <w:szCs w:val="18"/>
              </w:rPr>
            </w:pPr>
            <w:r>
              <w:rPr>
                <w:sz w:val="20"/>
                <w:szCs w:val="20"/>
              </w:rPr>
              <w:t>18.5</w:t>
            </w:r>
          </w:p>
        </w:tc>
        <w:tc>
          <w:tcPr>
            <w:tcW w:w="2536" w:type="dxa"/>
            <w:vAlign w:val="center"/>
          </w:tcPr>
          <w:p w14:paraId="1F1BCCA8" w14:textId="77777777" w:rsidR="00557FAC" w:rsidRDefault="00824C87">
            <w:pPr>
              <w:jc w:val="center"/>
              <w:rPr>
                <w:rFonts w:ascii="Arial" w:eastAsia="Arial" w:hAnsi="Arial" w:cs="Arial"/>
                <w:sz w:val="18"/>
                <w:szCs w:val="18"/>
              </w:rPr>
            </w:pPr>
            <w:r>
              <w:t>6.3–38.1</w:t>
            </w:r>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
      <w:bookmarkStart w:id="4" w:name="_ctluvkvjukgc" w:colFirst="0" w:colLast="0"/>
      <w:bookmarkEnd w:id="4"/>
      <w:r>
        <w:t>Table 1. GPT-5.1 mean ROI and win rate versus the unfiltered baseline, by filtering configuration (sorted by mean ROI).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w:t>
      </w:r>
      <w:r>
        <w:t>unfiltered baseline, holding the evaluation window and generation group fixed.</w:t>
      </w:r>
    </w:p>
    <w:p w14:paraId="152EDF7D" w14:textId="77777777" w:rsidR="00557FAC" w:rsidRDefault="00824C87">
      <w:pPr>
        <w:spacing w:before="40" w:after="40"/>
        <w:jc w:val="both"/>
      </w:pPr>
      <w:r>
        <w:lastRenderedPageBreak/>
        <w:t>Filtering substantially improved GPT-5.1’s performance: 20→10 beat the unfiltered baseline in 81.5% of matched window comparisons (22/27; exact 95% CI 61.9–93.7%), followed by 10→5 (77.8%; CI 57.7–91.4%) and 10→3 and 20→5 (both 74.1%; CI 53.7–88.9%). The exception is the highly selective 5→3 (40.7%; CI 22.4–61.2%), which trades return for the lowest run-to-run variability (see Return Variance and Consistency Comparison). The well-sized configurations thus beat single-pass prompting in roughly three of four matched window comparisons.</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pPr>
      <w:r>
        <w:t xml:space="preserve">A component ablation tests whether the advantage over the unfiltered baseline reflects </w:t>
      </w:r>
      <w:r>
        <w:t>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Context length is therefore not the driver: a prompt carrying the same or more material does not outperform the staged pipeline. Token counts and full paired statistics are in the Supplementary Information.</w:t>
      </w:r>
    </w:p>
    <w:p w14:paraId="1738AD5A" w14:textId="77777777" w:rsidR="000D0B6D" w:rsidRDefault="000D0B6D">
      <w:pPr>
        <w:jc w:val="both"/>
      </w:pPr>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14:paraId="3EC2531A" w14:textId="5710E599" w:rsidR="00557FAC" w:rsidRDefault="00824C87">
      <w:pPr>
        <w:spacing w:before="40" w:after="40"/>
        <w:jc w:val="both"/>
        <w:rPr>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 though because consecutive 12-month windows overlap, these comparisons should be read as matched within-window contrasts rather than as outcomes in independent years.</w:t>
      </w:r>
    </w:p>
    <w:p w14:paraId="3FFAD98C" w14:textId="77777777" w:rsidR="00557FAC" w:rsidRDefault="00824C87">
      <w:pPr>
        <w:jc w:val="both"/>
      </w:pPr>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14:paraId="508BEFC7" w14:textId="77777777" w:rsidR="00557FAC" w:rsidRDefault="00824C87">
      <w:pPr>
        <w:pStyle w:val="Heading2"/>
        <w:keepNext/>
      </w:pPr>
      <w:bookmarkStart w:id="5" w:name="_78jqzc26ooo6" w:colFirst="0" w:colLast="0"/>
      <w:bookmarkEnd w:id="5"/>
      <w:r>
        <w:lastRenderedPageBreak/>
        <w:t>Overall Trends</w:t>
      </w:r>
    </w:p>
    <w:p w14:paraId="237A808F" w14:textId="77777777" w:rsidR="00557FAC" w:rsidRDefault="00824C87">
      <w:pPr>
        <w:keepNext/>
        <w:jc w:val="center"/>
        <w:rPr>
          <w:b/>
          <w:bCs/>
          <w:i/>
          <w:iCs/>
          <w:sz w:val="21"/>
          <w:szCs w:val="21"/>
        </w:rPr>
      </w:pPr>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120640" cy="2455048"/>
                    </a:xfrm>
                    <a:prstGeom prst="rect">
                      <a:avLst/>
                    </a:prstGeom>
                    <a:ln/>
                  </pic:spPr>
                </pic:pic>
              </a:graphicData>
            </a:graphic>
          </wp:inline>
        </w:drawing>
      </w:r>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Figure 3. GPT-5.1 mean ROI across rolling 12-month evaluation windows, with the corresponding S&amp;P 500 benchmark return.</w:t>
      </w:r>
    </w:p>
    <w:p w14:paraId="5476547E" w14:textId="5CDC0113" w:rsidR="00557FAC" w:rsidRDefault="00824C87">
      <w:pPr>
        <w:spacing w:before="40" w:after="40"/>
        <w:jc w:val="both"/>
      </w:pPr>
      <w:r>
        <w:t>GPT-5.1’s mean ROI exceeded the S&amp;P 500 in every evaluation window tested.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window × generation-group × configuration cells.</w:t>
      </w:r>
    </w:p>
    <w:p w14:paraId="5A943B1E" w14:textId="77777777" w:rsidR="00557FAC" w:rsidRDefault="00824C87">
      <w:pPr>
        <w:spacing w:before="40" w:after="40"/>
        <w:jc w:val="both"/>
      </w:pPr>
      <w:r>
        <w:t xml:space="preserve">GPT-5.1 contributes nine completed rolling windows, with start dates from October 2024 through June 2025 (end dates October 2025 through June 2026); earlier windows are excluded by the model’s training-cutoff constraint. The weakest window, October 2024 </w:t>
      </w:r>
      <w:r>
        <w:t>to October 2025, still returned 37.1%, and the strongest, May 2025 to May 2026, reached 69.0%, in each case well above the corresponding benchmark return.</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szCs w:val="25"/>
        </w:rPr>
        <w:lastRenderedPageBreak/>
        <w:t>Return Variance and Consistency Comparison</w:t>
      </w:r>
    </w:p>
    <w:p w14:paraId="2561EEBC" w14:textId="77777777" w:rsidR="00557FAC" w:rsidRDefault="00824C87">
      <w:pPr>
        <w:keepNext/>
        <w:spacing w:before="40" w:after="40"/>
        <w:jc w:val="center"/>
      </w:pPr>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2958112"/>
                    </a:xfrm>
                    <a:prstGeom prst="rect">
                      <a:avLst/>
                    </a:prstGeom>
                    <a:ln/>
                  </pic:spPr>
                </pic:pic>
              </a:graphicData>
            </a:graphic>
          </wp:inline>
        </w:drawing>
      </w:r>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Figure 4. GPT-5.1 coefficient of variation (CV) for every filtering configuration, colored by initial Stage-One pool size; lower values indicate more stable returns.</w:t>
      </w:r>
    </w:p>
    <w:p w14:paraId="47B3A52E" w14:textId="77777777" w:rsidR="00557FAC" w:rsidRDefault="00824C87">
      <w:pPr>
        <w:spacing w:before="40" w:after="40"/>
        <w:jc w:val="both"/>
        <w:rPr>
          <w:rFonts w:ascii="Arial" w:eastAsia="Arial" w:hAnsi="Arial" w:cs="Arial"/>
        </w:rPr>
      </w:pPr>
      <w:r>
        <w:t>Filtering also shaped return consistency, though not monotonically: returns were steadiest at both extremes of filtering and more variable between. Figure 4 reports each configuration’s coefficient of variation (CV); lower CV means tighter clustering around the mean.</w:t>
      </w:r>
    </w:p>
    <w:p w14:paraId="51D4BACA" w14:textId="77777777" w:rsidR="00557FAC" w:rsidRDefault="00824C87">
      <w:pPr>
        <w:spacing w:before="40" w:after="40"/>
        <w:jc w:val="both"/>
        <w:rPr>
          <w:rFonts w:ascii="Arial" w:eastAsia="Arial" w:hAnsi="Arial" w:cs="Arial"/>
        </w:rPr>
      </w:pPr>
      <w:r>
        <w:t>For GPT-5.1, the most consistent configurations were the highly selective 5→3 (CV 26.3%) and the unfiltered baseline (27.1%), with 20→10 close behind (30.5%). The highest-returning configurations—10→5, 20→5, and 10→3—were moderately less consistent (CV 42–53%), so the return advantage came with somewhat wider run-to-run spread.</w:t>
      </w:r>
    </w:p>
    <w:p w14:paraId="690EB27E" w14:textId="77777777" w:rsidR="00557FAC" w:rsidRDefault="00824C87">
      <w:pPr>
        <w:spacing w:before="40" w:after="40"/>
        <w:jc w:val="both"/>
      </w:pPr>
      <w:r>
        <w:t xml:space="preserve">This ordering follows from the same structural settings that drive return,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w:t>
      </w:r>
      <w:r>
        <w:t>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Filtering therefore shapes not only the level of GPT-5.1’s returns but also their spread, which lets a practitioner trade a portion of return for more predictable outcomes by moving toward the more selective end of the grid.</w:t>
      </w:r>
    </w:p>
    <w:p w14:paraId="53F78D4F" w14:textId="77777777" w:rsidR="00557FAC" w:rsidRDefault="00824C87">
      <w:pPr>
        <w:pStyle w:val="Heading2"/>
        <w:keepNext/>
      </w:pPr>
      <w:r>
        <w:lastRenderedPageBreak/>
        <w:t>Model Comparison and Configuration Selection</w:t>
      </w:r>
    </w:p>
    <w:p w14:paraId="5AF4FA3F" w14:textId="77777777" w:rsidR="00557FAC" w:rsidRDefault="00824C87">
      <w:pPr>
        <w:keepNext/>
        <w:jc w:val="center"/>
      </w:pPr>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120640" cy="3284869"/>
                    </a:xfrm>
                    <a:prstGeom prst="rect">
                      <a:avLst/>
                    </a:prstGeom>
                    <a:ln/>
                  </pic:spPr>
                </pic:pic>
              </a:graphicData>
            </a:graphic>
          </wp:inline>
        </w:drawing>
      </w:r>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5.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
      <w: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14:paraId="47A17884" w14:textId="77777777" w:rsidR="00557FAC" w:rsidRDefault="00824C87">
      <w:pPr>
        <w:jc w:val="both"/>
      </w:pPr>
      <w:r>
        <w:t xml:space="preserve">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w:t>
      </w:r>
      <w:r>
        <w:t>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
      <w:r>
        <w:t xml:space="preserve">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w:t>
      </w:r>
      <w:r>
        <w:lastRenderedPageBreak/>
        <w:t>consistent pattern emerges: the best Stage One pool is roughly twice the target portfolio size (consistent with the 2× hypothesis). The over-filtered methods identified above are dominated at every portfolio size and are not recommended.</w:t>
      </w:r>
    </w:p>
    <w:p w14:paraId="5BAE3A88" w14:textId="77777777" w:rsidR="0095515F" w:rsidRDefault="0095515F">
      <w:pPr>
        <w:jc w:val="both"/>
      </w:pPr>
      <w:r>
        <w:t xml:space="preserve">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t>
      </w:r>
      <w:r>
        <w:t>(Wilcoxon p = 0.004). The report-validation stage therefore carries genuine company-specific signal.</w:t>
      </w:r>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configuration-by-target-size pattern above holds for the same reason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9E68769" w14:textId="77777777" w:rsidR="00557FAC" w:rsidRDefault="00824C87">
      <w:pPr>
        <w:keepNext/>
        <w:jc w:val="center"/>
      </w:pPr>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120640" cy="2898352"/>
                    </a:xfrm>
                    <a:prstGeom prst="rect">
                      <a:avLst/>
                    </a:prstGeom>
                    <a:ln/>
                  </pic:spPr>
                </pic:pic>
              </a:graphicData>
            </a:graphic>
          </wp:inline>
        </w:drawing>
      </w:r>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6.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eastAsia="Arial" w:hAnsi="Arial" w:cs="Arial"/>
        </w:rPr>
      </w:pPr>
      <w:r>
        <w:t xml:space="preserve">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w:t>
      </w:r>
      <w:r>
        <w:t xml:space="preserve">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computed as the sum, across that sector’s holdings, of each position’s initial weight times its window return, divided by the portfolio’s total return, with both quantities pooled </w:t>
      </w:r>
      <w:r>
        <w:lastRenderedPageBreak/>
        <w:t>(summed) across runs (equivalently, averaged, since the per-run count cancels); because individual contributions can be negative, a sector’s return share can exceed or fall below its weight share, and the shares sum to 100% by construction.</w:t>
      </w:r>
    </w:p>
    <w:p w14:paraId="4A5F2784" w14:textId="77777777" w:rsidR="00557FAC" w:rsidRDefault="00824C87">
      <w:pPr>
        <w:pStyle w:val="Heading2"/>
        <w:keepNext/>
        <w:keepLines/>
      </w:pPr>
      <w:r>
        <w:t>Benchmark Robustness, Ablations, and Weighting</w:t>
      </w:r>
    </w:p>
    <w:p w14:paraId="3F7BC1A1" w14:textId="77777777" w:rsidR="00557FAC" w:rsidRDefault="00824C87">
      <w:pPr>
        <w:jc w:val="both"/>
      </w:pPr>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p>
    <w:p w14:paraId="5029F302" w14:textId="77777777" w:rsidR="00557FAC" w:rsidRDefault="00824C87">
      <w:pPr>
        <w:jc w:val="both"/>
      </w:pPr>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14:paraId="09C00CB1" w14:textId="77777777" w:rsidR="00557FAC" w:rsidRDefault="00824C87">
      <w:pPr>
        <w:jc w:val="both"/>
      </w:pPr>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14:paraId="27B3958E" w14:textId="77777777" w:rsidR="00557FAC" w:rsidRDefault="00824C87">
      <w:pPr>
        <w:jc w:val="both"/>
      </w:pPr>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14:paraId="2F7D255B" w14:textId="77777777" w:rsidR="00557FAC" w:rsidRDefault="00824C87">
      <w:pPr>
        <w:jc w:val="both"/>
      </w:pPr>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p>
    <w:p w14:paraId="6F0ED372" w14:textId="77777777" w:rsidR="00557FAC" w:rsidRDefault="00824C87">
      <w:pPr>
        <w:jc w:val="both"/>
      </w:pPr>
      <w:r>
        <w:t xml:space="preserve">Risk-adjusted performance moves in the same direction as raw return. For GPT-5.1, the best configuration (20→10) earns a median Sharpe ratio of 1.70 and Sortino of 2.66, against 1.34 and 2.04 for the unfiltered baseline and 0.98 for the S&amp;P 500 over the same windows; the weakest configuration (30→5) falls to 1.30. </w:t>
      </w:r>
      <w:r>
        <w:lastRenderedPageBreak/>
        <w:t>Annualized volatility is similar across configurations (about 22–28%) and maximum drawdowns cluster between −22% and −24%, so the return gains from moderate filtering are not obtained by taking proportionally more risk. Full volatility, drawdown, and risk-adjusted statistics for every configuration and model are reported in the Supplementary Information.</w:t>
      </w:r>
    </w:p>
    <w:p w14:paraId="26D2AFE1" w14:textId="77777777" w:rsidR="00557FAC" w:rsidRDefault="00824C87">
      <w:pPr>
        <w:pStyle w:val="Heading1"/>
        <w:keepNext/>
        <w:keepLines/>
      </w:pPr>
      <w:r>
        <w:t>Discussion</w:t>
      </w:r>
    </w:p>
    <w:p w14:paraId="7BB22121" w14:textId="77777777" w:rsidR="00557FAC" w:rsidRDefault="00824C87">
      <w:pPr>
        <w:pStyle w:val="Heading2"/>
        <w:keepNext/>
        <w:keepLines/>
      </w:pPr>
      <w:r>
        <w:t>Implications and Significance</w:t>
      </w:r>
    </w:p>
    <w:p w14:paraId="7BADD962" w14:textId="77777777" w:rsidR="00557FAC" w:rsidRDefault="00824C87">
      <w:pPr>
        <w:spacing w:before="40" w:after="40"/>
        <w:jc w:val="both"/>
      </w:pPr>
      <w:r>
        <w:t>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pipeline rather than from a larger or newer model, it is available to any practitioner at essentially no additional cost. A component ablation points the same way, though not all of it reaches significance: holding the documents fixed, a single-pass prompt with the same or more material does not outperform the staged pipeline, and shuffling the financial reports degrades it most — the one difference in the ablation that is unambiguous — indicating that the report-validation stage in particular carries signal.</w:t>
      </w:r>
    </w:p>
    <w:p w14:paraId="5779821B"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roughly half; the weaker models tested peaked at smaller pools, suggesting that the optimal request scales with model capability. </w:t>
      </w:r>
      <w:r>
        <w:t>The reduction ratio matters mainly through how aggressively it cuts a given pool, and the final portfolio size can then be chosen to match an investor’s diversification preference without sacrificing the structural advantage. We present this padding account as a hypothesis consistent with the observed pattern rather than a directly measured mechanism; a candidate-overlap and Stage-One-rank-versus-realized-return analysis to test it directly is left to future work.</w:t>
      </w:r>
    </w:p>
    <w:p w14:paraId="6B81293C" w14:textId="77777777" w:rsidR="00557FAC" w:rsidRDefault="00824C87">
      <w:pPr>
        <w:spacing w:before="40" w:after="40"/>
        <w:jc w:val="both"/>
      </w:pPr>
      <w:r>
        <w:t>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p>
    <w:p w14:paraId="5517E46C" w14:textId="77777777" w:rsidR="00557FAC" w:rsidRDefault="00824C87">
      <w:pPr>
        <w:pStyle w:val="Heading2"/>
        <w:keepNext/>
        <w:keepLines/>
      </w:pPr>
      <w:r>
        <w:t>Limitations and Future Work</w:t>
      </w:r>
    </w:p>
    <w:p w14:paraId="10A2E65E" w14:textId="77777777" w:rsidR="00557FAC" w:rsidRDefault="00824C87">
      <w:pPr>
        <w:spacing w:after="100"/>
        <w:jc w:val="both"/>
      </w:pPr>
      <w:r>
        <w:t xml:space="preserve">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the financial-report source does not flag </w:t>
      </w:r>
      <w:r>
        <w:lastRenderedPageBreak/>
        <w:t>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
      <w:r>
        <w:t xml:space="preserve">Future work should address these gaps directly: incorporating transaction-cost and drawdown modeling, extending the universe beyond </w:t>
      </w:r>
      <w:r>
        <w:t>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framework’s advantage over the unfiltered single-pass methodology persists out of sample.</w:t>
      </w:r>
    </w:p>
    <w:p w14:paraId="5D33723C" w14:textId="77777777" w:rsidR="00557FAC" w:rsidRDefault="00824C87">
      <w:pPr>
        <w:pStyle w:val="Heading1"/>
        <w:keepNext/>
        <w:keepLines/>
      </w:pPr>
      <w:r>
        <w:t>Conclusion</w:t>
      </w:r>
    </w:p>
    <w:p w14:paraId="19B23E1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 a ratio we present as a working hypothesis consistent with the tested grid —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605C1F7" w14:textId="77777777" w:rsidR="00557FAC" w:rsidRDefault="00824C87">
      <w:pPr>
        <w:pStyle w:val="Heading1"/>
        <w:keepNext/>
        <w:keepLines/>
      </w:pPr>
      <w:r>
        <w:t>Data and Code Availability</w:t>
      </w:r>
    </w:p>
    <w:p w14:paraId="05EEFBFF" w14:textId="77777777" w:rsidR="00557FAC" w:rsidRDefault="00824C87">
      <w:pPr>
        <w:jc w:val="both"/>
      </w:pPr>
      <w:r>
        <w:t xml:space="preserve">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14:paraId="3C462241" w14:textId="77777777" w:rsidR="00557FAC" w:rsidRDefault="00824C87">
      <w:pPr>
        <w:pStyle w:val="Heading1"/>
        <w:keepNext/>
        <w:keepLines/>
      </w:pPr>
      <w:r>
        <w:t>References</w:t>
      </w:r>
    </w:p>
    <w:p w14:paraId="699CEF6D" w14:textId="77777777" w:rsidR="00557FAC" w:rsidRDefault="00824C87">
      <w:pPr>
        <w:spacing w:after="10"/>
        <w:jc w:val="both"/>
      </w:pPr>
      <w:r>
        <w:rPr>
          <w:sz w:val="20"/>
          <w:szCs w:val="20"/>
        </w:rPr>
        <w:t>1. Y. Nie, Y. Kong, X. Dong, J. M. Mulvey, H. V. Poor, Q. Wen, S. Zohren. A survey of large language models for financial applications: progress, prospects and challenges. arXiv, 2024, https://doi.org/10.48550/arXiv.2406.11903.</w:t>
      </w:r>
    </w:p>
    <w:p w14:paraId="449A244E" w14:textId="77777777" w:rsidR="00557FAC" w:rsidRDefault="00824C87">
      <w:pPr>
        <w:spacing w:after="10"/>
        <w:jc w:val="both"/>
      </w:pPr>
      <w:r>
        <w:rPr>
          <w:sz w:val="20"/>
          <w:szCs w:val="20"/>
        </w:rPr>
        <w:t>2. S. An, Q. Li, J. Lu, D. Yin, X. Sun. FinVerse: an autonomous agent system for versatile financial analysis. arXiv, 2024, https://doi.org/10.48550/arXiv.2406.06379.</w:t>
      </w:r>
    </w:p>
    <w:p w14:paraId="686F99E7" w14:textId="77777777" w:rsidR="00557FAC" w:rsidRDefault="00824C87">
      <w:pPr>
        <w:spacing w:after="10"/>
        <w:jc w:val="both"/>
      </w:pPr>
      <w:r>
        <w:rPr>
          <w:sz w:val="20"/>
          <w:szCs w:val="20"/>
        </w:rPr>
        <w:t>3. A. Lopez-Lira, Y. Tang. Can ChatGPT forecast stock price movements? return predictability and large language models. SSRN. 2023, https://doi.org/10.2139/ssrn.4412788.</w:t>
      </w:r>
    </w:p>
    <w:p w14:paraId="1C701D65" w14:textId="77777777" w:rsidR="00557FAC" w:rsidRDefault="00824C87">
      <w:pPr>
        <w:spacing w:after="10"/>
        <w:jc w:val="both"/>
      </w:pPr>
      <w:r>
        <w:rPr>
          <w:sz w:val="20"/>
          <w:szCs w:val="20"/>
        </w:rPr>
        <w:t>4. Y. Xiao, E. Sun, D. Luo, W. Wang. TradingAgents: multi-agents LLM financial trading framework. arXiv, 2024, https://doi.org/10.48550/arXiv.2412.20138.</w:t>
      </w:r>
    </w:p>
    <w:p w14:paraId="14246371" w14:textId="77777777" w:rsidR="00557FAC" w:rsidRDefault="00824C87">
      <w:pPr>
        <w:spacing w:after="10"/>
        <w:jc w:val="both"/>
      </w:pPr>
      <w:r>
        <w:rPr>
          <w:sz w:val="20"/>
          <w:szCs w:val="20"/>
        </w:rPr>
        <w:t>5. H. Ding, Y. Li, J. Wang, H. Chen. Large language model agent in financial trading: a survey. arXiv, 2024, https://doi.org/10.48550/arXiv.2408.06361.</w:t>
      </w:r>
    </w:p>
    <w:p w14:paraId="53079EEC" w14:textId="77777777" w:rsidR="00557FAC" w:rsidRDefault="00824C87">
      <w:pPr>
        <w:spacing w:after="10"/>
        <w:jc w:val="both"/>
      </w:pPr>
      <w:r>
        <w:rPr>
          <w:sz w:val="20"/>
          <w:szCs w:val="20"/>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pPr>
      <w:r>
        <w:rPr>
          <w:sz w:val="20"/>
          <w:szCs w:val="20"/>
        </w:rPr>
        <w:t>7. D. Blitz, M. X. Hanauer, T. Hoogteijling, C. Howard. The term structure of machine learning alpha. The Journal of Financial Data Science. Vol. 5, pg. 40–65, 2023, https://doi.org/10.3905/jfds.2023.1.135.</w:t>
      </w:r>
    </w:p>
    <w:p w14:paraId="55AB8AFF" w14:textId="77777777" w:rsidR="00557FAC" w:rsidRDefault="00824C87">
      <w:pPr>
        <w:spacing w:after="10"/>
        <w:jc w:val="both"/>
      </w:pPr>
      <w:r>
        <w:rPr>
          <w:sz w:val="20"/>
          <w:szCs w:val="20"/>
        </w:rPr>
        <w:t>8. G. Lu, S. B. Larcher, T. Tran. Hybrid long document summarization using C2F-FAR and ChatGPT: a practical study. arXiv, 2023, https://doi.org/10.48550/arXiv.2306.01169.</w:t>
      </w:r>
    </w:p>
    <w:p w14:paraId="310041D6" w14:textId="77777777" w:rsidR="00557FAC" w:rsidRDefault="00824C87">
      <w:pPr>
        <w:spacing w:after="10"/>
        <w:jc w:val="both"/>
      </w:pPr>
      <w:r>
        <w:rPr>
          <w:sz w:val="20"/>
          <w:szCs w:val="20"/>
        </w:rPr>
        <w:t>9. H. Naveed, A. U. Khan, S. Qiu, M. Saqib, S. Anwar, M. Usman, N. Akhtar, N. Barnes, A. Mian. A comprehensive overview of large language models. ACM Transactions on Intelligent Systems and Technology. Vol. 16, no. 5, 2025, https://doi.org/10.1145/3744746.</w:t>
      </w:r>
    </w:p>
    <w:p w14:paraId="71EA897A" w14:textId="77777777" w:rsidR="00557FAC" w:rsidRDefault="00824C87">
      <w:pPr>
        <w:spacing w:after="10"/>
        <w:jc w:val="both"/>
      </w:pPr>
      <w:r>
        <w:rPr>
          <w:sz w:val="20"/>
          <w:szCs w:val="20"/>
        </w:rPr>
        <w:lastRenderedPageBreak/>
        <w:t>10. B. Cao, S. Wang, X. Lin, X. Wu, H. Zhang, L. M. Ni, J. Guo. From deep learning to LLMs: a survey of AI in quantitative investment. arXiv, 2025, https://doi.org/10.48550/arXiv.2503.21422.</w:t>
      </w:r>
    </w:p>
    <w:p w14:paraId="4DA90C40" w14:textId="77777777" w:rsidR="00557FAC" w:rsidRDefault="00824C87">
      <w:pPr>
        <w:spacing w:after="10"/>
        <w:jc w:val="both"/>
      </w:pPr>
      <w:r>
        <w:rPr>
          <w:sz w:val="20"/>
          <w:szCs w:val="20"/>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14:paraId="6947C1B3" w14:textId="77777777" w:rsidR="00557FAC" w:rsidRDefault="00824C87">
      <w:pPr>
        <w:spacing w:after="10"/>
        <w:jc w:val="both"/>
      </w:pPr>
      <w:r>
        <w:rPr>
          <w:sz w:val="20"/>
          <w:szCs w:val="20"/>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14:paraId="00DED0B0" w14:textId="77777777" w:rsidR="00557FAC" w:rsidRDefault="00824C87">
      <w:pPr>
        <w:spacing w:after="10"/>
        <w:jc w:val="both"/>
      </w:pPr>
      <w:r>
        <w:rPr>
          <w:sz w:val="20"/>
          <w:szCs w:val="20"/>
        </w:rPr>
        <w:t>13. I. Okpala, A. Golgoon, A. R. Kannan. Agentic AI systems applied to tasks in financial services: modeling and model risk management crews. arXiv, 2025, https://doi.org/10.48550/arXiv.2502.05439.</w:t>
      </w:r>
    </w:p>
    <w:p w14:paraId="7EF8AF8C" w14:textId="77777777" w:rsidR="00557FAC" w:rsidRDefault="00824C87">
      <w:pPr>
        <w:spacing w:after="10"/>
        <w:jc w:val="both"/>
      </w:pPr>
      <w:r>
        <w:rPr>
          <w:sz w:val="20"/>
          <w:szCs w:val="20"/>
        </w:rPr>
        <w:t>14. G. Fatouros, K. Metaxas, J. Soldatos, M. Karathanassis. MarketSenseAI 2.0: enhancing stock analysis through LLM agents. arXiv, 2025, https://doi.org/10.48550/arXiv.2502.00415.</w:t>
      </w:r>
    </w:p>
    <w:p w14:paraId="2573963B" w14:textId="77777777" w:rsidR="00557FAC" w:rsidRDefault="00824C87">
      <w:pPr>
        <w:spacing w:after="10"/>
        <w:jc w:val="both"/>
      </w:pPr>
      <w:r>
        <w:rPr>
          <w:sz w:val="20"/>
          <w:szCs w:val="20"/>
        </w:rPr>
        <w:t>15. J. Cheng, P. Chin. AAPM: large language model agent-based asset pricing models. arXiv, 2024, https://doi.org/10.48550/arXiv.2409.17266.</w:t>
      </w:r>
    </w:p>
    <w:p w14:paraId="5E572AED" w14:textId="77777777" w:rsidR="00557FAC" w:rsidRDefault="00824C87">
      <w:pPr>
        <w:spacing w:after="10"/>
        <w:jc w:val="both"/>
      </w:pPr>
      <w:r>
        <w:rPr>
          <w:sz w:val="20"/>
          <w:szCs w:val="20"/>
        </w:rPr>
        <w:t>16. C. Choi, A. Lopez-Lira, Y. Lee, J. Kwon, M. Kim, J. Hwang, M. Ha, C. Kim, J. Ha, S. Yun, J. Kim. Structuring the unstructured: a multi-agent system for extracting and querying financial KPIs and guidance. arXiv, 2025, https://doi.org/10.48550/arXiv.2505.19197.</w:t>
      </w:r>
    </w:p>
    <w:p w14:paraId="5116A99A" w14:textId="77777777" w:rsidR="00557FAC" w:rsidRDefault="00824C87">
      <w:pPr>
        <w:spacing w:after="10"/>
        <w:jc w:val="both"/>
      </w:pPr>
      <w:r>
        <w:rPr>
          <w:sz w:val="20"/>
          <w:szCs w:val="20"/>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14:paraId="6D755B2D" w14:textId="77777777" w:rsidR="00557FAC" w:rsidRDefault="00824C87">
      <w:pPr>
        <w:spacing w:after="10"/>
        <w:jc w:val="both"/>
      </w:pPr>
      <w:r>
        <w:rPr>
          <w:sz w:val="20"/>
          <w:szCs w:val="20"/>
        </w:rPr>
        <w:t>18. X. Han, N. Wang, S. Che, H. Yang, K. Zhang, S. X. Xu. Enhancing investment analysis: optimizing AI-agent collaboration in financial research. Proceedings of the 5th ACM International Conference on AI in Finance. 2024, https://doi.org/10.1145/3677052.3698645.</w:t>
      </w:r>
    </w:p>
    <w:p w14:paraId="4A37AC35" w14:textId="77777777" w:rsidR="00557FAC" w:rsidRDefault="00824C87">
      <w:pPr>
        <w:spacing w:after="10"/>
        <w:jc w:val="both"/>
      </w:pPr>
      <w:r>
        <w:rPr>
          <w:sz w:val="20"/>
          <w:szCs w:val="20"/>
        </w:rPr>
        <w:t>19.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824C87">
      <w:pPr>
        <w:spacing w:after="10"/>
        <w:jc w:val="both"/>
      </w:pPr>
      <w:r>
        <w:rPr>
          <w:sz w:val="20"/>
          <w:szCs w:val="20"/>
        </w:rPr>
        <w:t>20. Y. Li, Y. Yu, H. Li, Z. Chen, K. Khashanah. TradingGPT: multi-agent system with layered memory and distinct characters for enhanced financial trading performance. arXiv, 2023, https://doi.org/10.48550/arXiv.2309.03736.</w:t>
      </w:r>
    </w:p>
    <w:p w14:paraId="3B38B7FA" w14:textId="77777777" w:rsidR="00557FAC" w:rsidRDefault="00824C87">
      <w:pPr>
        <w:spacing w:after="10"/>
        <w:jc w:val="both"/>
      </w:pPr>
      <w:r>
        <w:rPr>
          <w:sz w:val="20"/>
          <w:szCs w:val="20"/>
        </w:rPr>
        <w:t>21. Y. Yu, H. Li, Z. Chen, Y. Jiang, Y. Li, D. Zhang, R. Liu, J. W. Suchow, K. Khashanah. FinMem: a performance-enhanced LLM trading agent with layered memory and character design. Proceedings of the AAAI Symposium Series. Vol. 3, pg. 595–597, 2024, https://doi.org/10.1609/aaaiss.v3i1.31290.</w:t>
      </w:r>
    </w:p>
    <w:p w14:paraId="09F6D0E8" w14:textId="77777777" w:rsidR="00557FAC" w:rsidRDefault="00824C87">
      <w:pPr>
        <w:spacing w:after="10"/>
        <w:jc w:val="both"/>
      </w:pPr>
      <w:r>
        <w:rPr>
          <w:sz w:val="20"/>
          <w:szCs w:val="20"/>
        </w:rPr>
        <w:t>22. T. Guo, H. Shen, J. Huang, Z. Mao, J. Luo, B. Chen, Z. Chen, L. Liu, B. Xia, X. Liu, Y. Ma, M. Zhang. MASS: multi-agent simulation scaling for portfolio construction. arXiv, 2025, https://doi.org/10.48550/arXiv.2505.10278.</w:t>
      </w:r>
    </w:p>
    <w:p w14:paraId="5CB91B03" w14:textId="77777777" w:rsidR="00557FAC" w:rsidRDefault="00824C87">
      <w:pPr>
        <w:spacing w:after="10"/>
        <w:jc w:val="both"/>
      </w:pPr>
      <w:r>
        <w:rPr>
          <w:sz w:val="20"/>
          <w:szCs w:val="20"/>
        </w:rPr>
        <w:t>23. J. Li, J. Zhang, H. Li, Y. Shen. An agent framework for real-time financial information searching with large language models. arXiv, 2025, https://doi.org/10.48550/arXiv.2502.15684.</w:t>
      </w:r>
    </w:p>
    <w:p w14:paraId="444E2DE9" w14:textId="77777777" w:rsidR="00557FAC" w:rsidRDefault="00824C87">
      <w:pPr>
        <w:spacing w:after="10"/>
        <w:jc w:val="both"/>
      </w:pPr>
      <w:r>
        <w:rPr>
          <w:sz w:val="20"/>
          <w:szCs w:val="20"/>
        </w:rPr>
        <w:t>24. K. Chen, H. Ahmad, D. Goel, C. Szabo. 3S-trader: a multi-LLM framework for adaptive stock scoring, strategy, and selection in portfolio optimization. arXiv, 2025, https://doi.org/10.48550/arXiv.2510.17393.</w:t>
      </w:r>
    </w:p>
    <w:p w14:paraId="06442C19" w14:textId="77777777" w:rsidR="00557FAC" w:rsidRDefault="00824C87">
      <w:pPr>
        <w:spacing w:after="10"/>
        <w:jc w:val="both"/>
      </w:pPr>
      <w:r>
        <w:rPr>
          <w:sz w:val="20"/>
          <w:szCs w:val="20"/>
        </w:rPr>
        <w:t>25. T. Zhao, J. Lyu, S. Jones, H. Garber, S. Pasquali, D. Mehta. AlphaAgents: large language model-based multi-agents for equity portfolio constructions. arXiv, 2025, https://doi.org/10.48550/arXiv.2508.11152.</w:t>
      </w:r>
    </w:p>
    <w:p w14:paraId="005C7681" w14:textId="77777777" w:rsidR="00557FAC" w:rsidRDefault="00824C87">
      <w:pPr>
        <w:spacing w:after="10"/>
        <w:jc w:val="both"/>
      </w:pPr>
      <w:r>
        <w:rPr>
          <w:sz w:val="20"/>
          <w:szCs w:val="20"/>
        </w:rPr>
        <w:t>26. T. Zhou, P. Wang, Y. Wu, H. Yang. FinRobot: AI agent for equity research and valuation with large language models. arXiv, 2024, https://doi.org/10.48550/arXiv.2411.08804.</w:t>
      </w:r>
    </w:p>
    <w:p w14:paraId="763AE7E9" w14:textId="77777777" w:rsidR="00557FAC" w:rsidRDefault="00824C87">
      <w:pPr>
        <w:spacing w:after="10"/>
        <w:jc w:val="both"/>
      </w:pPr>
      <w:r>
        <w:rPr>
          <w:sz w:val="20"/>
          <w:szCs w:val="20"/>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14:paraId="4CDFC690" w14:textId="77777777" w:rsidR="00557FAC" w:rsidRDefault="00824C87">
      <w:pPr>
        <w:spacing w:after="10"/>
        <w:jc w:val="both"/>
      </w:pPr>
      <w:r>
        <w:rPr>
          <w:sz w:val="20"/>
          <w:szCs w:val="20"/>
        </w:rPr>
        <w:t>28. P. C. Tetlock. Giving content to investor sentiment: the role of media in the stock market. The Journal of Finance. Vol. 62, pg. 1139–1168, 2007, https://doi.org/10.1111/j.1540-6261.2007.01232.x.</w:t>
      </w:r>
    </w:p>
    <w:p w14:paraId="3FD16059" w14:textId="77777777" w:rsidR="00557FAC" w:rsidRDefault="00824C87">
      <w:pPr>
        <w:spacing w:after="10"/>
        <w:jc w:val="both"/>
      </w:pPr>
      <w:r>
        <w:rPr>
          <w:sz w:val="20"/>
          <w:szCs w:val="20"/>
        </w:rPr>
        <w:t>29. J. Lee, N. Stevens, S. C. Han, M. Song. A survey of large language models in finance (FinLLMs). Neural Computing and Applications. Vol. 37, pg. 24853–24867, 2025, https://doi.org/10.1007/s00521-024-10495-6.</w:t>
      </w:r>
    </w:p>
    <w:p w14:paraId="5E6A0E99" w14:textId="77777777" w:rsidR="00557FAC" w:rsidRDefault="00824C87">
      <w:pPr>
        <w:spacing w:after="10"/>
        <w:jc w:val="both"/>
      </w:pPr>
      <w:r>
        <w:rPr>
          <w:sz w:val="20"/>
          <w:szCs w:val="20"/>
        </w:rPr>
        <w:t>30. S. Wang, H. Yuan, L. M. Ni, J. Guo. QuantAgent: seeking holy grail in trading by self-improving large language model. arXiv, 2024, https://doi.org/10.48550/arXiv.2402.03755.</w:t>
      </w:r>
    </w:p>
    <w:p w14:paraId="25BEDC60" w14:textId="77777777" w:rsidR="00557FAC" w:rsidRDefault="00824C87">
      <w:pPr>
        <w:spacing w:after="10"/>
        <w:jc w:val="both"/>
      </w:pPr>
      <w:r>
        <w:rPr>
          <w:sz w:val="20"/>
          <w:szCs w:val="20"/>
        </w:rPr>
        <w:t>31. K. Anjum, M. A. Arshad, K. Hayawi, E. Polyzos, A. Tariq, M. A. Serhani, L. Batool, B. Lund, N. R. Mannuru, R. V. K. Bevara, T. Mahbub, M. Z. Akram, S. Shahriar. Domain specific benchmarks for evaluating multimodal large language models. arXiv, 2025, https://doi.org/10.48550/arXiv.2506.12958.</w:t>
      </w:r>
    </w:p>
    <w:p w14:paraId="26190BB8" w14:textId="77777777" w:rsidR="00557FAC" w:rsidRDefault="00824C87">
      <w:pPr>
        <w:spacing w:after="10"/>
        <w:jc w:val="both"/>
      </w:pPr>
      <w:r>
        <w:rPr>
          <w:sz w:val="20"/>
          <w:szCs w:val="20"/>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rsidR="00557FAC" w:rsidSect="00431F60">
      <w:type w:val="continuous"/>
      <w:pgSz w:w="12240" w:h="15840"/>
      <w:pgMar w:top="1080" w:right="1080" w:bottom="1080" w:left="1080" w:header="360" w:footer="36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B492" w14:textId="77777777" w:rsidR="001D4D91" w:rsidRDefault="001D4D91">
      <w:r>
        <w:separator/>
      </w:r>
    </w:p>
  </w:endnote>
  <w:endnote w:type="continuationSeparator" w:id="0">
    <w:p w14:paraId="2368CAA1" w14:textId="77777777" w:rsidR="001D4D91" w:rsidRDefault="001D4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26E24-ECD1-4A71-8693-30C67AD80095}"/>
  </w:font>
  <w:font w:name="Cambria">
    <w:panose1 w:val="02040503050406030204"/>
    <w:charset w:val="00"/>
    <w:family w:val="roman"/>
    <w:pitch w:val="variable"/>
    <w:sig w:usb0="E00006FF" w:usb1="420024FF" w:usb2="02000000" w:usb3="00000000" w:csb0="0000019F" w:csb1="00000000"/>
    <w:embedRegular r:id="rId2" w:fontKey="{C9DED08C-9CAB-4ACC-B2BE-8C30A10AB9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D64FFD">
      <w:rPr>
        <w:rFonts w:ascii="Arial" w:eastAsia="Arial" w:hAnsi="Arial" w:cs="Arial"/>
        <w:noProof/>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7EE2" w14:textId="77777777" w:rsidR="001D4D91" w:rsidRDefault="001D4D91">
      <w:r>
        <w:separator/>
      </w:r>
    </w:p>
  </w:footnote>
  <w:footnote w:type="continuationSeparator" w:id="0">
    <w:p w14:paraId="5349F3CF" w14:textId="77777777" w:rsidR="001D4D91" w:rsidRDefault="001D4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431F60"/>
    <w:rsid w:val="00434B0B"/>
    <w:rsid w:val="00463294"/>
    <w:rsid w:val="00557FAC"/>
    <w:rsid w:val="005B1840"/>
    <w:rsid w:val="005E4B67"/>
    <w:rsid w:val="005F426D"/>
    <w:rsid w:val="00824C87"/>
    <w:rsid w:val="008836C4"/>
    <w:rsid w:val="008B18DD"/>
    <w:rsid w:val="008B5C04"/>
    <w:rsid w:val="0095515F"/>
    <w:rsid w:val="009A4C4B"/>
    <w:rsid w:val="00CA1889"/>
    <w:rsid w:val="00CD5493"/>
    <w:rsid w:val="00CF7128"/>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50"/>
      <w:outlineLvl w:val="1"/>
    </w:pPr>
    <w:rPr>
      <w:b/>
      <w:bCs/>
      <w:color w:val="2E5090"/>
      <w:sz w:val="26"/>
      <w:szCs w:val="26"/>
    </w:rPr>
  </w:style>
  <w:style w:type="paragraph" w:styleId="Heading3">
    <w:name w:val="heading 3"/>
    <w:basedOn w:val="Normal"/>
    <w:next w:val="Normal"/>
    <w:uiPriority w:val="9"/>
    <w:unhideWhenUsed/>
    <w:qFormat/>
    <w:pPr>
      <w:spacing w:before="40" w:after="40"/>
      <w:jc w:val="both"/>
      <w:outlineLvl w:val="2"/>
    </w:pPr>
    <w:rPr>
      <w:b/>
      <w:bCs/>
      <w:i/>
      <w:iCs/>
      <w:color w:val="333333"/>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20</Pages>
  <Words>10219</Words>
  <Characters>61731</Characters>
  <Application>Microsoft Office Word</Application>
  <DocSecurity>0</DocSecurity>
  <Lines>1686</Lines>
  <Paragraphs>223</Paragraphs>
  <ScaleCrop>false</ScaleCrop>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8</cp:revision>
  <dcterms:created xsi:type="dcterms:W3CDTF">2026-08-03T04:42:00Z</dcterms:created>
  <dcterms:modified xsi:type="dcterms:W3CDTF">2026-08-03T05:23:00Z</dcterms:modified>
</cp:coreProperties>
</file>