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Quantifying Global Trade Disruption Under the 2025–2026 Tariff War: A Data-Driven Analysis of Escalation Dynamics, Sectoral Vulnerability, and Systemic Risk</w:t>
      </w:r>
    </w:p>
    <w:p>
      <w:pPr>
        <w:spacing w:after="40"/>
        <w:jc w:val="center"/>
      </w:pPr>
      <w:r>
        <w:rPr>
          <w:rFonts w:ascii="Times New Roman" w:cs="Times New Roman" w:eastAsia="Times New Roman" w:hAnsi="Times New Roman"/>
          <w:sz w:val="22"/>
          <w:szCs w:val="22"/>
        </w:rPr>
        <w:t xml:space="preserve">Waliii</w:t>
      </w:r>
    </w:p>
    <w:p>
      <w:pPr>
        <w:spacing w:after="40"/>
        <w:jc w:val="center"/>
      </w:pPr>
      <w:r>
        <w:rPr>
          <w:rFonts w:ascii="Times New Roman" w:cs="Times New Roman" w:eastAsia="Times New Roman" w:hAnsi="Times New Roman"/>
          <w:i/>
          <w:iCs/>
          <w:sz w:val="18"/>
          <w:szCs w:val="18"/>
        </w:rPr>
        <w:t xml:space="preserve">Department of Data Science and Applied AI, Air University, Islamabad, Pakistan</w:t>
      </w:r>
    </w:p>
    <w:p>
      <w:pPr>
        <w:spacing w:after="260"/>
        <w:jc w:val="center"/>
      </w:pPr>
      <w:r>
        <w:rPr>
          <w:rFonts w:ascii="Times New Roman" w:cs="Times New Roman" w:eastAsia="Times New Roman" w:hAnsi="Times New Roman"/>
          <w:i/>
          <w:iCs/>
          <w:sz w:val="18"/>
          <w:szCs w:val="18"/>
        </w:rPr>
        <w:t xml:space="preserve">Independent Research Report — July 2026</w:t>
      </w:r>
    </w:p>
    <w:p>
      <w:pPr>
        <w:spacing w:after="60"/>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sz w:val="20"/>
          <w:szCs w:val="20"/>
        </w:rPr>
        <w:t xml:space="preserve">The 2025–2026 U.S. tariff escalation produced one of the sharpest disruptions to global trade flows since 2009. This report presents a quantitative, reproducible analysis of the episode using five curated real-world datasets covering 30 countries, 20 industrial sectors, 20 bilateral trade corridors, and 27 chronologically dated policy events. Twenty-five research questions are addressed spanning macro tariff dynamics, structural trade realignment, statistical relationships, policy impact, and strategic country/sector positioning. Key findings include a mean peak U.S. tariff rate of 27.8% falling to 10.8% by March 2026 following a February 2026 Supreme Court ruling that struck down IEEPA-based tariffs; a 50.1% year-on-year collapse in China–United States bilateral trade; measurable trade diversion toward ASEAN, the European Union, and Latin America; and a random-forest regression identifying peak tariff exposure and supply-chain integration as the strongest correlates of national trade disruption (Spearman r = 0.82 and 0.72, respectively). All analyses are performed directly on the source data with no synthetic augmentation; limitations arising from small sample sizes (n = 20–30) are reported explicitly alongside each result rather than obscured.</w:t>
      </w:r>
    </w:p>
    <w:p>
      <w:pPr>
        <w:spacing w:after="200"/>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iCs/>
          <w:sz w:val="20"/>
          <w:szCs w:val="20"/>
        </w:rPr>
        <w:t xml:space="preserve">tariff policy, international trade, trade disruption, econometric analysis, machine learning, supply chain risk, cluster analysis, IEEPA, Section 301.</w:t>
      </w:r>
    </w:p>
    <w:p>
      <w:pPr>
        <w:sectPr>
          <w:pgSz w:w="12240" w:h="15840" w:orient="portrait"/>
          <w:pgMar w:top="1080" w:right="1080" w:bottom="1080" w:left="1080" w:header="708" w:footer="708" w:gutter="0"/>
          <w:pgNumType/>
          <w:docGrid w:linePitch="360"/>
        </w:sectPr>
      </w:pPr>
    </w:p>
    <w:p>
      <w:pPr>
        <w:spacing w:after="120" w:before="260"/>
        <w:jc w:val="center"/>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20"/>
          <w:szCs w:val="20"/>
        </w:rPr>
        <w:t xml:space="preserve">Beginning in January 2025, the United States initiated a sequence of tariff actions—executed principally under the International Emergency Economic Powers Act (IEEPA) and Section 301 of the Trade Act of 1974—that escalated to a peak bilateral tariff rate of 145% on Chinese goods by April 2025, alongside broad-based tariffs of 10–41% on more than sixty other trading partners. Retaliatory measures, export controls (notably China's restriction of rare-earth permanent-magnet exports), and a wave of bilateral framework agreements followed over the subsequent twelve months, culminating in a Supreme Court ruling in February 2026 that invalidated the IEEPA legal basis for the tariffs, prompting a partial re-basing of policy under Section 122 authority.</w:t>
      </w:r>
    </w:p>
    <w:p>
      <w:pPr>
        <w:spacing w:after="120" w:line="264"/>
        <w:jc w:val="both"/>
      </w:pPr>
      <w:r>
        <w:rPr>
          <w:rFonts w:ascii="Times New Roman" w:cs="Times New Roman" w:eastAsia="Times New Roman" w:hAnsi="Times New Roman"/>
          <w:sz w:val="20"/>
          <w:szCs w:val="20"/>
        </w:rPr>
        <w:t xml:space="preserve">This report quantifies the resulting disruption using five real, non-synthetic datasets: country-level trade-disruption indicators, sector-level exposure indices, bilateral trade-flow changes, a dated policy-event timeline, and country-level tariff-rate trajectories. Twenty-five research questions—organized into five thematic sections—are answered directly from these data. Where an originally scoped question required data this snapshot dataset does not contain (e.g., a multi-week time series sufficient for cross-correlation, or repeated observations sufficient to train a classifier), the question is explicitly reframed to a methodologically honest analogue rather than filled with simulated values, and this substitution is documented at the point of use.</w:t>
      </w:r>
    </w:p>
    <w:p>
      <w:pPr>
        <w:spacing w:after="120" w:before="260"/>
        <w:jc w:val="center"/>
      </w:pPr>
      <w:r>
        <w:rPr>
          <w:rFonts w:ascii="Times New Roman" w:cs="Times New Roman" w:eastAsia="Times New Roman" w:hAnsi="Times New Roman"/>
          <w:b/>
          <w:bCs/>
          <w:sz w:val="20"/>
          <w:szCs w:val="20"/>
        </w:rPr>
        <w:t xml:space="preserve">II. DATASET AND METHODOLOGY</w:t>
      </w:r>
    </w:p>
    <w:p>
      <w:pPr>
        <w:spacing w:after="100" w:before="200"/>
      </w:pPr>
      <w:r>
        <w:rPr>
          <w:rFonts w:ascii="Times New Roman" w:cs="Times New Roman" w:eastAsia="Times New Roman" w:hAnsi="Times New Roman"/>
          <w:b/>
          <w:bCs/>
          <w:i/>
          <w:iCs/>
          <w:sz w:val="20"/>
          <w:szCs w:val="20"/>
        </w:rPr>
        <w:t xml:space="preserve">A. Data Sources</w:t>
      </w:r>
    </w:p>
    <w:p>
      <w:pPr>
        <w:spacing w:after="120" w:line="264"/>
        <w:jc w:val="both"/>
      </w:pPr>
      <w:r>
        <w:rPr>
          <w:rFonts w:ascii="Times New Roman" w:cs="Times New Roman" w:eastAsia="Times New Roman" w:hAnsi="Times New Roman"/>
          <w:sz w:val="20"/>
          <w:szCs w:val="20"/>
        </w:rPr>
        <w:t xml:space="preserve">All data originate from the "Global Tariff Wars 2026" dataset [1], comprising five CSV files as of the March 31, 2026 snapshot date: (i) trade_disruption_score_index.csv (30 countries, 15 features); (ii) sector_impact_index.csv (20 sectors, 12 features); (iii) bilateral_trade_flow_changes.csv (20 corridors, 10 features); (iv) tariff_rates_by_country_2026.csv (30 countries, 13 features); and (v) tariff_timeline_events_2025_26.csv (27 dated policy events, 11 features). No missing values were present except in two auxiliary status columns (us_framework_status, 43.3% missing; framework_date, 53.3% missing), both of which are structurally missing for countries not yet party to a negotiated framework and are treated as a valid category rather than imputed.</w:t>
      </w:r>
    </w:p>
    <w:p>
      <w:pPr>
        <w:spacing w:after="100" w:before="200"/>
      </w:pPr>
      <w:r>
        <w:rPr>
          <w:rFonts w:ascii="Times New Roman" w:cs="Times New Roman" w:eastAsia="Times New Roman" w:hAnsi="Times New Roman"/>
          <w:b/>
          <w:bCs/>
          <w:i/>
          <w:iCs/>
          <w:sz w:val="20"/>
          <w:szCs w:val="20"/>
        </w:rPr>
        <w:t xml:space="preserve">B. Statistical Methodology</w:t>
      </w:r>
    </w:p>
    <w:p>
      <w:pPr>
        <w:spacing w:after="120" w:line="264"/>
        <w:jc w:val="both"/>
      </w:pPr>
      <w:r>
        <w:rPr>
          <w:rFonts w:ascii="Times New Roman" w:cs="Times New Roman" w:eastAsia="Times New Roman" w:hAnsi="Times New Roman"/>
          <w:sz w:val="20"/>
          <w:szCs w:val="20"/>
        </w:rPr>
        <w:t xml:space="preserve">Given the small sample sizes intrinsic to this dataset (n = 20–30 per file), the following methodological choices were made deliberately rather than following default machine-learning conventions: leave-one-out cross-validation (LOOCV) was used in place of a held-out train/test split for the disruption-score regression model (Section III-A5), since a single 70/30 split is unstable at this scale; k-means clustering was evaluated only over k = 2–6 rather than a wider range, since larger k values would produce clusters too small to interpret meaningfully at n = 30; Kolmogorov–Smirnov distributional tests and Pearson/Spearman correlations are reported together with their p-values and are explicitly flagged as under-powered rather than treated as confirmatory; and no synthetic, bootstrapped, or randomly generated data of any kind is used to fill gaps—where a question could not be answered from real observations, it was re-scoped rather than simulated.</w:t>
      </w:r>
    </w:p>
    <w:p>
      <w:pPr>
        <w:spacing w:after="120" w:before="260"/>
        <w:jc w:val="center"/>
      </w:pPr>
      <w:r>
        <w:rPr>
          <w:rFonts w:ascii="Times New Roman" w:cs="Times New Roman" w:eastAsia="Times New Roman" w:hAnsi="Times New Roman"/>
          <w:b/>
          <w:bCs/>
          <w:sz w:val="20"/>
          <w:szCs w:val="20"/>
        </w:rPr>
        <w:t xml:space="preserve">III. RESULTS</w:t>
      </w:r>
    </w:p>
    <w:p>
      <w:pPr>
        <w:spacing w:after="100" w:before="200"/>
      </w:pPr>
      <w:r>
        <w:rPr>
          <w:rFonts w:ascii="Times New Roman" w:cs="Times New Roman" w:eastAsia="Times New Roman" w:hAnsi="Times New Roman"/>
          <w:b/>
          <w:bCs/>
          <w:i/>
          <w:iCs/>
          <w:sz w:val="20"/>
          <w:szCs w:val="20"/>
        </w:rPr>
        <w:t xml:space="preserve">A. Macro Tariff Dynamics (RQ1–RQ5)</w:t>
      </w:r>
    </w:p>
    <w:p>
      <w:pPr>
        <w:spacing w:after="120" w:line="264"/>
        <w:jc w:val="both"/>
      </w:pPr>
      <w:r>
        <w:rPr>
          <w:rFonts w:ascii="Times New Roman" w:cs="Times New Roman" w:eastAsia="Times New Roman" w:hAnsi="Times New Roman"/>
          <w:sz w:val="20"/>
          <w:szCs w:val="20"/>
        </w:rPr>
        <w:t xml:space="preserve">1) Tariff Rate Trajectories: Mean U.S. tariff rates across the 30 tracked countries rose from a uniform 10% baseline to a mean peak of 27.8% during 2025, before falling to a mean of 10.8% by March 2026 (Fig. 1). Nineteen of thirty countries had de-escalated from their 2025 peak rate by the snapshot date, a shift attributable primarily to the February 2026 Supreme Court ruling voiding IEEPA tariff authority (see RQ19, Section III-D4). East Asian economies carried the highest regional peak-tariff exposure, driven overwhelmingly by China's 145% peak rate.</w:t>
      </w:r>
    </w:p>
    <w:p>
      <w:pPr>
        <w:spacing w:after="60" w:before="200"/>
        <w:jc w:val="center"/>
      </w:pPr>
      <w:r>
        <w:drawing>
          <wp:inline distT="0" distB="0" distL="0" distR="0">
            <wp:extent cx="3017520" cy="12173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217383"/>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 U.S. tariff trajectory (baseline → 2025 peak → 2026 current) by region and by the ten most tariffed countries.</w:t>
      </w:r>
    </w:p>
    <w:p>
      <w:pPr>
        <w:spacing w:after="120" w:line="264"/>
        <w:jc w:val="both"/>
      </w:pPr>
      <w:r>
        <w:rPr>
          <w:rFonts w:ascii="Times New Roman" w:cs="Times New Roman" w:eastAsia="Times New Roman" w:hAnsi="Times New Roman"/>
          <w:sz w:val="20"/>
          <w:szCs w:val="20"/>
        </w:rPr>
        <w:t xml:space="preserve">2) Bilateral Corridor Disruption: Among the twenty recorded bilateral corridors, China→United States exhibited the most severe contraction, falling 50.1% year-on-year from $437B to $218B (Fig. 2)—the deepest bilateral decline since the 2009 financial crisis according to the source annotation, driven jointly by Section 301 and IEEPA tariff stacking.</w:t>
      </w:r>
    </w:p>
    <w:p>
      <w:pPr>
        <w:spacing w:after="60" w:before="200"/>
        <w:jc w:val="center"/>
      </w:pPr>
      <w:r>
        <w:drawing>
          <wp:inline distT="0" distB="0" distL="0" distR="0">
            <wp:extent cx="3017520" cy="1332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7520" cy="1332571"/>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2. Year-on-year change across all 20 real bilateral trade corridors; right panel isolates the ten largest-value corridors by 2024 trade value.</w:t>
      </w:r>
    </w:p>
    <w:p>
      <w:pPr>
        <w:spacing w:after="120" w:line="264"/>
        <w:jc w:val="both"/>
      </w:pPr>
      <w:r>
        <w:rPr>
          <w:rFonts w:ascii="Times New Roman" w:cs="Times New Roman" w:eastAsia="Times New Roman" w:hAnsi="Times New Roman"/>
          <w:sz w:val="20"/>
          <w:szCs w:val="20"/>
        </w:rPr>
        <w:t xml:space="preserve">3) Sector Exposure: Rare Earth &amp; Permanent Magnets recorded the highest sector disruption index (9.8/10) of the twenty tracked sectors, a direct consequence of China's April 2025 export ban, which reduced U.S. monthly magnet imports to near zero by May 2025 and halted portions of automotive production (Fig. 3). Semiconductors &amp; Chips (9.5) and Electric Vehicles (9.3) followed closely, reflecting the concentration of disruption in technologically strategic, supply-constrained sectors rather than broad-based consumer categories.</w:t>
      </w:r>
    </w:p>
    <w:p>
      <w:pPr>
        <w:spacing w:after="60" w:before="200"/>
        <w:jc w:val="center"/>
      </w:pPr>
      <w:r>
        <w:drawing>
          <wp:inline distT="0" distB="0" distL="0" distR="0">
            <wp:extent cx="3017520" cy="12666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7520" cy="1266632"/>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3. Sector disruption ranking, tariff-rate vs. supply-chain-disruption scatter, and diversion-risk distribution across 20 real sectors.</w:t>
      </w:r>
    </w:p>
    <w:p>
      <w:pPr>
        <w:spacing w:after="120" w:line="264"/>
        <w:jc w:val="both"/>
      </w:pPr>
      <w:r>
        <w:rPr>
          <w:rFonts w:ascii="Times New Roman" w:cs="Times New Roman" w:eastAsia="Times New Roman" w:hAnsi="Times New Roman"/>
          <w:sz w:val="20"/>
          <w:szCs w:val="20"/>
        </w:rPr>
        <w:t xml:space="preserve">4) Event Chronology: Of the 27 dated policy events in the timeline, 18 were classified as escalatory and 9 as de-escalatory, with a median inter-event gap of 12 days (Fig. 4). April 2025 was the single most active month, containing four major actions including the 145% IEEPA escalation on China and China's rare-earth export restriction—consistent with this being the acute phase of the conflict.</w:t>
      </w:r>
    </w:p>
    <w:p>
      <w:pPr>
        <w:spacing w:after="60" w:before="200"/>
        <w:jc w:val="center"/>
      </w:pPr>
      <w:r>
        <w:drawing>
          <wp:inline distT="0" distB="0" distL="0" distR="0">
            <wp:extent cx="3017520" cy="16842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7520" cy="1684278"/>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4. Event chronology bubble timeline (bubble size = trade value covered) and monthly escalation/de-escalation event counts.</w:t>
      </w:r>
    </w:p>
    <w:p>
      <w:pPr>
        <w:spacing w:after="120" w:line="264"/>
        <w:jc w:val="both"/>
      </w:pPr>
      <w:r>
        <w:rPr>
          <w:rFonts w:ascii="Times New Roman" w:cs="Times New Roman" w:eastAsia="Times New Roman" w:hAnsi="Times New Roman"/>
          <w:sz w:val="20"/>
          <w:szCs w:val="20"/>
        </w:rPr>
        <w:t xml:space="preserve">5) Predictive Modeling: A random-forest regression predicting each country's trade-disruption score from six real features (peak tariff rate, retaliation capacity, supply-chain integration, trade openness, and exports to the U.S. and China) was evaluated via leave-one-out cross-validation, the appropriate choice at n = 30 (Fig. 5). The random forest achieved R² = 0.59 (RMSE = 1.31), materially outperforming ridge regression (R² = −0.06), indicating the underlying relationship is non-linear rather than additive. Peak U.S. tariff rate was the dominant feature by importance, consistent with the correlation analysis in Section III-E5.</w:t>
      </w:r>
    </w:p>
    <w:p>
      <w:pPr>
        <w:spacing w:after="60" w:before="200"/>
        <w:jc w:val="center"/>
      </w:pPr>
      <w:r>
        <w:drawing>
          <wp:inline distT="0" distB="0" distL="0" distR="0">
            <wp:extent cx="3017520" cy="11996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7520" cy="1199626"/>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5. LOO-CV actual-vs-predicted plot for the best model (random forest) and its feature-importance ranking.</w:t>
      </w:r>
    </w:p>
    <w:p>
      <w:pPr>
        <w:spacing w:after="100" w:before="200"/>
      </w:pPr>
      <w:r>
        <w:rPr>
          <w:rFonts w:ascii="Times New Roman" w:cs="Times New Roman" w:eastAsia="Times New Roman" w:hAnsi="Times New Roman"/>
          <w:b/>
          <w:bCs/>
          <w:i/>
          <w:iCs/>
          <w:sz w:val="20"/>
          <w:szCs w:val="20"/>
        </w:rPr>
        <w:t xml:space="preserve">B. Structural Trade Analysis (RQ6–RQ10)</w:t>
      </w:r>
    </w:p>
    <w:p>
      <w:pPr>
        <w:spacing w:after="120" w:line="264"/>
        <w:jc w:val="both"/>
      </w:pPr>
      <w:r>
        <w:rPr>
          <w:rFonts w:ascii="Times New Roman" w:cs="Times New Roman" w:eastAsia="Times New Roman" w:hAnsi="Times New Roman"/>
          <w:sz w:val="20"/>
          <w:szCs w:val="20"/>
        </w:rPr>
        <w:t xml:space="preserve">6) Regional Disruption: Aggregating the 30-country disruption index by region shows Eastern Europe (Russia, sanctions-driven, single-country region) and North America (Canada and Mexico, USMCA-linked) recording the highest mean disruption scores (8.5 and 7.5 respectively), while Oceania and the Middle East recorded the lowest (2.25–2.5), reflecting minimal tariff escalation exposure for those economies (Fig. 6, Table I).</w:t>
      </w:r>
    </w:p>
    <w:p>
      <w:pPr>
        <w:spacing w:after="60" w:before="200"/>
        <w:jc w:val="center"/>
      </w:pPr>
      <w:r>
        <w:drawing>
          <wp:inline distT="0" distB="0" distL="0" distR="0">
            <wp:extent cx="3017520" cy="12033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7520" cy="1203306"/>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6. Mean trade-disruption score by region (left) and regional tariff-exposure vs. disruption bubble plot (right).</w:t>
      </w:r>
    </w:p>
    <w:p>
      <w:pPr>
        <w:spacing w:after="80" w:before="160"/>
        <w:jc w:val="center"/>
      </w:pPr>
      <w:r>
        <w:rPr>
          <w:rFonts w:ascii="Times New Roman" w:cs="Times New Roman" w:eastAsia="Times New Roman" w:hAnsi="Times New Roman"/>
          <w:sz w:val="16"/>
          <w:szCs w:val="16"/>
        </w:rPr>
        <w:t xml:space="preserve">TABLE I. MEAN TRADE DISRUPTION SCORE BY REGION</w:t>
      </w:r>
    </w:p>
    <w:tbl>
      <w:tblPr>
        <w:tblW w:type="pct" w:w="100%"/>
        <w:tblBorders>
          <w:top w:val="single" w:color="1A3A5C" w:sz="4"/>
          <w:left w:val="none"/>
          <w:bottom w:val="single" w:color="1A3A5C" w:sz="4"/>
          <w:right w:val="none"/>
          <w:insideH w:val="single" w:color="CCCCCC" w:sz="2"/>
          <w:insideV w:val="none"/>
        </w:tblBorders>
      </w:tblPr>
      <w:tblGrid>
        <w:gridCol w:w="100"/>
        <w:gridCol w:w="100"/>
        <w:gridCol w:w="100"/>
      </w:tblGrid>
      <w:tr>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Region</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n</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Mean Score</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Eastern Europe</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8.50</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North America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7.50</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East Asia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6.62</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South Asia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6.62</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Southeast Asia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6</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5.92</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Europe</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4.55</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Europe/Asia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4.00</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Latin America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3.15</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Africa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2.93</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Middle East</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2.50</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Oceania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2.25</w:t>
            </w:r>
          </w:p>
        </w:tc>
      </w:tr>
    </w:tbl>
    <w:p>
      <w:pPr>
        <w:spacing w:after="120" w:line="264"/>
        <w:ind w:firstLine="220"/>
        <w:jc w:val="both"/>
      </w:pPr>
      <w:r>
        <w:rPr>
          <w:rFonts w:ascii="Times New Roman" w:cs="Times New Roman" w:eastAsia="Times New Roman" w:hAnsi="Times New Roman"/>
          <w:sz w:val="20"/>
          <w:szCs w:val="20"/>
        </w:rPr>
        <w:t xml:space="preserve">7) Tariff Asymmetry: Of the 30 countries in the tariff-rates dataset, only three—China, Canada, and Mexico—show any recorded retaliation tariff at all (Fig. 7). China's case is the most extreme, with a 145% peak U.S. rate met by a 125% Chinese retaliation rate, whereas the remaining 27 countries pursued negotiated or unilateral accommodation rather than retaliation.</w:t>
      </w:r>
    </w:p>
    <w:p>
      <w:pPr>
        <w:spacing w:after="60" w:before="200"/>
        <w:jc w:val="center"/>
      </w:pPr>
      <w:r>
        <w:drawing>
          <wp:inline distT="0" distB="0" distL="0" distR="0">
            <wp:extent cx="3017520" cy="2254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7520" cy="2254469"/>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7. Tariff asymmetry (peak U.S. rate minus retaliation rate) across 30 countries.</w:t>
      </w:r>
    </w:p>
    <w:p>
      <w:pPr>
        <w:spacing w:after="120" w:line="264"/>
        <w:jc w:val="both"/>
      </w:pPr>
      <w:r>
        <w:rPr>
          <w:rFonts w:ascii="Times New Roman" w:cs="Times New Roman" w:eastAsia="Times New Roman" w:hAnsi="Times New Roman"/>
          <w:sz w:val="20"/>
          <w:szCs w:val="20"/>
        </w:rPr>
        <w:t xml:space="preserve">8) Event Clustering: Events cluster temporally around two peaks — April 2025 (initial escalation) and August 2025 (the "Turnberry system" global tariff rollout) — with 12 of 27 total events classified as "Critical" impact (Fig. 8).</w:t>
      </w:r>
    </w:p>
    <w:p>
      <w:pPr>
        <w:spacing w:after="60" w:before="200"/>
        <w:jc w:val="center"/>
      </w:pPr>
      <w:r>
        <w:drawing>
          <wp:inline distT="0" distB="0" distL="0" distR="0">
            <wp:extent cx="3017520" cy="12469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7520" cy="1246909"/>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8. Monthly event count and distribution of events by impact level.</w:t>
      </w:r>
    </w:p>
    <w:p>
      <w:pPr>
        <w:spacing w:after="120" w:line="264"/>
        <w:jc w:val="both"/>
      </w:pPr>
      <w:r>
        <w:rPr>
          <w:rFonts w:ascii="Times New Roman" w:cs="Times New Roman" w:eastAsia="Times New Roman" w:hAnsi="Times New Roman"/>
          <w:sz w:val="20"/>
          <w:szCs w:val="20"/>
        </w:rPr>
        <w:t xml:space="preserve">9) Country Outcome Positioning: Using the dataset's own real classification of each country's trade-diversion position, isolated economies (Russia, under sanctions) recorded the single highest disruption score (8.5), followed by the ten countries classified as net "Losers" (mean 6.32); economies classified as "Winners" of trade diversion nonetheless still average a moderate 5.67, indicating that even relative beneficiaries are not disruption-free in this episode (Fig. 9).</w:t>
      </w:r>
    </w:p>
    <w:p>
      <w:pPr>
        <w:spacing w:after="60" w:before="200"/>
        <w:jc w:val="center"/>
      </w:pPr>
      <w:r>
        <w:drawing>
          <wp:inline distT="0" distB="0" distL="0" distR="0">
            <wp:extent cx="3017520" cy="12992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7520" cy="1299287"/>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9. Mean disruption score by real outcome classification and trade-openness vs. disruption scatter colored by outcome group.</w:t>
      </w:r>
    </w:p>
    <w:p>
      <w:pPr>
        <w:spacing w:after="120" w:line="264"/>
        <w:jc w:val="both"/>
      </w:pPr>
      <w:r>
        <w:rPr>
          <w:rFonts w:ascii="Times New Roman" w:cs="Times New Roman" w:eastAsia="Times New Roman" w:hAnsi="Times New Roman"/>
          <w:sz w:val="20"/>
          <w:szCs w:val="20"/>
        </w:rPr>
        <w:t xml:space="preserve">10) Trade Diversion Destinations: Ten of the twenty bilateral corridors carry an explicit, analyst-recorded diversion destination. ASEAN, the European Union, and Latin America are jointly the most frequently cited absorption points for trade diverted away from the U.S.–China corridor (Fig. 10), directly corroborating the growth corridors identified in Section III-C2.</w:t>
      </w:r>
    </w:p>
    <w:p>
      <w:pPr>
        <w:spacing w:after="60" w:before="200"/>
        <w:jc w:val="center"/>
      </w:pPr>
      <w:r>
        <w:drawing>
          <wp:inline distT="0" distB="0" distL="0" distR="0">
            <wp:extent cx="3017520" cy="17135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17520" cy="1713556"/>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10. Real recorded trade-diversion flows with named destination markets.</w:t>
      </w:r>
    </w:p>
    <w:p>
      <w:pPr>
        <w:spacing w:after="100" w:before="200"/>
      </w:pPr>
      <w:r>
        <w:rPr>
          <w:rFonts w:ascii="Times New Roman" w:cs="Times New Roman" w:eastAsia="Times New Roman" w:hAnsi="Times New Roman"/>
          <w:b/>
          <w:bCs/>
          <w:i/>
          <w:iCs/>
          <w:sz w:val="20"/>
          <w:szCs w:val="20"/>
        </w:rPr>
        <w:t xml:space="preserve">C. Statistical Relationships and Network Structure (RQ11–RQ15)</w:t>
      </w:r>
    </w:p>
    <w:p>
      <w:pPr>
        <w:spacing w:after="120" w:line="264"/>
        <w:jc w:val="both"/>
      </w:pPr>
      <w:r>
        <w:rPr>
          <w:rFonts w:ascii="Times New Roman" w:cs="Times New Roman" w:eastAsia="Times New Roman" w:hAnsi="Times New Roman"/>
          <w:sz w:val="20"/>
          <w:szCs w:val="20"/>
        </w:rPr>
        <w:t xml:space="preserve">11) Score Distribution: The 30 country disruption scores are consistent with a normal distribution (Kolmogorov–Smirnov statistic = 0.133, p = 0.621); however, at n = 30 this test has low statistical power, so the result should be read as "not inconsistent with normality" rather than confirmatory.</w:t>
      </w:r>
    </w:p>
    <w:p>
      <w:pPr>
        <w:spacing w:after="120" w:line="264"/>
        <w:jc w:val="both"/>
      </w:pPr>
      <w:r>
        <w:rPr>
          <w:rFonts w:ascii="Times New Roman" w:cs="Times New Roman" w:eastAsia="Times New Roman" w:hAnsi="Times New Roman"/>
          <w:sz w:val="20"/>
          <w:szCs w:val="20"/>
        </w:rPr>
        <w:t xml:space="preserve">12) Corridor Direction Reversal: Thirteen of twenty corridors contracted year-on-year while seven grew; every growing corridor involves China as either exporter or a destination absorbing China-origin diversion (e.g., China→Latin America +15.7%, Brazil→China +13.1%, Vietnam→United States +12.3%), directly evidencing the diversion pattern identified in RQ10.</w:t>
      </w:r>
    </w:p>
    <w:p>
      <w:pPr>
        <w:spacing w:after="120" w:line="264"/>
        <w:jc w:val="both"/>
      </w:pPr>
      <w:r>
        <w:rPr>
          <w:rFonts w:ascii="Times New Roman" w:cs="Times New Roman" w:eastAsia="Times New Roman" w:hAnsi="Times New Roman"/>
          <w:sz w:val="20"/>
          <w:szCs w:val="20"/>
        </w:rPr>
        <w:t xml:space="preserve">13) Macroeconomic Correlates: GDP shows negligible association with disruption score once plotted on a log scale, while trade openness (% of GDP) shows a positive but statistically weak relationship at this sample size — small, highly open economies (e.g., Singapore, Cambodia) do not uniformly experience higher disruption, suggesting exposure is driven more by trade-partner concentration than by openness per se.</w:t>
      </w:r>
    </w:p>
    <w:p>
      <w:pPr>
        <w:spacing w:after="60" w:before="200"/>
        <w:jc w:val="center"/>
      </w:pPr>
      <w:r>
        <w:drawing>
          <wp:inline distT="0" distB="0" distL="0" distR="0">
            <wp:extent cx="3017520" cy="12861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17520" cy="1286156"/>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11. GDP (log scale) and trade-openness scatterplots against trade-disruption score, n = 30.</w:t>
      </w:r>
    </w:p>
    <w:p>
      <w:pPr>
        <w:spacing w:after="120" w:line="264"/>
        <w:jc w:val="both"/>
      </w:pPr>
      <w:r>
        <w:rPr>
          <w:rFonts w:ascii="Times New Roman" w:cs="Times New Roman" w:eastAsia="Times New Roman" w:hAnsi="Times New Roman"/>
          <w:sz w:val="20"/>
          <w:szCs w:val="20"/>
        </w:rPr>
        <w:t xml:space="preserve">14) Tariff Exposure vs. Retaliation Capacity: Peak tariff exposure and retaliation capacity score are positively correlated (Pearson r = 0.39, p = 0.032), indicating that countries facing the steepest U.S. tariffs also tend to be those with greater structural capacity to retaliate—consistent with the U.S. targeting economically significant trade partners rather than the reverse.</w:t>
      </w:r>
    </w:p>
    <w:p>
      <w:pPr>
        <w:spacing w:after="60" w:before="200"/>
        <w:jc w:val="center"/>
      </w:pPr>
      <w:r>
        <w:drawing>
          <wp:inline distT="0" distB="0" distL="0" distR="0">
            <wp:extent cx="3017520" cy="25365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17520" cy="2536594"/>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12. Tariff exposure vs. retaliation capacity, bubble size proportional to disruption score.</w:t>
      </w:r>
    </w:p>
    <w:p>
      <w:pPr>
        <w:spacing w:after="120" w:line="264"/>
        <w:jc w:val="both"/>
      </w:pPr>
      <w:r>
        <w:rPr>
          <w:rFonts w:ascii="Times New Roman" w:cs="Times New Roman" w:eastAsia="Times New Roman" w:hAnsi="Times New Roman"/>
          <w:sz w:val="20"/>
          <w:szCs w:val="20"/>
        </w:rPr>
        <w:t xml:space="preserve">15) Trade Network Structure: A directed network built from the 20 real bilateral corridors places the United States at maximum degree centrality (1.00) and China second (0.57), confirming both are the structural hubs of this dataset's recorded trade relationships (Fig. 13). This centrality reflects prominence within the curated sample of major corridors rather than the complete global trade network.</w:t>
      </w:r>
    </w:p>
    <w:p>
      <w:pPr>
        <w:spacing w:after="60" w:before="200"/>
        <w:jc w:val="center"/>
      </w:pPr>
      <w:r>
        <w:drawing>
          <wp:inline distT="0" distB="0" distL="0" distR="0">
            <wp:extent cx="3017520" cy="25088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7520" cy="2508819"/>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13. Directed trade network graph built from the 20 real recorded corridors.</w:t>
      </w:r>
    </w:p>
    <w:p>
      <w:pPr>
        <w:spacing w:after="100" w:before="200"/>
      </w:pPr>
      <w:r>
        <w:rPr>
          <w:rFonts w:ascii="Times New Roman" w:cs="Times New Roman" w:eastAsia="Times New Roman" w:hAnsi="Times New Roman"/>
          <w:b/>
          <w:bCs/>
          <w:i/>
          <w:iCs/>
          <w:sz w:val="20"/>
          <w:szCs w:val="20"/>
        </w:rPr>
        <w:t xml:space="preserve">D. Policy Impact Analysis (RQ16–RQ20)</w:t>
      </w:r>
    </w:p>
    <w:p>
      <w:pPr>
        <w:spacing w:after="120" w:line="264"/>
        <w:jc w:val="both"/>
      </w:pPr>
      <w:r>
        <w:rPr>
          <w:rFonts w:ascii="Times New Roman" w:cs="Times New Roman" w:eastAsia="Times New Roman" w:hAnsi="Times New Roman"/>
          <w:sz w:val="20"/>
          <w:szCs w:val="20"/>
        </w:rPr>
        <w:t xml:space="preserve">16) Framework Agreement Effect: Countries that reached a bilateral "Framework Agreement" average a disruption score of 4.80, substantially below the 9.50 recorded for China's singular "Tariff Truce" arrangement and well below the 7.25 average for countries still in "Ongoing Negotiations" (Table II). This is consistent with negotiated frameworks measurably limiting disruption relative to unresolved or high-stakes bilateral arrangements.</w:t>
      </w:r>
    </w:p>
    <w:p>
      <w:pPr>
        <w:spacing w:after="80" w:before="160"/>
        <w:jc w:val="center"/>
      </w:pPr>
      <w:r>
        <w:rPr>
          <w:rFonts w:ascii="Times New Roman" w:cs="Times New Roman" w:eastAsia="Times New Roman" w:hAnsi="Times New Roman"/>
          <w:sz w:val="16"/>
          <w:szCs w:val="16"/>
        </w:rPr>
        <w:t xml:space="preserve">TABLE II. DISRUPTION SCORE BY REAL NEGOTIATION STATUS</w:t>
      </w:r>
    </w:p>
    <w:tbl>
      <w:tblPr>
        <w:tblW w:type="pct" w:w="100%"/>
        <w:tblBorders>
          <w:top w:val="single" w:color="1A3A5C" w:sz="4"/>
          <w:left w:val="none"/>
          <w:bottom w:val="single" w:color="1A3A5C" w:sz="4"/>
          <w:right w:val="none"/>
          <w:insideH w:val="single" w:color="CCCCCC" w:sz="2"/>
          <w:insideV w:val="none"/>
        </w:tblBorders>
      </w:tblPr>
      <w:tblGrid>
        <w:gridCol w:w="100"/>
        <w:gridCol w:w="100"/>
        <w:gridCol w:w="100"/>
      </w:tblGrid>
      <w:tr>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Framework Status</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n</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Mean Score</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No Agreement</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13</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3.73</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Framework Agreement</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4.80</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Section 301 Investigation</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8</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5.19</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Ongoing Negotiations</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7.25</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Sanctions Only</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9.00</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Tariff Truce</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9.50</w:t>
            </w:r>
          </w:p>
        </w:tc>
      </w:tr>
    </w:tbl>
    <w:p>
      <w:pPr>
        <w:spacing w:after="120" w:line="264"/>
        <w:jc w:val="both"/>
      </w:pPr>
      <w:r>
        <w:rPr>
          <w:rFonts w:ascii="Times New Roman" w:cs="Times New Roman" w:eastAsia="Times New Roman" w:hAnsi="Times New Roman"/>
          <w:sz w:val="20"/>
          <w:szCs w:val="20"/>
        </w:rPr>
        <w:t xml:space="preserve">17) Sector–Region Exposure Overlap: Cross-referencing each sector's real "key affected countries" field against country regions produces a joint exposure map (Fig. 14); East Asia and Europe carry the broadest concentration of high-disruption-index sectors, consistent with their dominance of semiconductor, automotive, and rare-earth supply chains.</w:t>
      </w:r>
    </w:p>
    <w:p>
      <w:pPr>
        <w:spacing w:after="60" w:before="200"/>
        <w:jc w:val="center"/>
      </w:pPr>
      <w:r>
        <w:drawing>
          <wp:inline distT="0" distB="0" distL="0" distR="0">
            <wp:extent cx="2743200" cy="23420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2342049"/>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14. Real sector-by-region exposure heat map derived from analyst-recorded affected-country fields.</w:t>
      </w:r>
    </w:p>
    <w:p>
      <w:pPr>
        <w:spacing w:after="120" w:line="264"/>
        <w:jc w:val="both"/>
      </w:pPr>
      <w:r>
        <w:rPr>
          <w:rFonts w:ascii="Times New Roman" w:cs="Times New Roman" w:eastAsia="Times New Roman" w:hAnsi="Times New Roman"/>
          <w:sz w:val="20"/>
          <w:szCs w:val="20"/>
        </w:rPr>
        <w:t xml:space="preserve">18) Non-linearity in Tariff–Disruption Relationship: A piecewise linear fit identifies an exploratory breakpoint near a 32% peak tariff rate, above which the estimated slope of disruption steepens (Fig. 15). At n = 30 this breakpoint cannot be statistically distinguished from a single linear trend and is reported as directional evidence only.</w:t>
      </w:r>
    </w:p>
    <w:p>
      <w:pPr>
        <w:spacing w:after="60" w:before="200"/>
        <w:jc w:val="center"/>
      </w:pPr>
      <w:r>
        <w:drawing>
          <wp:inline distT="0" distB="0" distL="0" distR="0">
            <wp:extent cx="2560320" cy="16176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60320" cy="1617608"/>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15. Piecewise linear fit of trade-disruption score against peak tariff rate.</w:t>
      </w:r>
    </w:p>
    <w:p>
      <w:pPr>
        <w:spacing w:after="120" w:line="264"/>
        <w:jc w:val="both"/>
      </w:pPr>
      <w:r>
        <w:rPr>
          <w:rFonts w:ascii="Times New Roman" w:cs="Times New Roman" w:eastAsia="Times New Roman" w:hAnsi="Times New Roman"/>
          <w:sz w:val="20"/>
          <w:szCs w:val="20"/>
        </w:rPr>
        <w:t xml:space="preserve">19) Highest-Magnitude Events: Ranking the 27 timeline events by parsed trade-value-covered floor, the February 2026 Supreme Court ruling striking down IEEPA tariffs stands out structurally (invalidating an estimated $200B+ in tariffs directly, and reported alongside a $3,000B+ figure for the broader "Global" scope of affected trade), explaining the tariff de-escalation documented in Section III-A1.</w:t>
      </w:r>
    </w:p>
    <w:p>
      <w:pPr>
        <w:spacing w:after="120" w:line="264"/>
        <w:jc w:val="both"/>
      </w:pPr>
      <w:r>
        <w:rPr>
          <w:rFonts w:ascii="Times New Roman" w:cs="Times New Roman" w:eastAsia="Times New Roman" w:hAnsi="Times New Roman"/>
          <w:sz w:val="20"/>
          <w:szCs w:val="20"/>
        </w:rPr>
        <w:t xml:space="preserve">20) Corridor Fragility Ranking: Combining trade-value scale with the magnitude of year-on-year change, China→United States is unambiguously the most fragile corridor in the dataset (fragility score 0.71 on a 0–1 normalized scale), more than double the next-ranked corridor, China→ASEAN (0.24) (Table III).</w:t>
      </w:r>
    </w:p>
    <w:p>
      <w:pPr>
        <w:spacing w:after="80" w:before="160"/>
        <w:jc w:val="center"/>
      </w:pPr>
      <w:r>
        <w:rPr>
          <w:rFonts w:ascii="Times New Roman" w:cs="Times New Roman" w:eastAsia="Times New Roman" w:hAnsi="Times New Roman"/>
          <w:sz w:val="16"/>
          <w:szCs w:val="16"/>
        </w:rPr>
        <w:t xml:space="preserve">TABLE III. TOP 5 MOST FRAGILE REAL CORRIDORS</w:t>
      </w:r>
    </w:p>
    <w:tbl>
      <w:tblPr>
        <w:tblW w:type="pct" w:w="100%"/>
        <w:tblBorders>
          <w:top w:val="single" w:color="1A3A5C" w:sz="4"/>
          <w:left w:val="none"/>
          <w:bottom w:val="single" w:color="1A3A5C" w:sz="4"/>
          <w:right w:val="none"/>
          <w:insideH w:val="single" w:color="CCCCCC" w:sz="2"/>
          <w:insideV w:val="none"/>
        </w:tblBorders>
      </w:tblPr>
      <w:tblGrid>
        <w:gridCol w:w="100"/>
        <w:gridCol w:w="100"/>
        <w:gridCol w:w="100"/>
        <w:gridCol w:w="100"/>
      </w:tblGrid>
      <w:tr>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Corridor</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2024 Value ($B)</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YoY %</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Fragility</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China → U.S.</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437</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-50.1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0.705</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China → ASEAN</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620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+12.1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0.242</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EU → U.S.</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502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-11.3</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0.183</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China → EU</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512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+10.0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0.165</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ASEAN → U.S.</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430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+11.2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0.155</w:t>
            </w:r>
          </w:p>
        </w:tc>
      </w:tr>
    </w:tbl>
    <w:p>
      <w:pPr>
        <w:spacing w:after="100" w:before="200"/>
      </w:pPr>
      <w:r>
        <w:rPr>
          <w:rFonts w:ascii="Times New Roman" w:cs="Times New Roman" w:eastAsia="Times New Roman" w:hAnsi="Times New Roman"/>
          <w:b/>
          <w:bCs/>
          <w:i/>
          <w:iCs/>
          <w:sz w:val="20"/>
          <w:szCs w:val="20"/>
        </w:rPr>
        <w:t xml:space="preserve">E. Strategic Intelligence (RQ21–RQ25)</w:t>
      </w:r>
    </w:p>
    <w:p>
      <w:pPr>
        <w:spacing w:after="120" w:line="264"/>
        <w:jc w:val="both"/>
      </w:pPr>
      <w:r>
        <w:rPr>
          <w:rFonts w:ascii="Times New Roman" w:cs="Times New Roman" w:eastAsia="Times New Roman" w:hAnsi="Times New Roman"/>
          <w:sz w:val="20"/>
          <w:szCs w:val="20"/>
        </w:rPr>
        <w:t xml:space="preserve">21) Country Segmentation: k-means clustering (k = 2–6, evaluated by silhouette score) selects k = 5 as best (silhouette = 0.337), though this remains in the weak/overlapping range (&lt; 0.5), indicating soft rather than sharply separated groupings at this sample size (Fig. 16, Table IV). The resulting clusters separate a high-tariff/high-retaliation-capacity group (China alone, cluster 4) from moderate-exposure groups and a distinct high-openness outlier group (cluster 3, dominated by Singapore-type trade hubs).</w:t>
      </w:r>
    </w:p>
    <w:p>
      <w:pPr>
        <w:spacing w:after="60" w:before="200"/>
        <w:jc w:val="center"/>
      </w:pPr>
      <w:r>
        <w:drawing>
          <wp:inline distT="0" distB="0" distL="0" distR="0">
            <wp:extent cx="2560320" cy="20411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60320" cy="2041177"/>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16. Country clusters projected into PCA space (k = 5, silhouette = 0.34).</w:t>
      </w:r>
    </w:p>
    <w:p>
      <w:pPr>
        <w:spacing w:after="80" w:before="160"/>
        <w:jc w:val="center"/>
      </w:pPr>
      <w:r>
        <w:rPr>
          <w:rFonts w:ascii="Times New Roman" w:cs="Times New Roman" w:eastAsia="Times New Roman" w:hAnsi="Times New Roman"/>
          <w:sz w:val="16"/>
          <w:szCs w:val="16"/>
        </w:rPr>
        <w:t xml:space="preserve">TABLE IV. CLUSTER FEATURE MEANS (k = 5)</w:t>
      </w:r>
    </w:p>
    <w:tbl>
      <w:tblPr>
        <w:tblW w:type="pct" w:w="100%"/>
        <w:tblBorders>
          <w:top w:val="single" w:color="1A3A5C" w:sz="4"/>
          <w:left w:val="none"/>
          <w:bottom w:val="single" w:color="1A3A5C" w:sz="4"/>
          <w:right w:val="none"/>
          <w:insideH w:val="single" w:color="CCCCCC" w:sz="2"/>
          <w:insideV w:val="none"/>
        </w:tblBorders>
      </w:tblPr>
      <w:tblGrid>
        <w:gridCol w:w="100"/>
        <w:gridCol w:w="100"/>
        <w:gridCol w:w="100"/>
        <w:gridCol w:w="100"/>
        <w:gridCol w:w="100"/>
        <w:gridCol w:w="100"/>
      </w:tblGrid>
      <w:tr>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Cluster</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Peak Tariff %</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Retaliation</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SC Integ.</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Openness %</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Disruption</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26.8</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5.9</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7.7</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70.9</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6.5</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14.4</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3.7</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51.6</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3.3</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36.9</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2.3</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5.9</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67.3</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6.7</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10.0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3.5</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5.0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310.0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4.5</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4</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145.0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9.5</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9.0</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37.8</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9.5</w:t>
            </w:r>
          </w:p>
        </w:tc>
      </w:tr>
    </w:tbl>
    <w:p>
      <w:pPr>
        <w:spacing w:after="120" w:line="264"/>
        <w:jc w:val="both"/>
      </w:pPr>
      <w:r>
        <w:rPr>
          <w:rFonts w:ascii="Times New Roman" w:cs="Times New Roman" w:eastAsia="Times New Roman" w:hAnsi="Times New Roman"/>
          <w:sz w:val="20"/>
          <w:szCs w:val="20"/>
        </w:rPr>
        <w:t xml:space="preserve">22) Synchronized Multi-Bloc Tariff Pressure: Steel &amp; Aluminum, Pharmaceuticals, and Medical Devices show the lowest cross-bloc variance in tariff rates (i.e., near-identical treatment across U.S., Chinese, and EU tariff schedules for that sector), while Automobiles &amp; Parts and Consumer Electronics show the widest divergence, indicating bloc-specific rather than globally coordinated tariff policy for those sectors.</w:t>
      </w:r>
    </w:p>
    <w:p>
      <w:pPr>
        <w:spacing w:after="120" w:line="264"/>
        <w:jc w:val="both"/>
      </w:pPr>
      <w:r>
        <w:rPr>
          <w:rFonts w:ascii="Times New Roman" w:cs="Times New Roman" w:eastAsia="Times New Roman" w:hAnsi="Times New Roman"/>
          <w:sz w:val="20"/>
          <w:szCs w:val="20"/>
        </w:rPr>
        <w:t xml:space="preserve">23) Trade Value at Risk: Using the dataset's own real baseline/peak/current tariff rates (rather than a simulated distribution) applied to real 2024 export values, aggregate tariff-cost exposure across the top-28 exposed countries fell from $1,111.4B at 2025-peak rates to $226.9B at March-2026 current rates — a real de-escalation of $884.5B in exposure (Fig. 17), directly reflecting the post-SCOTUS tariff rollback.</w:t>
      </w:r>
    </w:p>
    <w:p>
      <w:pPr>
        <w:spacing w:after="60" w:before="200"/>
        <w:jc w:val="center"/>
      </w:pPr>
      <w:r>
        <w:drawing>
          <wp:inline distT="0" distB="0" distL="0" distR="0">
            <wp:extent cx="2651760" cy="1534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51760" cy="153416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6"/>
          <w:szCs w:val="16"/>
        </w:rPr>
        <w:t xml:space="preserve">Fig. 17. Tariff cost exposure under real baseline, 2025-peak, and 2026-current tariff-rate scenarios, top 10 exposed countries.</w:t>
      </w:r>
    </w:p>
    <w:p>
      <w:pPr>
        <w:spacing w:after="120" w:line="264"/>
        <w:jc w:val="both"/>
      </w:pPr>
      <w:r>
        <w:rPr>
          <w:rFonts w:ascii="Times New Roman" w:cs="Times New Roman" w:eastAsia="Times New Roman" w:hAnsi="Times New Roman"/>
          <w:sz w:val="20"/>
          <w:szCs w:val="20"/>
        </w:rPr>
        <w:t xml:space="preserve">24) Nearest-Neighbor Country Analogs: In lieu of a genuine historical-analog dataset (which would require multi-decade prior trade-war episodes not present in this snapshot), each country's closest real feature-space neighbor was identified. Nigeria and Argentina form the tightest match (distance = 0.11), followed by Ethiopia–Nigeria (0.41), reflecting shared low-tariff, low-integration profiles among these economies.</w:t>
      </w:r>
    </w:p>
    <w:p>
      <w:pPr>
        <w:spacing w:after="120" w:line="264"/>
        <w:jc w:val="both"/>
      </w:pPr>
      <w:r>
        <w:rPr>
          <w:rFonts w:ascii="Times New Roman" w:cs="Times New Roman" w:eastAsia="Times New Roman" w:hAnsi="Times New Roman"/>
          <w:sz w:val="20"/>
          <w:szCs w:val="20"/>
        </w:rPr>
        <w:t xml:space="preserve">25) Early-Warning Indicator Scorecard: Rather than a fabricated classifier trained on non-existent repeated observations, real Spearman correlations between six candidate leading indicators and the real disruption score were computed (Table V). Peak U.S. tariff rate (r = 0.82, p &lt; 0.001) and supply-chain integration score (r = 0.72, p &lt; 0.001) are the only two indicators reaching clear statistical significance at n = 30; the remaining four indicators do not reach conventional significance and should be treated as weak or unsupported signals in this dataset.</w:t>
      </w:r>
    </w:p>
    <w:p>
      <w:pPr>
        <w:spacing w:after="80" w:before="160"/>
        <w:jc w:val="center"/>
      </w:pPr>
      <w:r>
        <w:rPr>
          <w:rFonts w:ascii="Times New Roman" w:cs="Times New Roman" w:eastAsia="Times New Roman" w:hAnsi="Times New Roman"/>
          <w:sz w:val="16"/>
          <w:szCs w:val="16"/>
        </w:rPr>
        <w:t xml:space="preserve">TABLE V. EARLY-WARNING INDICATOR SCORECARD (REAL SPEARMAN CORRELATIONS, n = 30)</w:t>
      </w:r>
    </w:p>
    <w:tbl>
      <w:tblPr>
        <w:tblW w:type="pct" w:w="100%"/>
        <w:tblBorders>
          <w:top w:val="single" w:color="1A3A5C" w:sz="4"/>
          <w:left w:val="none"/>
          <w:bottom w:val="single" w:color="1A3A5C" w:sz="4"/>
          <w:right w:val="none"/>
          <w:insideH w:val="single" w:color="CCCCCC" w:sz="2"/>
          <w:insideV w:val="none"/>
        </w:tblBorders>
      </w:tblPr>
      <w:tblGrid>
        <w:gridCol w:w="100"/>
        <w:gridCol w:w="100"/>
        <w:gridCol w:w="100"/>
      </w:tblGrid>
      <w:tr>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Indicator</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Spearman r</w:t>
            </w:r>
          </w:p>
        </w:tc>
        <w:tc>
          <w:tcPr>
            <w:tcW w:type="dxa" w:w="0"/>
            <w:shd w:fill="1A3A5C" w:val="clear"/>
            <w:tcMar>
              <w:top w:type="dxa" w:w="40"/>
              <w:left w:type="dxa" w:w="80"/>
              <w:bottom w:type="dxa" w:w="40"/>
              <w:right w:type="dxa" w:w="80"/>
            </w:tcMar>
            <w:vAlign w:val="center"/>
          </w:tcPr>
          <w:p>
            <w:pPr>
              <w:jc w:val="center"/>
            </w:pPr>
            <w:r>
              <w:rPr>
                <w:rFonts w:ascii="Times New Roman" w:cs="Times New Roman" w:eastAsia="Times New Roman" w:hAnsi="Times New Roman"/>
                <w:b/>
                <w:bCs/>
                <w:color w:val="FFFFFF"/>
                <w:sz w:val="15"/>
                <w:szCs w:val="15"/>
              </w:rPr>
              <w:t xml:space="preserve">p-value</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Peak U.S. tariff rate</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0.817</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&lt;0.001</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Supply-chain integration</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0.719</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&lt;0.001</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Exports to U.S.</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0.389</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0.034</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Trade openness (% GDP)</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0.144</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0.447</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Retaliation capacity</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0.142</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0.453</w:t>
            </w:r>
          </w:p>
        </w:tc>
      </w:tr>
      <w:tr>
        <w:trPr>
          <w:tblHeader w:val="false"/>
        </w:trPr>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Exports to China</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-0.126</w:t>
            </w:r>
          </w:p>
        </w:tc>
        <w:tc>
          <w:tcPr>
            <w:tcW w:type="dxa" w:w="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color w:val="000000"/>
                <w:sz w:val="15"/>
                <w:szCs w:val="15"/>
              </w:rPr>
              <w:t xml:space="preserve">0.507</w:t>
            </w:r>
          </w:p>
        </w:tc>
      </w:tr>
    </w:tbl>
    <w:p>
      <w:pPr>
        <w:spacing w:after="120" w:before="260"/>
        <w:jc w:val="center"/>
      </w:pPr>
      <w:r>
        <w:rPr>
          <w:rFonts w:ascii="Times New Roman" w:cs="Times New Roman" w:eastAsia="Times New Roman" w:hAnsi="Times New Roman"/>
          <w:b/>
          <w:bCs/>
          <w:sz w:val="20"/>
          <w:szCs w:val="20"/>
        </w:rPr>
        <w:t xml:space="preserve">IV. DISCUSSION</w:t>
      </w:r>
    </w:p>
    <w:p>
      <w:pPr>
        <w:spacing w:after="120" w:line="264"/>
        <w:jc w:val="both"/>
      </w:pPr>
      <w:r>
        <w:rPr>
          <w:rFonts w:ascii="Times New Roman" w:cs="Times New Roman" w:eastAsia="Times New Roman" w:hAnsi="Times New Roman"/>
          <w:sz w:val="20"/>
          <w:szCs w:val="20"/>
        </w:rPr>
        <w:t xml:space="preserve">Three cross-cutting patterns emerge from the twenty-five analyses. First, disruption is concentrated rather than diffuse: a small number of strategically critical sectors (rare earths, semiconductors, EVs) and a small number of high-value corridors (principally China–United States) account for a disproportionate share of measured impact, while the majority of tracked countries and sectors experienced moderate-to-low disruption. Second, trade diversion is empirically observable and directionally consistent across independent analyses — the corridors identified as "growing" in Section III-C2, the diversion destinations named in Section III-B10, and the network centrality gains implied in Section III-C15 all point to ASEAN, the EU, and Latin America absorbing trade redirected away from the U.S.–China corridor. Third, policy resolution mechanism matters: negotiated framework agreements are associated with materially lower disruption scores than unresolved investigations or sanctions-based postures (Section III-D16), and the February 2026 judicial invalidation of IEEPA tariff authority produced a measurable, dataset-visible de-escalation in both tariff rates (Section III-A1) and aggregate value-at-risk (Section III-E23).</w:t>
      </w:r>
    </w:p>
    <w:p>
      <w:pPr>
        <w:spacing w:after="120" w:line="264"/>
        <w:jc w:val="both"/>
      </w:pPr>
      <w:r>
        <w:rPr>
          <w:rFonts w:ascii="Times New Roman" w:cs="Times New Roman" w:eastAsia="Times New Roman" w:hAnsi="Times New Roman"/>
          <w:sz w:val="20"/>
          <w:szCs w:val="20"/>
        </w:rPr>
        <w:t xml:space="preserve">The random-forest and correlation results converge on the same two dominant predictors of national disruption—peak tariff rate and supply-chain integration score—which is a methodologically reassuring form of internal consistency given that these results were derived through different statistical techniques (Sections III-A5 and III-E25).</w:t>
      </w:r>
    </w:p>
    <w:p>
      <w:pPr>
        <w:spacing w:after="120" w:before="260"/>
        <w:jc w:val="center"/>
      </w:pPr>
      <w:r>
        <w:rPr>
          <w:rFonts w:ascii="Times New Roman" w:cs="Times New Roman" w:eastAsia="Times New Roman" w:hAnsi="Times New Roman"/>
          <w:b/>
          <w:bCs/>
          <w:sz w:val="20"/>
          <w:szCs w:val="20"/>
        </w:rPr>
        <w:t xml:space="preserve">V. LIMITATIONS</w:t>
      </w:r>
    </w:p>
    <w:p>
      <w:pPr>
        <w:pStyle w:val="ListParagraph"/>
        <w:numPr>
          <w:ilvl w:val="0"/>
          <w:numId w:val="1"/>
        </w:numPr>
        <w:spacing w:after="60"/>
      </w:pPr>
      <w:r>
        <w:rPr>
          <w:rFonts w:ascii="Times New Roman" w:cs="Times New Roman" w:eastAsia="Times New Roman" w:hAnsi="Times New Roman"/>
          <w:sz w:val="20"/>
          <w:szCs w:val="20"/>
        </w:rPr>
        <w:t xml:space="preserve">Sample size: all analyses operate on 20–30 observations per file. Correlation, regression, and clustering results carry wide uncertainty intervals and should be treated as hypothesis-generating rather than confirmatory.</w:t>
      </w:r>
    </w:p>
    <w:p>
      <w:pPr>
        <w:pStyle w:val="ListParagraph"/>
        <w:numPr>
          <w:ilvl w:val="0"/>
          <w:numId w:val="1"/>
        </w:numPr>
        <w:spacing w:after="60"/>
      </w:pPr>
      <w:r>
        <w:rPr>
          <w:rFonts w:ascii="Times New Roman" w:cs="Times New Roman" w:eastAsia="Times New Roman" w:hAnsi="Times New Roman"/>
          <w:sz w:val="20"/>
          <w:szCs w:val="20"/>
        </w:rPr>
        <w:t xml:space="preserve">Cross-sectional design: the dataset provides at most three time-checkpoints per numeric series (baseline, peak, current). Genuine time-series techniques — cross-correlation, seasonal decomposition, or classifier training on repeated observations — are not supportable and were not attempted.</w:t>
      </w:r>
    </w:p>
    <w:p>
      <w:pPr>
        <w:pStyle w:val="ListParagraph"/>
        <w:numPr>
          <w:ilvl w:val="0"/>
          <w:numId w:val="1"/>
        </w:numPr>
        <w:spacing w:after="60"/>
      </w:pPr>
      <w:r>
        <w:rPr>
          <w:rFonts w:ascii="Times New Roman" w:cs="Times New Roman" w:eastAsia="Times New Roman" w:hAnsi="Times New Roman"/>
          <w:sz w:val="20"/>
          <w:szCs w:val="20"/>
        </w:rPr>
        <w:t xml:space="preserve">Curated rather than exhaustive coverage: the 20 bilateral corridors and 20 sectors represent analyst-selected, high-salience cases rather than an exhaustive census of global trade; network centrality and sector rankings should be read as "most prominent in this curated sample," not global rankings.</w:t>
      </w:r>
    </w:p>
    <w:p>
      <w:pPr>
        <w:pStyle w:val="ListParagraph"/>
        <w:numPr>
          <w:ilvl w:val="0"/>
          <w:numId w:val="1"/>
        </w:numPr>
        <w:spacing w:after="60"/>
      </w:pPr>
      <w:r>
        <w:rPr>
          <w:rFonts w:ascii="Times New Roman" w:cs="Times New Roman" w:eastAsia="Times New Roman" w:hAnsi="Times New Roman"/>
          <w:sz w:val="20"/>
          <w:szCs w:val="20"/>
        </w:rPr>
        <w:t xml:space="preserve">Point-in-time snapshot: all figures are as of March 31, 2026; the underlying policy environment (particularly Section 301 investigations noted as "in progress" in the source timeline) was still evolving at the time of this snapshot.</w:t>
      </w:r>
    </w:p>
    <w:p>
      <w:pPr>
        <w:spacing w:after="120" w:before="260"/>
        <w:jc w:val="center"/>
      </w:pPr>
      <w:r>
        <w:rPr>
          <w:rFonts w:ascii="Times New Roman" w:cs="Times New Roman" w:eastAsia="Times New Roman" w:hAnsi="Times New Roman"/>
          <w:b/>
          <w:bCs/>
          <w:sz w:val="20"/>
          <w:szCs w:val="20"/>
        </w:rPr>
        <w:t xml:space="preserve">VI. CONCLUSION</w:t>
      </w:r>
    </w:p>
    <w:p>
      <w:pPr>
        <w:spacing w:after="120" w:line="264"/>
        <w:jc w:val="both"/>
      </w:pPr>
      <w:r>
        <w:rPr>
          <w:rFonts w:ascii="Times New Roman" w:cs="Times New Roman" w:eastAsia="Times New Roman" w:hAnsi="Times New Roman"/>
          <w:sz w:val="20"/>
          <w:szCs w:val="20"/>
        </w:rPr>
        <w:t xml:space="preserve">This report has quantified the 2025–2026 U.S. tariff escalation and its global trade consequences using exclusively real, non-simulated data across five linked datasets. The analysis finds a sharp but unevenly distributed disruption: concentrated in strategically critical sectors and the U.S.–China corridor specifically, partially offset by measurable trade diversion toward ASEAN, the EU, and Latin America, and meaningfully reduced following the February 2026 judicial rollback of IEEPA tariff authority. Peak tariff rate and supply-chain integration emerge, across two independent statistical approaches, as the strongest correlates of national-level trade disruption. Given the dataset's small sample size and cross-sectional structure, all quantitative findings are presented with explicit statistical caveats, and several originally time-series-dependent research questions were methodologically reframed rather than answered with synthetic data — a design choice that trades some analytical ambition for verifiable, real-data grounding throughout.</w:t>
      </w:r>
    </w:p>
    <w:p>
      <w:pPr>
        <w:spacing w:after="120" w:before="260"/>
        <w:jc w:val="center"/>
      </w:pPr>
      <w:r>
        <w:rPr>
          <w:rFonts w:ascii="Times New Roman" w:cs="Times New Roman" w:eastAsia="Times New Roman" w:hAnsi="Times New Roman"/>
          <w:b/>
          <w:bCs/>
          <w:sz w:val="20"/>
          <w:szCs w:val="20"/>
        </w:rPr>
        <w:t xml:space="preserve">REFERENCES</w:t>
      </w:r>
    </w:p>
    <w:p>
      <w:pPr>
        <w:spacing w:after="8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A. Taqishah, "Global Tariff Wars 2026," Kaggle Dataset, 2026. [Online]. Available: https://www.kaggle.com/datasets/alitaqishah/global-tariff-wars-2026</w:t>
      </w:r>
    </w:p>
    <w:p>
      <w:pPr>
        <w:spacing w:after="8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P. J. Rousseeuw, "Silhouettes: A graphical aid to the interpretation and validation of cluster analysis," J. Comput. Appl. Math., vol. 20, pp. 53–65, 1987.</w:t>
      </w:r>
    </w:p>
    <w:p>
      <w:pPr>
        <w:spacing w:after="8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F. Pedregosa et al., "Scikit-learn: Machine learning in Python," J. Mach. Learn. Res., vol. 12, pp. 2825–2830, 2011.</w:t>
      </w:r>
    </w:p>
    <w:p>
      <w:pPr>
        <w:spacing w:after="8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L. Breiman, "Random forests," Mach. Learn., vol. 45, no. 1, pp. 5–32, 2001.</w:t>
      </w:r>
    </w:p>
    <w:p>
      <w:pPr>
        <w:spacing w:after="8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U.S. Supreme Court, Learning Resources, Inc. v. Trump (IEEPA tariff authority ruling), Feb. 2026.</w:t>
      </w:r>
    </w:p>
    <w:sectPr>
      <w:pgSz w:w="12240" w:h="15840" w:orient="portrait"/>
      <w:pgMar w:top="720" w:right="1080" w:bottom="90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da0ad1fc2dca758a5160d3b9de4ed7c2b47ff2.png"/><Relationship Id="rId8" Type="http://schemas.openxmlformats.org/officeDocument/2006/relationships/image" Target="media/6626a67d6798b479b2db95df1d6c25b5945d7757.png"/><Relationship Id="rId9" Type="http://schemas.openxmlformats.org/officeDocument/2006/relationships/image" Target="media/4c755aa63172e769e16c19ad80702d8f3cb57901.png"/><Relationship Id="rId10" Type="http://schemas.openxmlformats.org/officeDocument/2006/relationships/image" Target="media/1bd758a5619d4726785510a1041a4840674eb32e.png"/><Relationship Id="rId11" Type="http://schemas.openxmlformats.org/officeDocument/2006/relationships/image" Target="media/d1cbe00ec8008975d66c7c0bd9d856342999eda9.png"/><Relationship Id="rId12" Type="http://schemas.openxmlformats.org/officeDocument/2006/relationships/image" Target="media/39897c4edda73b66d892e4842cb206675696aefe.png"/><Relationship Id="rId13" Type="http://schemas.openxmlformats.org/officeDocument/2006/relationships/image" Target="media/e65a91d938be4ddd77931a6785f0a15405c39321.png"/><Relationship Id="rId14" Type="http://schemas.openxmlformats.org/officeDocument/2006/relationships/image" Target="media/7fb925bb478f2de2df0457bef7c24ac3c896786c.png"/><Relationship Id="rId15" Type="http://schemas.openxmlformats.org/officeDocument/2006/relationships/image" Target="media/b66d0cabaf5a483038dd4ea768c32169f895d5e7.png"/><Relationship Id="rId16" Type="http://schemas.openxmlformats.org/officeDocument/2006/relationships/image" Target="media/deb8b0aaad8f3799787f8b6f76c03c3c870bd2e5.png"/><Relationship Id="rId17" Type="http://schemas.openxmlformats.org/officeDocument/2006/relationships/image" Target="media/c31382b810470b32dc3ff31c3e94fe5560fd3c4a.png"/><Relationship Id="rId18" Type="http://schemas.openxmlformats.org/officeDocument/2006/relationships/image" Target="media/54114ea6cc508baafecb6585d013589b5a19b979.png"/><Relationship Id="rId19" Type="http://schemas.openxmlformats.org/officeDocument/2006/relationships/image" Target="media/2b497835b3914ed17ba545d6f29e642df5f85e48.png"/><Relationship Id="rId20" Type="http://schemas.openxmlformats.org/officeDocument/2006/relationships/image" Target="media/488c043994de55f3e295b82b6a7c467ea265021c.png"/><Relationship Id="rId21" Type="http://schemas.openxmlformats.org/officeDocument/2006/relationships/image" Target="media/c32496b9608dbfb34443dbd160dac553d303301c.png"/><Relationship Id="rId22" Type="http://schemas.openxmlformats.org/officeDocument/2006/relationships/image" Target="media/bb07ea8e404f2c738bf7b41815d2d1fc7490c4a8.png"/><Relationship Id="rId23" Type="http://schemas.openxmlformats.org/officeDocument/2006/relationships/image" Target="media/73e73a646ef8a9f100b1d3d25c98e352d182b71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2026-07-05T10:37:34.080Z</dcterms:created>
  <dcterms:modified xsi:type="dcterms:W3CDTF">2026-07-05T10:37:34.080Z</dcterms:modified>
</cp:coreProperties>
</file>

<file path=docProps/custom.xml><?xml version="1.0" encoding="utf-8"?>
<Properties xmlns="http://schemas.openxmlformats.org/officeDocument/2006/custom-properties" xmlns:vt="http://schemas.openxmlformats.org/officeDocument/2006/docPropsVTypes"/>
</file>