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64"/>
          <w:szCs w:val="64"/>
        </w:rPr>
        <w:t xml:space="preserve">Healio.AI</w:t>
      </w:r>
    </w:p>
    <w:p>
      <w:pPr>
        <w:spacing w:after="100"/>
        <w:jc w:val="center"/>
      </w:pPr>
      <w:r>
        <w:rPr>
          <w:b/>
          <w:bCs/>
          <w:color w:val="2E75B6"/>
          <w:sz w:val="36"/>
          <w:szCs w:val="36"/>
        </w:rPr>
        <w:t xml:space="preserve">Comprehensive Clinical AI Audit</w:t>
      </w:r>
    </w:p>
    <w:p>
      <w:pPr>
        <w:spacing w:after="800"/>
        <w:jc w:val="center"/>
      </w:pPr>
      <w:r>
        <w:rPr>
          <w:i/>
          <w:iCs/>
          <w:color w:val="595959"/>
          <w:sz w:val="22"/>
          <w:szCs w:val="22"/>
        </w:rPr>
        <w:t xml:space="preserve">Architecture · Clinical Safety · Diagnostic Reasoning · Regulatory Readiness</w:t>
      </w:r>
    </w:p>
    <w:p>
      <w:pPr>
        <w:spacing w:after="80"/>
        <w:jc w:val="center"/>
      </w:pPr>
      <w:r>
        <w:rPr>
          <w:color w:val="595959"/>
          <w:sz w:val="20"/>
          <w:szCs w:val="20"/>
        </w:rPr>
        <w:t xml:space="preserve">Prepared August 2026</w:t>
      </w:r>
    </w:p>
    <w:p>
      <w:pPr>
        <w:jc w:val="center"/>
      </w:pPr>
      <w:r>
        <w:rPr>
          <w:i/>
          <w:iCs/>
          <w:color w:val="595959"/>
          <w:sz w:val="18"/>
          <w:szCs w:val="18"/>
        </w:rPr>
        <w:t xml:space="preserve">Companion workbook: Healio_AI_Audit_Data.xlsx (Top 100 Problems, Top 100 Improvements, Testing Strategy)</w:t>
      </w:r>
    </w:p>
    <w:p>
      <w:r>
        <w:br w:type="page"/>
      </w:r>
    </w:p>
    <w:p>
      <w:pPr>
        <w:pStyle w:val="Heading1"/>
        <w:spacing w:after="240" w:before="480"/>
      </w:pPr>
      <w:r>
        <w:rPr>
          <w:b/>
          <w:bCs/>
          <w:color w:val="1F3864"/>
          <w:sz w:val="32"/>
          <w:szCs w:val="32"/>
        </w:rPr>
        <w:t xml:space="preserve">Table of Contents</w:t>
      </w:r>
    </w:p>
    <w:p>
      <w:pPr>
        <w:tabs>
          <w:tab w:val="right" w:pos="9026" w:leader="dot"/>
        </w:tabs>
        <w:spacing w:after="140"/>
      </w:pPr>
      <w:r>
        <w:rPr>
          <w:sz w:val="21"/>
          <w:szCs w:val="21"/>
        </w:rPr>
        <w:t xml:space="preserve">1. Executive Summary</w:t>
      </w:r>
      <w:r>
        <w:rPr>
          <w:sz w:val="21"/>
          <w:szCs w:val="21"/>
        </w:rPr>
        <w:t xml:space="preserve">	3</w:t>
      </w:r>
    </w:p>
    <w:p>
      <w:pPr>
        <w:tabs>
          <w:tab w:val="right" w:pos="9026" w:leader="dot"/>
        </w:tabs>
        <w:spacing w:after="140"/>
      </w:pPr>
      <w:r>
        <w:rPr>
          <w:sz w:val="21"/>
          <w:szCs w:val="21"/>
        </w:rPr>
        <w:t xml:space="preserve">2. Methodology — How to Read This Report</w:t>
      </w:r>
      <w:r>
        <w:rPr>
          <w:sz w:val="21"/>
          <w:szCs w:val="21"/>
        </w:rPr>
        <w:t xml:space="preserve">	4</w:t>
      </w:r>
    </w:p>
    <w:p>
      <w:pPr>
        <w:tabs>
          <w:tab w:val="right" w:pos="9026" w:leader="dot"/>
        </w:tabs>
        <w:spacing w:after="140"/>
      </w:pPr>
      <w:r>
        <w:rPr>
          <w:sz w:val="21"/>
          <w:szCs w:val="21"/>
        </w:rPr>
        <w:t xml:space="preserve">3. Architecture Review</w:t>
      </w:r>
      <w:r>
        <w:rPr>
          <w:sz w:val="21"/>
          <w:szCs w:val="21"/>
        </w:rPr>
        <w:t xml:space="preserve">	5</w:t>
      </w:r>
    </w:p>
    <w:p>
      <w:pPr>
        <w:tabs>
          <w:tab w:val="right" w:pos="9026" w:leader="dot"/>
        </w:tabs>
        <w:spacing w:after="140"/>
      </w:pPr>
      <w:r>
        <w:rPr>
          <w:sz w:val="21"/>
          <w:szCs w:val="21"/>
        </w:rPr>
        <w:t xml:space="preserve">4. Clinical Intelligence &amp; Diagnostic Reasoning</w:t>
      </w:r>
      <w:r>
        <w:rPr>
          <w:sz w:val="21"/>
          <w:szCs w:val="21"/>
        </w:rPr>
        <w:t xml:space="preserve">	7</w:t>
      </w:r>
    </w:p>
    <w:p>
      <w:pPr>
        <w:tabs>
          <w:tab w:val="right" w:pos="9026" w:leader="dot"/>
        </w:tabs>
        <w:spacing w:after="140"/>
      </w:pPr>
      <w:r>
        <w:rPr>
          <w:sz w:val="21"/>
          <w:szCs w:val="21"/>
        </w:rPr>
        <w:t xml:space="preserve">5. Medical Knowledge Audit</w:t>
      </w:r>
      <w:r>
        <w:rPr>
          <w:sz w:val="21"/>
          <w:szCs w:val="21"/>
        </w:rPr>
        <w:t xml:space="preserve">	9</w:t>
      </w:r>
    </w:p>
    <w:p>
      <w:pPr>
        <w:tabs>
          <w:tab w:val="right" w:pos="9026" w:leader="dot"/>
        </w:tabs>
        <w:spacing w:after="140"/>
      </w:pPr>
      <w:r>
        <w:rPr>
          <w:sz w:val="21"/>
          <w:szCs w:val="21"/>
        </w:rPr>
        <w:t xml:space="preserve">6. Patient Interview Quality</w:t>
      </w:r>
      <w:r>
        <w:rPr>
          <w:sz w:val="21"/>
          <w:szCs w:val="21"/>
        </w:rPr>
        <w:t xml:space="preserve">	11</w:t>
      </w:r>
    </w:p>
    <w:p>
      <w:pPr>
        <w:tabs>
          <w:tab w:val="right" w:pos="9026" w:leader="dot"/>
        </w:tabs>
        <w:spacing w:after="140"/>
      </w:pPr>
      <w:r>
        <w:rPr>
          <w:sz w:val="21"/>
          <w:szCs w:val="21"/>
        </w:rPr>
        <w:t xml:space="preserve">7. Medical Safety Review</w:t>
      </w:r>
      <w:r>
        <w:rPr>
          <w:sz w:val="21"/>
          <w:szCs w:val="21"/>
        </w:rPr>
        <w:t xml:space="preserve">	12</w:t>
      </w:r>
    </w:p>
    <w:p>
      <w:pPr>
        <w:tabs>
          <w:tab w:val="right" w:pos="9026" w:leader="dot"/>
        </w:tabs>
        <w:spacing w:after="140"/>
      </w:pPr>
      <w:r>
        <w:rPr>
          <w:sz w:val="21"/>
          <w:szCs w:val="21"/>
        </w:rPr>
        <w:t xml:space="preserve">8. Memory &amp; Personalization Review</w:t>
      </w:r>
      <w:r>
        <w:rPr>
          <w:sz w:val="21"/>
          <w:szCs w:val="21"/>
        </w:rPr>
        <w:t xml:space="preserve">	15</w:t>
      </w:r>
    </w:p>
    <w:p>
      <w:pPr>
        <w:tabs>
          <w:tab w:val="right" w:pos="9026" w:leader="dot"/>
        </w:tabs>
        <w:spacing w:after="140"/>
      </w:pPr>
      <w:r>
        <w:rPr>
          <w:sz w:val="21"/>
          <w:szCs w:val="21"/>
        </w:rPr>
        <w:t xml:space="preserve">9. Prompt Engineering Review</w:t>
      </w:r>
      <w:r>
        <w:rPr>
          <w:sz w:val="21"/>
          <w:szCs w:val="21"/>
        </w:rPr>
        <w:t xml:space="preserve">	17</w:t>
      </w:r>
    </w:p>
    <w:p>
      <w:pPr>
        <w:tabs>
          <w:tab w:val="right" w:pos="9026" w:leader="dot"/>
        </w:tabs>
        <w:spacing w:after="140"/>
      </w:pPr>
      <w:r>
        <w:rPr>
          <w:sz w:val="21"/>
          <w:szCs w:val="21"/>
        </w:rPr>
        <w:t xml:space="preserve">10. Output Validation Layer</w:t>
      </w:r>
      <w:r>
        <w:rPr>
          <w:sz w:val="21"/>
          <w:szCs w:val="21"/>
        </w:rPr>
        <w:t xml:space="preserve">	19</w:t>
      </w:r>
    </w:p>
    <w:p>
      <w:pPr>
        <w:tabs>
          <w:tab w:val="right" w:pos="9026" w:leader="dot"/>
        </w:tabs>
        <w:spacing w:after="140"/>
      </w:pPr>
      <w:r>
        <w:rPr>
          <w:sz w:val="21"/>
          <w:szCs w:val="21"/>
        </w:rPr>
        <w:t xml:space="preserve">11. Clinical Decision Engine</w:t>
      </w:r>
      <w:r>
        <w:rPr>
          <w:sz w:val="21"/>
          <w:szCs w:val="21"/>
        </w:rPr>
        <w:t xml:space="preserve">	20</w:t>
      </w:r>
    </w:p>
    <w:p>
      <w:pPr>
        <w:tabs>
          <w:tab w:val="right" w:pos="9026" w:leader="dot"/>
        </w:tabs>
        <w:spacing w:after="140"/>
      </w:pPr>
      <w:r>
        <w:rPr>
          <w:sz w:val="21"/>
          <w:szCs w:val="21"/>
        </w:rPr>
        <w:t xml:space="preserve">12. Explainability</w:t>
      </w:r>
      <w:r>
        <w:rPr>
          <w:sz w:val="21"/>
          <w:szCs w:val="21"/>
        </w:rPr>
        <w:t xml:space="preserve">	21</w:t>
      </w:r>
    </w:p>
    <w:p>
      <w:pPr>
        <w:tabs>
          <w:tab w:val="right" w:pos="9026" w:leader="dot"/>
        </w:tabs>
        <w:spacing w:after="140"/>
      </w:pPr>
      <w:r>
        <w:rPr>
          <w:sz w:val="21"/>
          <w:szCs w:val="21"/>
        </w:rPr>
        <w:t xml:space="preserve">13. Competitive Benchmark</w:t>
      </w:r>
      <w:r>
        <w:rPr>
          <w:sz w:val="21"/>
          <w:szCs w:val="21"/>
        </w:rPr>
        <w:t xml:space="preserve">	22</w:t>
      </w:r>
    </w:p>
    <w:p>
      <w:pPr>
        <w:tabs>
          <w:tab w:val="right" w:pos="9026" w:leader="dot"/>
        </w:tabs>
        <w:spacing w:after="140"/>
      </w:pPr>
      <w:r>
        <w:rPr>
          <w:sz w:val="21"/>
          <w:szCs w:val="21"/>
        </w:rPr>
        <w:t xml:space="preserve">14. Production Readiness Scorecard</w:t>
      </w:r>
      <w:r>
        <w:rPr>
          <w:sz w:val="21"/>
          <w:szCs w:val="21"/>
        </w:rPr>
        <w:t xml:space="preserve">	24</w:t>
      </w:r>
    </w:p>
    <w:p>
      <w:pPr>
        <w:tabs>
          <w:tab w:val="right" w:pos="9026" w:leader="dot"/>
        </w:tabs>
        <w:spacing w:after="140"/>
      </w:pPr>
      <w:r>
        <w:rPr>
          <w:sz w:val="21"/>
          <w:szCs w:val="21"/>
        </w:rPr>
        <w:t xml:space="preserve">15. Regulatory Reality Check</w:t>
      </w:r>
      <w:r>
        <w:rPr>
          <w:sz w:val="21"/>
          <w:szCs w:val="21"/>
        </w:rPr>
        <w:t xml:space="preserve">	25</w:t>
      </w:r>
    </w:p>
    <w:p>
      <w:pPr>
        <w:tabs>
          <w:tab w:val="right" w:pos="9026" w:leader="dot"/>
        </w:tabs>
        <w:spacing w:after="140"/>
      </w:pPr>
      <w:r>
        <w:rPr>
          <w:sz w:val="21"/>
          <w:szCs w:val="21"/>
        </w:rPr>
        <w:t xml:space="preserve">16. Testing Strategy</w:t>
      </w:r>
      <w:r>
        <w:rPr>
          <w:sz w:val="21"/>
          <w:szCs w:val="21"/>
        </w:rPr>
        <w:t xml:space="preserve">	27</w:t>
      </w:r>
    </w:p>
    <w:p>
      <w:pPr>
        <w:tabs>
          <w:tab w:val="right" w:pos="9026" w:leader="dot"/>
        </w:tabs>
        <w:spacing w:after="140"/>
      </w:pPr>
      <w:r>
        <w:rPr>
          <w:sz w:val="21"/>
          <w:szCs w:val="21"/>
        </w:rPr>
        <w:t xml:space="preserve">17. Top 100 Problems &amp; Improvements — Summary</w:t>
      </w:r>
      <w:r>
        <w:rPr>
          <w:sz w:val="21"/>
          <w:szCs w:val="21"/>
        </w:rPr>
        <w:t xml:space="preserve">	28</w:t>
      </w:r>
    </w:p>
    <w:p>
      <w:pPr>
        <w:tabs>
          <w:tab w:val="right" w:pos="9026" w:leader="dot"/>
        </w:tabs>
        <w:spacing w:after="140"/>
      </w:pPr>
      <w:r>
        <w:rPr>
          <w:sz w:val="21"/>
          <w:szCs w:val="21"/>
        </w:rPr>
        <w:t xml:space="preserve">18. Roadmap — The Unlimited-Resources Version</w:t>
      </w:r>
      <w:r>
        <w:rPr>
          <w:sz w:val="21"/>
          <w:szCs w:val="21"/>
        </w:rPr>
        <w:t xml:space="preserve">	29</w:t>
      </w:r>
    </w:p>
    <w:p>
      <w:pPr>
        <w:tabs>
          <w:tab w:val="right" w:pos="9026" w:leader="dot"/>
        </w:tabs>
        <w:spacing w:after="140"/>
      </w:pPr>
      <w:r>
        <w:rPr>
          <w:sz w:val="21"/>
          <w:szCs w:val="21"/>
        </w:rPr>
        <w:t xml:space="preserve">19. Final Verdict</w:t>
      </w:r>
      <w:r>
        <w:rPr>
          <w:sz w:val="21"/>
          <w:szCs w:val="21"/>
        </w:rPr>
        <w:t xml:space="preserve">	30</w:t>
      </w:r>
    </w:p>
    <w:p>
      <w:pPr>
        <w:tabs>
          <w:tab w:val="right" w:pos="9026" w:leader="dot"/>
        </w:tabs>
        <w:spacing w:after="140"/>
      </w:pPr>
      <w:r>
        <w:rPr>
          <w:sz w:val="21"/>
          <w:szCs w:val="21"/>
        </w:rPr>
        <w:t xml:space="preserve">20. Prioritized Implementation Plan</w:t>
      </w:r>
      <w:r>
        <w:rPr>
          <w:sz w:val="21"/>
          <w:szCs w:val="21"/>
        </w:rPr>
        <w:t xml:space="preserve">	31</w:t>
      </w:r>
    </w:p>
    <w:p>
      <w:pPr>
        <w:tabs>
          <w:tab w:val="right" w:pos="9026" w:leader="dot"/>
        </w:tabs>
        <w:spacing w:after="140"/>
      </w:pPr>
      <w:r>
        <w:rPr>
          <w:sz w:val="21"/>
          <w:szCs w:val="21"/>
        </w:rPr>
        <w:t xml:space="preserve">Appendix: Sources for Researched Claims</w:t>
      </w:r>
      <w:r>
        <w:rPr>
          <w:sz w:val="21"/>
          <w:szCs w:val="21"/>
        </w:rPr>
        <w:t xml:space="preserve">	33</w:t>
      </w:r>
    </w:p>
    <w:p>
      <w:r>
        <w:br w:type="page"/>
      </w:r>
    </w:p>
    <w:p>
      <w:pPr>
        <w:pStyle w:val="Heading1"/>
        <w:pageBreakBefore/>
        <w:spacing w:after="240" w:before="480"/>
      </w:pPr>
      <w:r>
        <w:rPr>
          <w:b/>
          <w:bCs/>
          <w:color w:val="1F3864"/>
          <w:sz w:val="32"/>
          <w:szCs w:val="32"/>
        </w:rPr>
        <w:t xml:space="preserve">1. Executive Summary</w:t>
      </w:r>
    </w:p>
    <w:p>
      <w:pPr>
        <w:spacing w:after="200" w:line="300"/>
        <w:jc w:val="both"/>
      </w:pPr>
      <w:r>
        <w:rPr>
          <w:b w:val="false"/>
          <w:bCs w:val="false"/>
          <w:i w:val="false"/>
          <w:iCs w:val="false"/>
        </w:rPr>
        <w:t xml:space="preserve">Healio.AI has a genuinely unusual amount of real clinical-AI architecture already in place for its stage: a Bayesian/MCMC diagnostic engine with gender- and age-conditioned priors, a deterministic persona parser for BMI/frailty/polypharmacy, dual-source RAG retrieval across homeopathic and Ayurvedic knowledge bases, and a multi-layer safety-guard system with posterior red-flag escalation. That is not a small foundation, and it shows in how quickly the team correctly root-caused the demographic-gating bug that prompted this audit.</w:t>
      </w:r>
    </w:p>
    <w:p>
      <w:pPr>
        <w:spacing w:after="200" w:line="300"/>
        <w:jc w:val="both"/>
      </w:pPr>
      <w:r>
        <w:rPr>
          <w:b w:val="false"/>
          <w:bCs w:val="false"/>
          <w:i w:val="false"/>
          <w:iCs w:val="false"/>
        </w:rPr>
        <w:t xml:space="preserve">The honest verdict is that Healio is not yet a world-class AI doctor, and nothing reviewed here suggests it's close to safe for unsupervised deployment to millions of users. It is, however, a well-architected early-stage clinical AI product with a clear, buildable path to that bar — provided the next phase of work treats clinical safety testing, memory persistence, and regulatory classification as first-class engineering problems rather than follow-on cleanup. Section 17 (Final Verdict) makes this case in full; the short version is that the gap between where Healio is and where it needs to be is real but not structural — it is a gap of validated coverage (tests, golden datasets, red-teaming), not of fundamentally wrong architecture.</w:t>
      </w:r>
    </w:p>
    <w:p>
      <w:pPr>
        <w:pStyle w:val="Heading3"/>
        <w:spacing w:after="120" w:before="260"/>
      </w:pPr>
      <w:r>
        <w:rPr>
          <w:b/>
          <w:bCs/>
          <w:color w:val="2E75B6"/>
          <w:sz w:val="23"/>
          <w:szCs w:val="23"/>
        </w:rPr>
        <w:t xml:space="preserve">The five findings that matter most</w:t>
      </w:r>
    </w:p>
    <w:p>
      <w:pPr>
        <w:pStyle w:val="ListParagraph"/>
        <w:numPr>
          <w:ilvl w:val="0"/>
          <w:numId w:val="2"/>
        </w:numPr>
        <w:spacing w:after="100" w:line="280"/>
      </w:pPr>
      <w:r>
        <w:rPr>
          <w:b/>
          <w:bCs/>
        </w:rPr>
        <w:t xml:space="preserve">The gender-gating fix, as currently scoped, closes the embarrassing bug but not the dangerous one. </w:t>
      </w:r>
      <w:r>
        <w:t xml:space="preserve">Gating pregnancy-related screening on the gender field rather than reproductive anatomy fixes cisgender men being asked an odd question, but risks silently suppressing a life-threatening screen for transgender men. This is the single highest-priority clinical-safety item in this report (Section 5).</w:t>
      </w:r>
    </w:p>
    <w:p>
      <w:pPr>
        <w:pStyle w:val="ListParagraph"/>
        <w:numPr>
          <w:ilvl w:val="0"/>
          <w:numId w:val="2"/>
        </w:numPr>
        <w:spacing w:after="100" w:line="280"/>
      </w:pPr>
      <w:r>
        <w:rPr>
          <w:b/>
          <w:bCs/>
        </w:rPr>
        <w:t xml:space="preserve">There is no persistent, decay-aware memory across sessions yet. </w:t>
      </w:r>
      <w:r>
        <w:t xml:space="preserve">An allergy or major diagnosis mentioned once is not reliably retrievable later. This is a patient-safety gap before it's a personalization gap (Section 6).</w:t>
      </w:r>
    </w:p>
    <w:p>
      <w:pPr>
        <w:pStyle w:val="ListParagraph"/>
        <w:numPr>
          <w:ilvl w:val="0"/>
          <w:numId w:val="2"/>
        </w:numPr>
        <w:spacing w:after="100" w:line="280"/>
      </w:pPr>
      <w:r>
        <w:rPr>
          <w:b/>
          <w:bCs/>
        </w:rPr>
        <w:t xml:space="preserve">“FDA/SaMD readiness” is the wrong regulatory target for where this product actually operates. </w:t>
      </w:r>
      <w:r>
        <w:t xml:space="preserve">As of early 2026, India's CDSCO has made AI diagnostic-software licensing mandatory, and Healio's diagnosis-presenting design is a real candidate for the higher-scrutiny Class C tier. This needs to be the compliance priority, not a US framework that may not apply for years, if ever (Section 13).</w:t>
      </w:r>
    </w:p>
    <w:p>
      <w:pPr>
        <w:pStyle w:val="ListParagraph"/>
        <w:numPr>
          <w:ilvl w:val="0"/>
          <w:numId w:val="2"/>
        </w:numPr>
        <w:spacing w:after="100" w:line="280"/>
      </w:pPr>
      <w:r>
        <w:rPr>
          <w:b/>
          <w:bCs/>
        </w:rPr>
        <w:t xml:space="preserve">No clinical-safety-specific test suite or golden dataset exists yet as a CI gate. </w:t>
      </w:r>
      <w:r>
        <w:t xml:space="preserve">General code-correctness testing and clinical-behavior testing are different disciplines, and only the former appears to be in place. This is the single highest-leverage process gap in the whole audit (Section 14).</w:t>
      </w:r>
    </w:p>
    <w:p>
      <w:pPr>
        <w:pStyle w:val="ListParagraph"/>
        <w:numPr>
          <w:ilvl w:val="0"/>
          <w:numId w:val="2"/>
        </w:numPr>
        <w:spacing w:after="100" w:line="280"/>
      </w:pPr>
      <w:r>
        <w:rPr>
          <w:b/>
          <w:bCs/>
        </w:rPr>
        <w:t xml:space="preserve">The architecture itself is sound; what's missing is validated coverage, not a redesign. </w:t>
      </w:r>
      <w:r>
        <w:t xml:space="preserve">Nearly every gap in this report is closeable by extending patterns Healio already has (the safety-guard layers, the output validator, the persona engine) rather than by rebuilding them.</w:t>
      </w:r>
    </w:p>
    <w:p>
      <w:pPr>
        <w:spacing w:after="120"/>
      </w:pPr>
    </w:p>
    <w:p>
      <w:pPr>
        <w:spacing w:after="200" w:line="300"/>
        <w:jc w:val="both"/>
      </w:pPr>
      <w:r>
        <w:rPr>
          <w:b w:val="false"/>
          <w:bCs w:val="false"/>
          <w:i w:val="false"/>
          <w:iCs w:val="false"/>
        </w:rPr>
        <w:t xml:space="preserve">This report follows the structure of the audit brief you provided, reorganized into eighteen sections for readability, plus a companion Excel workbook holding the three enumerable deliverables: a Top 100 Problems list, a Top 100 Improvements list, and a 100-case Testing Strategy sheet, each organized into ten categories of ten items so that scope and quality both hold up at that volume. Read Section 2 (Methodology) before anything else — it explains exactly what in this report is grounded in what you've shared versus general clinical-AI-safety expertise applied to your architecture, which matters for how you weight every claim that follows.</w:t>
      </w:r>
    </w:p>
    <w:p>
      <w:pPr>
        <w:pStyle w:val="Heading1"/>
        <w:pageBreakBefore/>
        <w:spacing w:after="240" w:before="480"/>
      </w:pPr>
      <w:r>
        <w:rPr>
          <w:b/>
          <w:bCs/>
          <w:color w:val="1F3864"/>
          <w:sz w:val="32"/>
          <w:szCs w:val="32"/>
        </w:rPr>
        <w:t xml:space="preserve">2. Methodology — How to Read This Report</w:t>
      </w:r>
    </w:p>
    <w:p>
      <w:pPr>
        <w:spacing w:after="200" w:line="300"/>
        <w:jc w:val="both"/>
      </w:pPr>
      <w:r>
        <w:rPr>
          <w:b w:val="false"/>
          <w:bCs w:val="false"/>
          <w:i w:val="false"/>
          <w:iCs w:val="false"/>
        </w:rPr>
        <w:t xml:space="preserve">This audit was produced from three documents shared in conversation: the audit brief itself, and two independent technical write-ups analyzing a specific confirmed bug (male-profile users occasionally receiving pregnancy-related screening questions). It was not produced with direct access to the Healio.AI repository, a running instance, or its test suite. That distinction matters enough to state plainly and to apply consistently, because the brief's own governing rule — separate documented facts from assumptions, never praise without evidence — applies just as much to this report as to Healio itself.</w:t>
      </w:r>
    </w:p>
    <w:p>
      <w:pPr>
        <w:pStyle w:val="Heading3"/>
        <w:spacing w:after="120" w:before="260"/>
      </w:pPr>
      <w:r>
        <w:rPr>
          <w:b/>
          <w:bCs/>
          <w:color w:val="2E75B6"/>
          <w:sz w:val="23"/>
          <w:szCs w:val="23"/>
        </w:rPr>
        <w:t xml:space="preserve">Three tiers of confidence in this report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6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Tier</w:t>
            </w:r>
          </w:p>
        </w:tc>
        <w:tc>
          <w:tcPr>
            <w:tcW w:type="dxa" w:w="5400"/>
            <w:shd w:fill="1F3864" w:val="clear"/>
            <w:tcMar>
              <w:top w:type="dxa" w:w="80"/>
              <w:left w:type="dxa" w:w="100"/>
              <w:bottom w:type="dxa" w:w="80"/>
              <w:right w:type="dxa" w:w="100"/>
            </w:tcMar>
          </w:tcPr>
          <w:p>
            <w:r>
              <w:rPr>
                <w:b/>
                <w:bCs/>
                <w:color w:val="FFFFFF"/>
                <w:sz w:val="19"/>
                <w:szCs w:val="19"/>
              </w:rPr>
              <w:t xml:space="preserve">What it means</w:t>
            </w:r>
          </w:p>
        </w:tc>
        <w:tc>
          <w:tcPr>
            <w:tcW w:type="dxa" w:w="2600"/>
            <w:shd w:fill="1F3864" w:val="clear"/>
            <w:tcMar>
              <w:top w:type="dxa" w:w="80"/>
              <w:left w:type="dxa" w:w="100"/>
              <w:bottom w:type="dxa" w:w="80"/>
              <w:right w:type="dxa" w:w="100"/>
            </w:tcMar>
          </w:tcPr>
          <w:p>
            <w:r>
              <w:rPr>
                <w:b/>
                <w:bCs/>
                <w:color w:val="FFFFFF"/>
                <w:sz w:val="19"/>
                <w:szCs w:val="19"/>
              </w:rPr>
              <w:t xml:space="preserve">Where you'll see it</w:t>
            </w:r>
          </w:p>
        </w:tc>
      </w:tr>
      <w:tr>
        <w:tc>
          <w:tcPr>
            <w:tcW w:type="dxa" w:w="1800"/>
            <w:tcMar>
              <w:top w:type="dxa" w:w="80"/>
              <w:left w:type="dxa" w:w="100"/>
              <w:bottom w:type="dxa" w:w="80"/>
              <w:right w:type="dxa" w:w="100"/>
            </w:tcMar>
          </w:tcPr>
          <w:p>
            <w:r>
              <w:rPr>
                <w:b w:val="false"/>
                <w:bCs w:val="false"/>
                <w:color w:val="000000"/>
                <w:sz w:val="19"/>
                <w:szCs w:val="19"/>
              </w:rPr>
              <w:t xml:space="preserve">Confirmed</w:t>
            </w:r>
          </w:p>
        </w:tc>
        <w:tc>
          <w:tcPr>
            <w:tcW w:type="dxa" w:w="5400"/>
            <w:tcMar>
              <w:top w:type="dxa" w:w="80"/>
              <w:left w:type="dxa" w:w="100"/>
              <w:bottom w:type="dxa" w:w="80"/>
              <w:right w:type="dxa" w:w="100"/>
            </w:tcMar>
          </w:tcPr>
          <w:p>
            <w:r>
              <w:rPr>
                <w:b w:val="false"/>
                <w:bCs w:val="false"/>
                <w:color w:val="000000"/>
                <w:sz w:val="19"/>
                <w:szCs w:val="19"/>
              </w:rPr>
              <w:t xml:space="preserve">Drawn directly from the two shared technical write-ups, which independently converged on the same root-cause diagnosis for the gender-gating bug — that convergence is itself meaningful evidence.</w:t>
            </w:r>
          </w:p>
        </w:tc>
        <w:tc>
          <w:tcPr>
            <w:tcW w:type="dxa" w:w="2600"/>
            <w:tcMar>
              <w:top w:type="dxa" w:w="80"/>
              <w:left w:type="dxa" w:w="100"/>
              <w:bottom w:type="dxa" w:w="80"/>
              <w:right w:type="dxa" w:w="100"/>
            </w:tcMar>
          </w:tcPr>
          <w:p>
            <w:r>
              <w:rPr>
                <w:b w:val="false"/>
                <w:bCs w:val="false"/>
                <w:color w:val="000000"/>
                <w:sz w:val="19"/>
                <w:szCs w:val="19"/>
              </w:rPr>
              <w:t xml:space="preserve">Demographic Gating findings throughout; the bug's root cause and the shape of its proposed fix.</w:t>
            </w:r>
          </w:p>
        </w:tc>
      </w:tr>
      <w:tr>
        <w:tc>
          <w:tcPr>
            <w:tcW w:type="dxa" w:w="1800"/>
            <w:shd w:fill="F2F2F2" w:val="clear"/>
            <w:tcMar>
              <w:top w:type="dxa" w:w="80"/>
              <w:left w:type="dxa" w:w="100"/>
              <w:bottom w:type="dxa" w:w="80"/>
              <w:right w:type="dxa" w:w="100"/>
            </w:tcMar>
          </w:tcPr>
          <w:p>
            <w:r>
              <w:rPr>
                <w:b w:val="false"/>
                <w:bCs w:val="false"/>
                <w:color w:val="000000"/>
                <w:sz w:val="19"/>
                <w:szCs w:val="19"/>
              </w:rPr>
              <w:t xml:space="preserve">Researched</w:t>
            </w:r>
          </w:p>
        </w:tc>
        <w:tc>
          <w:tcPr>
            <w:tcW w:type="dxa" w:w="5400"/>
            <w:shd w:fill="F2F2F2" w:val="clear"/>
            <w:tcMar>
              <w:top w:type="dxa" w:w="80"/>
              <w:left w:type="dxa" w:w="100"/>
              <w:bottom w:type="dxa" w:w="80"/>
              <w:right w:type="dxa" w:w="100"/>
            </w:tcMar>
          </w:tcPr>
          <w:p>
            <w:r>
              <w:rPr>
                <w:b w:val="false"/>
                <w:bCs w:val="false"/>
                <w:color w:val="000000"/>
                <w:sz w:val="19"/>
                <w:szCs w:val="19"/>
              </w:rPr>
              <w:t xml:space="preserve">Verified via live web search during this audit (competitor product status, India's CDSCO/DPDP/AYUSH regulatory framework). Cited to source where it appears.</w:t>
            </w:r>
          </w:p>
        </w:tc>
        <w:tc>
          <w:tcPr>
            <w:tcW w:type="dxa" w:w="2600"/>
            <w:shd w:fill="F2F2F2" w:val="clear"/>
            <w:tcMar>
              <w:top w:type="dxa" w:w="80"/>
              <w:left w:type="dxa" w:w="100"/>
              <w:bottom w:type="dxa" w:w="80"/>
              <w:right w:type="dxa" w:w="100"/>
            </w:tcMar>
          </w:tcPr>
          <w:p>
            <w:r>
              <w:rPr>
                <w:b w:val="false"/>
                <w:bCs w:val="false"/>
                <w:color w:val="000000"/>
                <w:sz w:val="19"/>
                <w:szCs w:val="19"/>
              </w:rPr>
              <w:t xml:space="preserve">Section 11 (Benchmark) and Section 13 (Regulatory Reality Check).</w:t>
            </w:r>
          </w:p>
        </w:tc>
      </w:tr>
      <w:tr>
        <w:tc>
          <w:tcPr>
            <w:tcW w:type="dxa" w:w="1800"/>
            <w:tcMar>
              <w:top w:type="dxa" w:w="80"/>
              <w:left w:type="dxa" w:w="100"/>
              <w:bottom w:type="dxa" w:w="80"/>
              <w:right w:type="dxa" w:w="100"/>
            </w:tcMar>
          </w:tcPr>
          <w:p>
            <w:r>
              <w:rPr>
                <w:b w:val="false"/>
                <w:bCs w:val="false"/>
                <w:color w:val="000000"/>
                <w:sz w:val="19"/>
                <w:szCs w:val="19"/>
              </w:rPr>
              <w:t xml:space="preserve">Framework</w:t>
            </w:r>
          </w:p>
        </w:tc>
        <w:tc>
          <w:tcPr>
            <w:tcW w:type="dxa" w:w="5400"/>
            <w:tcMar>
              <w:top w:type="dxa" w:w="80"/>
              <w:left w:type="dxa" w:w="100"/>
              <w:bottom w:type="dxa" w:w="80"/>
              <w:right w:type="dxa" w:w="100"/>
            </w:tcMar>
          </w:tcPr>
          <w:p>
            <w:r>
              <w:rPr>
                <w:b w:val="false"/>
                <w:bCs w:val="false"/>
                <w:color w:val="000000"/>
                <w:sz w:val="19"/>
                <w:szCs w:val="19"/>
              </w:rPr>
              <w:t xml:space="preserve">General clinical-AI-safety and software-architecture expertise applied to Healio's described architecture — real, actionable, and standard practice for this class of system, but not verified against your actual source code.</w:t>
            </w:r>
          </w:p>
        </w:tc>
        <w:tc>
          <w:tcPr>
            <w:tcW w:type="dxa" w:w="2600"/>
            <w:tcMar>
              <w:top w:type="dxa" w:w="80"/>
              <w:left w:type="dxa" w:w="100"/>
              <w:bottom w:type="dxa" w:w="80"/>
              <w:right w:type="dxa" w:w="100"/>
            </w:tcMar>
          </w:tcPr>
          <w:p>
            <w:r>
              <w:rPr>
                <w:b w:val="false"/>
                <w:bCs w:val="false"/>
                <w:color w:val="000000"/>
                <w:sz w:val="19"/>
                <w:szCs w:val="19"/>
              </w:rPr>
              <w:t xml:space="preserve">Most of the Top 100 Problems/Improvements lists, the testing strategy, and sections without a specific citation.</w:t>
            </w:r>
          </w:p>
        </w:tc>
      </w:tr>
    </w:tbl>
    <w:p>
      <w:pPr>
        <w:spacing w:after="120"/>
      </w:pPr>
    </w:p>
    <w:p>
      <w:pPr>
        <w:spacing w:after="200" w:line="300"/>
        <w:jc w:val="both"/>
      </w:pPr>
      <w:r>
        <w:rPr>
          <w:b w:val="false"/>
          <w:bCs w:val="false"/>
          <w:i w:val="false"/>
          <w:iCs w:val="false"/>
        </w:rPr>
        <w:t xml:space="preserve">In practice: treat “Confirmed” findings as things to act on directly, “Researched” findings as current and citable, and “Framework” findings as a rigorous starting checklist that a pass against your actual codebase should verify, prioritize, and in some cases disprove. That last category is not a weaker report — it is what a domain expert without repository access can responsibly offer, and it's arguably more useful than 100 fabricated line-number citations would have been. Where this report scores something (a specialty, a category, a readiness dimension) without direct evidence, it says so explicitly rather than assigning a confident number it can't support.</w:t>
      </w:r>
    </w:p>
    <w:p>
      <w:pPr>
        <w:spacing w:after="200" w:line="300"/>
        <w:jc w:val="both"/>
      </w:pPr>
      <w:r>
        <w:rPr>
          <w:b w:val="false"/>
          <w:bCs w:val="false"/>
          <w:i w:val="false"/>
          <w:iCs w:val="false"/>
        </w:rPr>
        <w:t xml:space="preserve">One structural note: your team has already completed a 20-issue technical audit of the chat route and a 23-issue UI/UX audit. This report does not re-litigate either — it assumes their findings are being worked and focuses on what neither covered: clinical reasoning quality, safety-layer completeness, memory architecture, regulatory classification, and a systematic testing strategy.</w:t>
      </w:r>
    </w:p>
    <w:p>
      <w:pPr>
        <w:pStyle w:val="Heading1"/>
        <w:pageBreakBefore/>
        <w:spacing w:after="240" w:before="480"/>
      </w:pPr>
      <w:r>
        <w:rPr>
          <w:b/>
          <w:bCs/>
          <w:color w:val="1F3864"/>
          <w:sz w:val="32"/>
          <w:szCs w:val="32"/>
        </w:rPr>
        <w:t xml:space="preserve">3. Architecture Review</w:t>
      </w:r>
    </w:p>
    <w:p>
      <w:pPr>
        <w:spacing w:after="200" w:line="300"/>
        <w:jc w:val="both"/>
      </w:pPr>
      <w:r>
        <w:rPr>
          <w:b w:val="false"/>
          <w:bCs w:val="false"/>
          <w:i w:val="false"/>
          <w:iCs w:val="false"/>
        </w:rPr>
        <w:t xml:space="preserve">Healio's architecture is a multi-hop pipeline: an authenticated Next.js/TypeScript API route resolves the user's profile, runs dual-source RAG retrieval (Jina embeddings over a Boericke homeopathic knowledge base, Gemini embeddings over an Ayurvedic knowledge base) alongside a deterministic persona parser, feeds all of it into a Bayesian/MCMC diagnostic engine and a rule-based safety-guard layer, and finally generates a response via Groq (Llama-3.3-70B) with a Gemini 2.5 Flash fallback. This is a genuinely sophisticated shape for an early-stage product — most symptom-checker MVPs skip straight to “prompt an LLM with the symptoms” and never build the deterministic core at all.</w:t>
      </w:r>
    </w:p>
    <w:p>
      <w:pPr>
        <w:pStyle w:val="Heading3"/>
        <w:spacing w:after="120" w:before="260"/>
      </w:pPr>
      <w:r>
        <w:rPr>
          <w:b/>
          <w:bCs/>
          <w:color w:val="2E75B6"/>
          <w:sz w:val="23"/>
          <w:szCs w:val="23"/>
        </w:rPr>
        <w:t xml:space="preserve">What's structurally right</w:t>
      </w:r>
    </w:p>
    <w:p>
      <w:pPr>
        <w:pStyle w:val="ListParagraph"/>
        <w:numPr>
          <w:ilvl w:val="0"/>
          <w:numId w:val="2"/>
        </w:numPr>
        <w:spacing w:after="100" w:line="280"/>
      </w:pPr>
      <w:r>
        <w:t xml:space="preserve">A deterministic diagnostic core (MCMC engine, persona parser, safety guards) sitting underneath an LLM formatting layer is the correct architecture for a clinical product — it means diagnostic substance doesn't have to be re-earned from the LLM on every call, only its presentation does. Section 9 (Clinical Decision Engine) argues this split should be enforced more strictly than it currently appears to be, but the underlying instinct is right.</w:t>
      </w:r>
    </w:p>
    <w:p>
      <w:pPr>
        <w:pStyle w:val="ListParagraph"/>
        <w:numPr>
          <w:ilvl w:val="0"/>
          <w:numId w:val="2"/>
        </w:numPr>
        <w:spacing w:after="100" w:line="280"/>
      </w:pPr>
      <w:r>
        <w:t xml:space="preserve">Separating knowledge retrieval (RAG) from diagnostic reasoning (MCMC) from safety gating (guard layer) rather than asking one LLM call to do all three is a real architectural strength — it's what makes each layer independently testable, which Section 14 leans on heavily.</w:t>
      </w:r>
    </w:p>
    <w:p>
      <w:pPr>
        <w:pStyle w:val="ListParagraph"/>
        <w:numPr>
          <w:ilvl w:val="0"/>
          <w:numId w:val="2"/>
        </w:numPr>
        <w:spacing w:after="100" w:line="280"/>
      </w:pPr>
      <w:r>
        <w:t xml:space="preserve">A fallback LLM provider (Gemini 2.5 Flash behind Groq/Llama-3.3-70B) is good resilience engineering, though Problem P045 flags that its safety behavior needs independent validation, not assumed parity.</w:t>
      </w:r>
    </w:p>
    <w:p>
      <w:pPr>
        <w:pStyle w:val="Heading3"/>
        <w:spacing w:after="120" w:before="260"/>
      </w:pPr>
      <w:r>
        <w:rPr>
          <w:b/>
          <w:bCs/>
          <w:color w:val="2E75B6"/>
          <w:sz w:val="23"/>
          <w:szCs w:val="23"/>
        </w:rPr>
        <w:t xml:space="preserve">Where the architecture has real gaps</w:t>
      </w:r>
    </w:p>
    <w:p>
      <w:pPr>
        <w:spacing w:after="200" w:line="300"/>
        <w:jc w:val="both"/>
      </w:pPr>
      <w:r>
        <w:rPr>
          <w:b w:val="false"/>
          <w:bCs w:val="false"/>
          <w:i w:val="false"/>
          <w:iCs w:val="false"/>
        </w:rPr>
        <w:t xml:space="preserve">The Top 100 Problems workbook (Category: Architecture &amp; Security) enumerates these in full; the ones worth naming here because they cut across the whole system:</w:t>
      </w:r>
    </w:p>
    <w:p>
      <w:pPr>
        <w:pStyle w:val="ListParagraph"/>
        <w:numPr>
          <w:ilvl w:val="0"/>
          <w:numId w:val="2"/>
        </w:numPr>
        <w:spacing w:after="100" w:line="280"/>
      </w:pPr>
      <w:r>
        <w:rPr>
          <w:b/>
          <w:bCs/>
        </w:rPr>
        <w:t xml:space="preserve">Trust boundary on the client-supplied profile (P015). </w:t>
      </w:r>
      <w:r>
        <w:t xml:space="preserve">The diagnose route reportedly serializes whatever profile object the client sends rather than resolving it authoritatively server-side. This is the architectural root of a meaningful share of the demographic-gating bug's blast radius, and it's a pattern worth auditing everywhere else client data feeds a safety-relevant decision.</w:t>
      </w:r>
    </w:p>
    <w:p>
      <w:pPr>
        <w:pStyle w:val="ListParagraph"/>
        <w:numPr>
          <w:ilvl w:val="0"/>
          <w:numId w:val="2"/>
        </w:numPr>
        <w:spacing w:after="100" w:line="280"/>
      </w:pPr>
      <w:r>
        <w:rPr>
          <w:b/>
          <w:bCs/>
        </w:rPr>
        <w:t xml:space="preserve">No confirmed hop-level observability (P068). </w:t>
      </w:r>
      <w:r>
        <w:t xml:space="preserve">A four-stage pipeline (RAG → MCMC → LLM → validation) without distributed tracing means every production incident starts with “which of the four systems did this?” instead of an answer.</w:t>
      </w:r>
    </w:p>
    <w:p>
      <w:pPr>
        <w:pStyle w:val="ListParagraph"/>
        <w:numPr>
          <w:ilvl w:val="0"/>
          <w:numId w:val="2"/>
        </w:numPr>
        <w:spacing w:after="100" w:line="280"/>
      </w:pPr>
      <w:r>
        <w:rPr>
          <w:b/>
          <w:bCs/>
        </w:rPr>
        <w:t xml:space="preserve">Security posture is described, not evidenced (P062). </w:t>
      </w:r>
      <w:r>
        <w:t xml:space="preserve">Supabase RLS and token auth are the right building blocks, but RLS misconfiguration is one of the most common real-world sources of cross-tenant data leakage precisely because it's easy to get subtly wrong — this warrants an RLS-specific review, not just a general pentest.</w:t>
      </w:r>
    </w:p>
    <w:p>
      <w:pPr>
        <w:pStyle w:val="ListParagraph"/>
        <w:numPr>
          <w:ilvl w:val="0"/>
          <w:numId w:val="2"/>
        </w:numPr>
        <w:spacing w:after="100" w:line="280"/>
      </w:pPr>
      <w:r>
        <w:rPr>
          <w:b/>
          <w:bCs/>
        </w:rPr>
        <w:t xml:space="preserve">No load-testing evidence for the full multi-hop pipeline under concurrency (P067). </w:t>
      </w:r>
      <w:r>
        <w:t xml:space="preserve">Serverless scalability is a compute-elasticity property; it doesn't guarantee the pipeline's end-to-end latency holds up under real concurrent conversational load.</w:t>
      </w:r>
    </w:p>
    <w:p>
      <w:pPr>
        <w:pStyle w:val="Heading3"/>
        <w:spacing w:after="120" w:before="260"/>
      </w:pPr>
      <w:r>
        <w:rPr>
          <w:b/>
          <w:bCs/>
          <w:color w:val="2E75B6"/>
          <w:sz w:val="23"/>
          <w:szCs w:val="23"/>
        </w:rPr>
        <w:t xml:space="preserve">Patient-experience and clinical-workflow architecture</w:t>
      </w:r>
    </w:p>
    <w:p>
      <w:pPr>
        <w:spacing w:after="200" w:line="300"/>
        <w:jc w:val="both"/>
      </w:pPr>
      <w:r>
        <w:rPr>
          <w:b w:val="false"/>
          <w:bCs w:val="false"/>
          <w:i w:val="false"/>
          <w:iCs w:val="false"/>
        </w:rPr>
        <w:t xml:space="preserve">The prior 23-issue UI/UX audit already covers interface-level patient experience in depth, so this report doesn't repeat it. What it adds is the content and communication layer sitting on top of the interface — how uncertainty, urgency, and escalation get worded — covered in Section 10 (Explainability) and as the “Trust &amp; Communication” category in the Top 100 lists, since that's a distinct discipline from visual/component design and wasn't in scope for that earlier audit.</w:t>
      </w:r>
    </w:p>
    <w:p>
      <w:pPr>
        <w:pStyle w:val="Heading1"/>
        <w:pageBreakBefore/>
        <w:spacing w:after="240" w:before="480"/>
      </w:pPr>
      <w:r>
        <w:rPr>
          <w:b/>
          <w:bCs/>
          <w:color w:val="1F3864"/>
          <w:sz w:val="32"/>
          <w:szCs w:val="32"/>
        </w:rPr>
        <w:t xml:space="preserve">4. Clinical Intelligence &amp; Diagnostic Reasoning</w:t>
      </w:r>
    </w:p>
    <w:p>
      <w:pPr>
        <w:spacing w:after="200" w:line="300"/>
        <w:jc w:val="both"/>
      </w:pPr>
      <w:r>
        <w:rPr>
          <w:b w:val="false"/>
          <w:bCs w:val="false"/>
          <w:i w:val="false"/>
          <w:iCs w:val="false"/>
        </w:rPr>
        <w:t xml:space="preserve">The brief asks a direct question: does this reason like an experienced physician? The honest answer is that the architecture reasons like a well-instrumented resident with a good textbook and an inconsistent attending looking over their shoulder — the individual components (Bayesian updating, gender/age-conditioned priors, red-flag escalation) are the right primitives a senior clinician's reasoning actually rests on, but several of the judgment calls a consultant makes automatically don't yet appear to be enforced as explicit rules.</w:t>
      </w:r>
    </w:p>
    <w:p>
      <w:pPr>
        <w:pStyle w:val="Heading3"/>
        <w:spacing w:after="120" w:before="260"/>
      </w:pPr>
      <w:r>
        <w:rPr>
          <w:b/>
          <w:bCs/>
          <w:color w:val="2E75B6"/>
          <w:sz w:val="23"/>
          <w:szCs w:val="23"/>
        </w:rPr>
        <w:t xml:space="preserve">Where it behaves like a strong resident</w:t>
      </w:r>
    </w:p>
    <w:p>
      <w:pPr>
        <w:pStyle w:val="ListParagraph"/>
        <w:numPr>
          <w:ilvl w:val="0"/>
          <w:numId w:val="2"/>
        </w:numPr>
        <w:spacing w:after="100" w:line="280"/>
      </w:pPr>
      <w:r>
        <w:t xml:space="preserve">Differential generation via Bayesian/MCMC posterior updating is fundamentally the right mechanism — real diagnostic reasoning is probabilistic, not rule-lookup, and building on MCMC rather than a decision tree is a meaningfully better foundation than most consumer symptom checkers use.</w:t>
      </w:r>
    </w:p>
    <w:p>
      <w:pPr>
        <w:pStyle w:val="ListParagraph"/>
        <w:numPr>
          <w:ilvl w:val="0"/>
          <w:numId w:val="2"/>
        </w:numPr>
        <w:spacing w:after="100" w:line="280"/>
      </w:pPr>
      <w:r>
        <w:t xml:space="preserve">Gender- and age-conditioned priors (the genderFilter mechanism, PersonaEngine's BMI/frailty adjustments) show real understanding that demographics shift base rates, not just presentation — this is exactly the kind of prior-conditioning a good clinician does automatically.</w:t>
      </w:r>
    </w:p>
    <w:p>
      <w:pPr>
        <w:pStyle w:val="ListParagraph"/>
        <w:numPr>
          <w:ilvl w:val="0"/>
          <w:numId w:val="2"/>
        </w:numPr>
        <w:spacing w:after="100" w:line="280"/>
      </w:pPr>
      <w:r>
        <w:t xml:space="preserve">The safety-guard escalation tiers (L1 safe through L5 emergency) show explicit awareness that diagnostic confidence and clinical urgency are different axes that both need to be tracked — a system that only optimized for “most likely diagnosis” would be missing this entirely.</w:t>
      </w:r>
    </w:p>
    <w:p>
      <w:pPr>
        <w:pStyle w:val="Heading3"/>
        <w:spacing w:after="120" w:before="260"/>
      </w:pPr>
      <w:r>
        <w:rPr>
          <w:b/>
          <w:bCs/>
          <w:color w:val="2E75B6"/>
          <w:sz w:val="23"/>
          <w:szCs w:val="23"/>
        </w:rPr>
        <w:t xml:space="preserve">Where it doesn't yet reach consultant-level judgment</w:t>
      </w:r>
    </w:p>
    <w:p>
      <w:pPr>
        <w:spacing w:after="200" w:line="300"/>
        <w:jc w:val="both"/>
      </w:pPr>
      <w:r>
        <w:rPr>
          <w:b w:val="false"/>
          <w:bCs w:val="false"/>
          <w:i w:val="false"/>
          <w:iCs w:val="false"/>
        </w:rPr>
        <w:t xml:space="preserve">These map directly to the Diagnostic Reasoning category in the Top 100 Problems workbook:</w:t>
      </w:r>
    </w:p>
    <w:p>
      <w:pPr>
        <w:pStyle w:val="ListParagraph"/>
        <w:numPr>
          <w:ilvl w:val="0"/>
          <w:numId w:val="2"/>
        </w:numPr>
        <w:spacing w:after="100" w:line="280"/>
      </w:pPr>
      <w:r>
        <w:rPr>
          <w:b/>
          <w:bCs/>
        </w:rPr>
        <w:t xml:space="preserve">Cannot-miss diagnoses aren't evidenced as a protected category (P002, P027). </w:t>
      </w:r>
      <w:r>
        <w:t xml:space="preserve">A senior clinician actively rules out ACS, PE, aortic dissection, meningitis, sepsis, ectopic pregnancy, and testicular torsion for compatible presentations regardless of their prevalence-weighted probability, precisely because base-rate reasoning under-weights rare-but-lethal conditions. A pure MCMC posterior can mathematically round these to near-zero and still be statistically defensible while being clinically wrong.</w:t>
      </w:r>
    </w:p>
    <w:p>
      <w:pPr>
        <w:pStyle w:val="ListParagraph"/>
        <w:numPr>
          <w:ilvl w:val="0"/>
          <w:numId w:val="2"/>
        </w:numPr>
        <w:spacing w:after="100" w:line="280"/>
      </w:pPr>
      <w:r>
        <w:rPr>
          <w:b/>
          <w:bCs/>
        </w:rPr>
        <w:t xml:space="preserve">Atypical presentation handling isn't evidenced as a distinct layer (P028). </w:t>
      </w:r>
      <w:r>
        <w:t xml:space="preserve">Silent MI in diabetics and atypical stroke presentation in women are the textbook examples of where symptom-matching alone under-triages exactly the patients most at risk of being under-triaged elsewhere in the healthcare system too. This needs an explicit rule layer referencing AHA/ACC and equivalent stroke-recognition guidance, not just better base-rate math.</w:t>
      </w:r>
    </w:p>
    <w:p>
      <w:pPr>
        <w:pStyle w:val="ListParagraph"/>
        <w:numPr>
          <w:ilvl w:val="0"/>
          <w:numId w:val="2"/>
        </w:numPr>
        <w:spacing w:after="100" w:line="280"/>
      </w:pPr>
      <w:r>
        <w:rPr>
          <w:b/>
          <w:bCs/>
        </w:rPr>
        <w:t xml:space="preserve">Evidence retraction isn't confirmed (P021). </w:t>
      </w:r>
      <w:r>
        <w:t xml:space="preserve">A consultant updates their thinking when a patient corrects themselves; whether the MCMC engine recomputes from a corrected evidence set or just accumulates the correction on top of the original evidence isn't evidenced either way.</w:t>
      </w:r>
    </w:p>
    <w:p>
      <w:pPr>
        <w:pStyle w:val="ListParagraph"/>
        <w:numPr>
          <w:ilvl w:val="0"/>
          <w:numId w:val="2"/>
        </w:numPr>
        <w:spacing w:after="100" w:line="280"/>
      </w:pPr>
      <w:r>
        <w:rPr>
          <w:b/>
          <w:bCs/>
        </w:rPr>
        <w:t xml:space="preserve">Chronology and onset order aren't confirmed as first-class inputs (P026). </w:t>
      </w:r>
      <w:r>
        <w:t xml:space="preserve">Sequence is one of the most clinically informative things a patient can report — rash-then-fever and fever-then-rash suggest genuinely different differentials — and a system that treats symptoms as an unordered set is discarding real signal.</w:t>
      </w:r>
    </w:p>
    <w:p>
      <w:pPr>
        <w:pStyle w:val="ListParagraph"/>
        <w:numPr>
          <w:ilvl w:val="0"/>
          <w:numId w:val="2"/>
        </w:numPr>
        <w:spacing w:after="100" w:line="280"/>
      </w:pPr>
      <w:r>
        <w:rPr>
          <w:b/>
          <w:bCs/>
        </w:rPr>
        <w:t xml:space="preserve">Comorbidity / concurrent-condition reasoning isn't evidenced (P023). </w:t>
      </w:r>
      <w:r>
        <w:t xml:space="preserve">Real patients, especially with existing chronic conditions, often have more than one active issue; a differential optimized for “most likely single disease” isn't the same task as “most likely explanation for this patient's actual situation.”</w:t>
      </w:r>
    </w:p>
    <w:p>
      <w:pPr>
        <w:pStyle w:val="ListParagraph"/>
        <w:numPr>
          <w:ilvl w:val="0"/>
          <w:numId w:val="2"/>
        </w:numPr>
        <w:spacing w:after="100" w:line="280"/>
      </w:pPr>
      <w:r>
        <w:rPr>
          <w:b/>
          <w:bCs/>
        </w:rPr>
        <w:t xml:space="preserve">Prevalence priors' geographic calibration is unconfirmed (P022). </w:t>
      </w:r>
      <w:r>
        <w:t xml:space="preserve">This is likely the single highest-leverage accuracy lever available: MCMC posteriors are extremely base-rate-sensitive, and India-specific epidemiology (TB, anemia, and several infectious-disease base rates in particular) diverges meaningfully from Western datasets a global or US-sourced prior table would assume.</w:t>
      </w:r>
    </w:p>
    <w:p>
      <w:pPr>
        <w:pStyle w:val="Heading3"/>
        <w:spacing w:after="120" w:before="260"/>
      </w:pPr>
      <w:r>
        <w:rPr>
          <w:b/>
          <w:bCs/>
          <w:color w:val="2E75B6"/>
          <w:sz w:val="23"/>
          <w:szCs w:val="23"/>
        </w:rPr>
        <w:t xml:space="preserve">Confidence, uncertainty, and evidence weighting</w:t>
      </w:r>
    </w:p>
    <w:p>
      <w:pPr>
        <w:spacing w:after="200" w:line="300"/>
        <w:jc w:val="both"/>
      </w:pPr>
      <w:r>
        <w:rPr>
          <w:b w:val="false"/>
          <w:bCs w:val="false"/>
          <w:i w:val="false"/>
          <w:iCs w:val="false"/>
        </w:rPr>
        <w:t xml:space="preserve">One gap worth its own paragraph: nothing in the reviewed materials indicates the system distinguishes a 60% posterior built on two symptoms from a 60% posterior built on fifteen. Statistically these are very different levels of confidence in the estimate itself, even when the point estimate is identical, and presenting them identically to a patient invites over-trust in early-conversation, low-evidence outputs specifically — exactly the moment a symptom checker is least equipped to be confident. Surfacing an explicit “limited information so far” qualifier below a defined evidence-volume threshold (Problem P025) is a low-effort, high-value fix.</w:t>
      </w:r>
    </w:p>
    <w:p>
      <w:pPr>
        <w:pStyle w:val="Heading3"/>
        <w:spacing w:after="120" w:before="260"/>
      </w:pPr>
      <w:r>
        <w:rPr>
          <w:b/>
          <w:bCs/>
          <w:color w:val="2E75B6"/>
          <w:sz w:val="23"/>
          <w:szCs w:val="23"/>
        </w:rPr>
        <w:t xml:space="preserve">How this compares across the medical-student-to-professor spectrum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9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Capability</w:t>
            </w:r>
          </w:p>
        </w:tc>
        <w:tc>
          <w:tcPr>
            <w:tcW w:type="dxa" w:w="3300"/>
            <w:shd w:fill="1F3864" w:val="clear"/>
            <w:tcMar>
              <w:top w:type="dxa" w:w="80"/>
              <w:left w:type="dxa" w:w="100"/>
              <w:bottom w:type="dxa" w:w="80"/>
              <w:right w:type="dxa" w:w="100"/>
            </w:tcMar>
          </w:tcPr>
          <w:p>
            <w:r>
              <w:rPr>
                <w:b/>
                <w:bCs/>
                <w:color w:val="FFFFFF"/>
                <w:sz w:val="19"/>
                <w:szCs w:val="19"/>
              </w:rPr>
              <w:t xml:space="preserve">Where Healio sits</w:t>
            </w:r>
          </w:p>
        </w:tc>
        <w:tc>
          <w:tcPr>
            <w:tcW w:type="dxa" w:w="3900"/>
            <w:shd w:fill="1F3864" w:val="clear"/>
            <w:tcMar>
              <w:top w:type="dxa" w:w="80"/>
              <w:left w:type="dxa" w:w="100"/>
              <w:bottom w:type="dxa" w:w="80"/>
              <w:right w:type="dxa" w:w="100"/>
            </w:tcMar>
          </w:tcPr>
          <w:p>
            <w:r>
              <w:rPr>
                <w:b/>
                <w:bCs/>
                <w:color w:val="FFFFFF"/>
                <w:sz w:val="19"/>
                <w:szCs w:val="19"/>
              </w:rPr>
              <w:t xml:space="preserve">What consultant-level would add</w:t>
            </w:r>
          </w:p>
        </w:tc>
      </w:tr>
      <w:tr>
        <w:tc>
          <w:tcPr>
            <w:tcW w:type="dxa" w:w="2600"/>
            <w:tcMar>
              <w:top w:type="dxa" w:w="80"/>
              <w:left w:type="dxa" w:w="100"/>
              <w:bottom w:type="dxa" w:w="80"/>
              <w:right w:type="dxa" w:w="100"/>
            </w:tcMar>
          </w:tcPr>
          <w:p>
            <w:r>
              <w:rPr>
                <w:b w:val="false"/>
                <w:bCs w:val="false"/>
                <w:color w:val="000000"/>
                <w:sz w:val="19"/>
                <w:szCs w:val="19"/>
              </w:rPr>
              <w:t xml:space="preserve">Generate a differential</w:t>
            </w:r>
          </w:p>
        </w:tc>
        <w:tc>
          <w:tcPr>
            <w:tcW w:type="dxa" w:w="3300"/>
            <w:tcMar>
              <w:top w:type="dxa" w:w="80"/>
              <w:left w:type="dxa" w:w="100"/>
              <w:bottom w:type="dxa" w:w="80"/>
              <w:right w:type="dxa" w:w="100"/>
            </w:tcMar>
          </w:tcPr>
          <w:p>
            <w:r>
              <w:rPr>
                <w:b w:val="false"/>
                <w:bCs w:val="false"/>
                <w:color w:val="000000"/>
                <w:sz w:val="19"/>
                <w:szCs w:val="19"/>
              </w:rPr>
              <w:t xml:space="preserve">Strong — MCMC-based, demographically conditioned</w:t>
            </w:r>
          </w:p>
        </w:tc>
        <w:tc>
          <w:tcPr>
            <w:tcW w:type="dxa" w:w="3900"/>
            <w:tcMar>
              <w:top w:type="dxa" w:w="80"/>
              <w:left w:type="dxa" w:w="100"/>
              <w:bottom w:type="dxa" w:w="80"/>
              <w:right w:type="dxa" w:w="100"/>
            </w:tcMar>
          </w:tcPr>
          <w:p>
            <w:r>
              <w:rPr>
                <w:b w:val="false"/>
                <w:bCs w:val="false"/>
                <w:color w:val="000000"/>
                <w:sz w:val="19"/>
                <w:szCs w:val="19"/>
              </w:rPr>
              <w:t xml:space="preserve">Comorbidity-aware joint reasoning, not just marginal per-disease probability</w:t>
            </w:r>
          </w:p>
        </w:tc>
      </w:tr>
      <w:tr>
        <w:tc>
          <w:tcPr>
            <w:tcW w:type="dxa" w:w="2600"/>
            <w:shd w:fill="F2F2F2" w:val="clear"/>
            <w:tcMar>
              <w:top w:type="dxa" w:w="80"/>
              <w:left w:type="dxa" w:w="100"/>
              <w:bottom w:type="dxa" w:w="80"/>
              <w:right w:type="dxa" w:w="100"/>
            </w:tcMar>
          </w:tcPr>
          <w:p>
            <w:r>
              <w:rPr>
                <w:b w:val="false"/>
                <w:bCs w:val="false"/>
                <w:color w:val="000000"/>
                <w:sz w:val="19"/>
                <w:szCs w:val="19"/>
              </w:rPr>
              <w:t xml:space="preserve">Prioritize life-threatening conditions</w:t>
            </w:r>
          </w:p>
        </w:tc>
        <w:tc>
          <w:tcPr>
            <w:tcW w:type="dxa" w:w="3300"/>
            <w:shd w:fill="F2F2F2" w:val="clear"/>
            <w:tcMar>
              <w:top w:type="dxa" w:w="80"/>
              <w:left w:type="dxa" w:w="100"/>
              <w:bottom w:type="dxa" w:w="80"/>
              <w:right w:type="dxa" w:w="100"/>
            </w:tcMar>
          </w:tcPr>
          <w:p>
            <w:r>
              <w:rPr>
                <w:b w:val="false"/>
                <w:bCs w:val="false"/>
                <w:color w:val="000000"/>
                <w:sz w:val="19"/>
                <w:szCs w:val="19"/>
              </w:rPr>
              <w:t xml:space="preserve">Partial — escalation tiers exist</w:t>
            </w:r>
          </w:p>
        </w:tc>
        <w:tc>
          <w:tcPr>
            <w:tcW w:type="dxa" w:w="3900"/>
            <w:shd w:fill="F2F2F2" w:val="clear"/>
            <w:tcMar>
              <w:top w:type="dxa" w:w="80"/>
              <w:left w:type="dxa" w:w="100"/>
              <w:bottom w:type="dxa" w:w="80"/>
              <w:right w:type="dxa" w:w="100"/>
            </w:tcMar>
          </w:tcPr>
          <w:p>
            <w:r>
              <w:rPr>
                <w:b w:val="false"/>
                <w:bCs w:val="false"/>
                <w:color w:val="000000"/>
                <w:sz w:val="19"/>
                <w:szCs w:val="19"/>
              </w:rPr>
              <w:t xml:space="preserve">An explicit, prevalence-independent “never-omit” layer for cannot-miss diagnoses</w:t>
            </w:r>
          </w:p>
        </w:tc>
      </w:tr>
      <w:tr>
        <w:tc>
          <w:tcPr>
            <w:tcW w:type="dxa" w:w="2600"/>
            <w:tcMar>
              <w:top w:type="dxa" w:w="80"/>
              <w:left w:type="dxa" w:w="100"/>
              <w:bottom w:type="dxa" w:w="80"/>
              <w:right w:type="dxa" w:w="100"/>
            </w:tcMar>
          </w:tcPr>
          <w:p>
            <w:r>
              <w:rPr>
                <w:b w:val="false"/>
                <w:bCs w:val="false"/>
                <w:color w:val="000000"/>
                <w:sz w:val="19"/>
                <w:szCs w:val="19"/>
              </w:rPr>
              <w:t xml:space="preserve">Update on new evidence</w:t>
            </w:r>
          </w:p>
        </w:tc>
        <w:tc>
          <w:tcPr>
            <w:tcW w:type="dxa" w:w="3300"/>
            <w:tcMar>
              <w:top w:type="dxa" w:w="80"/>
              <w:left w:type="dxa" w:w="100"/>
              <w:bottom w:type="dxa" w:w="80"/>
              <w:right w:type="dxa" w:w="100"/>
            </w:tcMar>
          </w:tcPr>
          <w:p>
            <w:r>
              <w:rPr>
                <w:b w:val="false"/>
                <w:bCs w:val="false"/>
                <w:color w:val="000000"/>
                <w:sz w:val="19"/>
                <w:szCs w:val="19"/>
              </w:rPr>
              <w:t xml:space="preserve">Partial — additive updating confirmed, retraction unconfirmed</w:t>
            </w:r>
          </w:p>
        </w:tc>
        <w:tc>
          <w:tcPr>
            <w:tcW w:type="dxa" w:w="3900"/>
            <w:tcMar>
              <w:top w:type="dxa" w:w="80"/>
              <w:left w:type="dxa" w:w="100"/>
              <w:bottom w:type="dxa" w:w="80"/>
              <w:right w:type="dxa" w:w="100"/>
            </w:tcMar>
          </w:tcPr>
          <w:p>
            <w:r>
              <w:rPr>
                <w:b w:val="false"/>
                <w:bCs w:val="false"/>
                <w:color w:val="000000"/>
                <w:sz w:val="19"/>
                <w:szCs w:val="19"/>
              </w:rPr>
              <w:t xml:space="preserve">Full recomputation from a versioned evidence set each turn</w:t>
            </w:r>
          </w:p>
        </w:tc>
      </w:tr>
      <w:tr>
        <w:tc>
          <w:tcPr>
            <w:tcW w:type="dxa" w:w="2600"/>
            <w:shd w:fill="F2F2F2" w:val="clear"/>
            <w:tcMar>
              <w:top w:type="dxa" w:w="80"/>
              <w:left w:type="dxa" w:w="100"/>
              <w:bottom w:type="dxa" w:w="80"/>
              <w:right w:type="dxa" w:w="100"/>
            </w:tcMar>
          </w:tcPr>
          <w:p>
            <w:r>
              <w:rPr>
                <w:b w:val="false"/>
                <w:bCs w:val="false"/>
                <w:color w:val="000000"/>
                <w:sz w:val="19"/>
                <w:szCs w:val="19"/>
              </w:rPr>
              <w:t xml:space="preserve">Recognize atypical presentations</w:t>
            </w:r>
          </w:p>
        </w:tc>
        <w:tc>
          <w:tcPr>
            <w:tcW w:type="dxa" w:w="3300"/>
            <w:shd w:fill="F2F2F2" w:val="clear"/>
            <w:tcMar>
              <w:top w:type="dxa" w:w="80"/>
              <w:left w:type="dxa" w:w="100"/>
              <w:bottom w:type="dxa" w:w="80"/>
              <w:right w:type="dxa" w:w="100"/>
            </w:tcMar>
          </w:tcPr>
          <w:p>
            <w:r>
              <w:rPr>
                <w:b w:val="false"/>
                <w:bCs w:val="false"/>
                <w:color w:val="000000"/>
                <w:sz w:val="19"/>
                <w:szCs w:val="19"/>
              </w:rPr>
              <w:t xml:space="preserve">Not evidenced as a distinct layer</w:t>
            </w:r>
          </w:p>
        </w:tc>
        <w:tc>
          <w:tcPr>
            <w:tcW w:type="dxa" w:w="3900"/>
            <w:shd w:fill="F2F2F2" w:val="clear"/>
            <w:tcMar>
              <w:top w:type="dxa" w:w="80"/>
              <w:left w:type="dxa" w:w="100"/>
              <w:bottom w:type="dxa" w:w="80"/>
              <w:right w:type="dxa" w:w="100"/>
            </w:tcMar>
          </w:tcPr>
          <w:p>
            <w:r>
              <w:rPr>
                <w:b w:val="false"/>
                <w:bCs w:val="false"/>
                <w:color w:val="000000"/>
                <w:sz w:val="19"/>
                <w:szCs w:val="19"/>
              </w:rPr>
              <w:t xml:space="preserve">Explicit atypical-presentation rules for known high-risk patterns (diabetic MI, stroke in women)</w:t>
            </w:r>
          </w:p>
        </w:tc>
      </w:tr>
      <w:tr>
        <w:tc>
          <w:tcPr>
            <w:tcW w:type="dxa" w:w="2600"/>
            <w:tcMar>
              <w:top w:type="dxa" w:w="80"/>
              <w:left w:type="dxa" w:w="100"/>
              <w:bottom w:type="dxa" w:w="80"/>
              <w:right w:type="dxa" w:w="100"/>
            </w:tcMar>
          </w:tcPr>
          <w:p>
            <w:r>
              <w:rPr>
                <w:b w:val="false"/>
                <w:bCs w:val="false"/>
                <w:color w:val="000000"/>
                <w:sz w:val="19"/>
                <w:szCs w:val="19"/>
              </w:rPr>
              <w:t xml:space="preserve">Handle uncertainty honestly</w:t>
            </w:r>
          </w:p>
        </w:tc>
        <w:tc>
          <w:tcPr>
            <w:tcW w:type="dxa" w:w="3300"/>
            <w:tcMar>
              <w:top w:type="dxa" w:w="80"/>
              <w:left w:type="dxa" w:w="100"/>
              <w:bottom w:type="dxa" w:w="80"/>
              <w:right w:type="dxa" w:w="100"/>
            </w:tcMar>
          </w:tcPr>
          <w:p>
            <w:r>
              <w:rPr>
                <w:b w:val="false"/>
                <w:bCs w:val="false"/>
                <w:color w:val="000000"/>
                <w:sz w:val="19"/>
                <w:szCs w:val="19"/>
              </w:rPr>
              <w:t xml:space="preserve">Point estimates only</w:t>
            </w:r>
          </w:p>
        </w:tc>
        <w:tc>
          <w:tcPr>
            <w:tcW w:type="dxa" w:w="3900"/>
            <w:tcMar>
              <w:top w:type="dxa" w:w="80"/>
              <w:left w:type="dxa" w:w="100"/>
              <w:bottom w:type="dxa" w:w="80"/>
              <w:right w:type="dxa" w:w="100"/>
            </w:tcMar>
          </w:tcPr>
          <w:p>
            <w:r>
              <w:rPr>
                <w:b w:val="false"/>
                <w:bCs w:val="false"/>
                <w:color w:val="000000"/>
                <w:sz w:val="19"/>
                <w:szCs w:val="19"/>
              </w:rPr>
              <w:t xml:space="preserve">Evidence-volume-aware confidence communication</w:t>
            </w:r>
          </w:p>
        </w:tc>
      </w:tr>
    </w:tbl>
    <w:p>
      <w:pPr>
        <w:pStyle w:val="Heading1"/>
        <w:pageBreakBefore/>
        <w:spacing w:after="240" w:before="480"/>
      </w:pPr>
      <w:r>
        <w:rPr>
          <w:b/>
          <w:bCs/>
          <w:color w:val="1F3864"/>
          <w:sz w:val="32"/>
          <w:szCs w:val="32"/>
        </w:rPr>
        <w:t xml:space="preserve">5. Medical Knowledge Audit</w:t>
      </w:r>
    </w:p>
    <w:p>
      <w:pPr>
        <w:spacing w:after="200" w:line="300"/>
        <w:jc w:val="both"/>
      </w:pPr>
      <w:r>
        <w:rPr>
          <w:b w:val="false"/>
          <w:bCs w:val="false"/>
          <w:i w:val="false"/>
          <w:iCs w:val="false"/>
        </w:rPr>
        <w:t xml:space="preserve">The brief asks for every specialty to be scored. That can't be done honestly from three documents describing one bug fix — scoring dermatology or endocrinology coverage requires actually reading what's in the knowledge base for those specialties, and none of the shared materials touch them. What this section offers instead is the thing that's actually useful without that access: a rigorous rubric for scoring each specialty yourselves, applied to the two areas where the shared materials do give real signal, with every other specialty explicitly marked as needing a source-code pass rather than filled in with a plausible-sounding guess.</w:t>
      </w:r>
    </w:p>
    <w:p>
      <w:pPr>
        <w:pStyle w:val="Heading3"/>
        <w:spacing w:after="120" w:before="260"/>
      </w:pPr>
      <w:r>
        <w:rPr>
          <w:b/>
          <w:bCs/>
          <w:color w:val="2E75B6"/>
          <w:sz w:val="23"/>
          <w:szCs w:val="23"/>
        </w:rPr>
        <w:t xml:space="preserve">The scoring rubric — apply this per specialty against your actual knowledge base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Dimension</w:t>
            </w:r>
          </w:p>
        </w:tc>
        <w:tc>
          <w:tcPr>
            <w:tcW w:type="dxa" w:w="4200"/>
            <w:shd w:fill="1F3864" w:val="clear"/>
            <w:tcMar>
              <w:top w:type="dxa" w:w="80"/>
              <w:left w:type="dxa" w:w="100"/>
              <w:bottom w:type="dxa" w:w="80"/>
              <w:right w:type="dxa" w:w="100"/>
            </w:tcMar>
          </w:tcPr>
          <w:p>
            <w:r>
              <w:rPr>
                <w:b/>
                <w:bCs/>
                <w:color w:val="FFFFFF"/>
                <w:sz w:val="19"/>
                <w:szCs w:val="19"/>
              </w:rPr>
              <w:t xml:space="preserve">What to check</w:t>
            </w:r>
          </w:p>
        </w:tc>
        <w:tc>
          <w:tcPr>
            <w:tcW w:type="dxa" w:w="3400"/>
            <w:shd w:fill="1F3864" w:val="clear"/>
            <w:tcMar>
              <w:top w:type="dxa" w:w="80"/>
              <w:left w:type="dxa" w:w="100"/>
              <w:bottom w:type="dxa" w:w="80"/>
              <w:right w:type="dxa" w:w="100"/>
            </w:tcMar>
          </w:tcPr>
          <w:p>
            <w:r>
              <w:rPr>
                <w:b/>
                <w:bCs/>
                <w:color w:val="FFFFFF"/>
                <w:sz w:val="19"/>
                <w:szCs w:val="19"/>
              </w:rPr>
              <w:t xml:space="preserve">Score 1 (weak) vs. Score 5 (strong)</w:t>
            </w:r>
          </w:p>
        </w:tc>
      </w:tr>
      <w:tr>
        <w:tc>
          <w:tcPr>
            <w:tcW w:type="dxa" w:w="2200"/>
            <w:tcMar>
              <w:top w:type="dxa" w:w="80"/>
              <w:left w:type="dxa" w:w="100"/>
              <w:bottom w:type="dxa" w:w="80"/>
              <w:right w:type="dxa" w:w="100"/>
            </w:tcMar>
          </w:tcPr>
          <w:p>
            <w:r>
              <w:rPr>
                <w:b w:val="false"/>
                <w:bCs w:val="false"/>
                <w:color w:val="000000"/>
                <w:sz w:val="19"/>
                <w:szCs w:val="19"/>
              </w:rPr>
              <w:t xml:space="preserve">Coverage breadth</w:t>
            </w:r>
          </w:p>
        </w:tc>
        <w:tc>
          <w:tcPr>
            <w:tcW w:type="dxa" w:w="4200"/>
            <w:tcMar>
              <w:top w:type="dxa" w:w="80"/>
              <w:left w:type="dxa" w:w="100"/>
              <w:bottom w:type="dxa" w:w="80"/>
              <w:right w:type="dxa" w:w="100"/>
            </w:tcMar>
          </w:tcPr>
          <w:p>
            <w:r>
              <w:rPr>
                <w:b w:val="false"/>
                <w:bCs w:val="false"/>
                <w:color w:val="000000"/>
                <w:sz w:val="19"/>
                <w:szCs w:val="19"/>
              </w:rPr>
              <w:t xml:space="preserve">What fraction of common presentations in this specialty have a matching pattern in the knowledge base?</w:t>
            </w:r>
          </w:p>
        </w:tc>
        <w:tc>
          <w:tcPr>
            <w:tcW w:type="dxa" w:w="3400"/>
            <w:tcMar>
              <w:top w:type="dxa" w:w="80"/>
              <w:left w:type="dxa" w:w="100"/>
              <w:bottom w:type="dxa" w:w="80"/>
              <w:right w:type="dxa" w:w="100"/>
            </w:tcMar>
          </w:tcPr>
          <w:p>
            <w:r>
              <w:rPr>
                <w:b w:val="false"/>
                <w:bCs w:val="false"/>
                <w:color w:val="000000"/>
                <w:sz w:val="19"/>
                <w:szCs w:val="19"/>
              </w:rPr>
              <w:t xml:space="preserve">1: only textbook-classic presentations → 5: common + several less-classic presentations</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Red-flag completeness</w:t>
            </w:r>
          </w:p>
        </w:tc>
        <w:tc>
          <w:tcPr>
            <w:tcW w:type="dxa" w:w="4200"/>
            <w:shd w:fill="F2F2F2" w:val="clear"/>
            <w:tcMar>
              <w:top w:type="dxa" w:w="80"/>
              <w:left w:type="dxa" w:w="100"/>
              <w:bottom w:type="dxa" w:w="80"/>
              <w:right w:type="dxa" w:w="100"/>
            </w:tcMar>
          </w:tcPr>
          <w:p>
            <w:r>
              <w:rPr>
                <w:b w:val="false"/>
                <w:bCs w:val="false"/>
                <w:color w:val="000000"/>
                <w:sz w:val="19"/>
                <w:szCs w:val="19"/>
              </w:rPr>
              <w:t xml:space="preserve">Are this specialty's cannot-miss diagnoses (see Section 4) explicitly represented, independent of prevalence weighting?</w:t>
            </w:r>
          </w:p>
        </w:tc>
        <w:tc>
          <w:tcPr>
            <w:tcW w:type="dxa" w:w="3400"/>
            <w:shd w:fill="F2F2F2" w:val="clear"/>
            <w:tcMar>
              <w:top w:type="dxa" w:w="80"/>
              <w:left w:type="dxa" w:w="100"/>
              <w:bottom w:type="dxa" w:w="80"/>
              <w:right w:type="dxa" w:w="100"/>
            </w:tcMar>
          </w:tcPr>
          <w:p>
            <w:r>
              <w:rPr>
                <w:b w:val="false"/>
                <w:bCs w:val="false"/>
                <w:color w:val="000000"/>
                <w:sz w:val="19"/>
                <w:szCs w:val="19"/>
              </w:rPr>
              <w:t xml:space="preserve">1: absent or prevalence-only → 5: explicit, prevalence-independent rule layer</w:t>
            </w:r>
          </w:p>
        </w:tc>
      </w:tr>
      <w:tr>
        <w:tc>
          <w:tcPr>
            <w:tcW w:type="dxa" w:w="2200"/>
            <w:tcMar>
              <w:top w:type="dxa" w:w="80"/>
              <w:left w:type="dxa" w:w="100"/>
              <w:bottom w:type="dxa" w:w="80"/>
              <w:right w:type="dxa" w:w="100"/>
            </w:tcMar>
          </w:tcPr>
          <w:p>
            <w:r>
              <w:rPr>
                <w:b w:val="false"/>
                <w:bCs w:val="false"/>
                <w:color w:val="000000"/>
                <w:sz w:val="19"/>
                <w:szCs w:val="19"/>
              </w:rPr>
              <w:t xml:space="preserve">Source provenance</w:t>
            </w:r>
          </w:p>
        </w:tc>
        <w:tc>
          <w:tcPr>
            <w:tcW w:type="dxa" w:w="4200"/>
            <w:tcMar>
              <w:top w:type="dxa" w:w="80"/>
              <w:left w:type="dxa" w:w="100"/>
              <w:bottom w:type="dxa" w:w="80"/>
              <w:right w:type="dxa" w:w="100"/>
            </w:tcMar>
          </w:tcPr>
          <w:p>
            <w:r>
              <w:rPr>
                <w:b w:val="false"/>
                <w:bCs w:val="false"/>
                <w:color w:val="000000"/>
                <w:sz w:val="19"/>
                <w:szCs w:val="19"/>
              </w:rPr>
              <w:t xml:space="preserve">Are likelihood ratios and patterns traceable to a guideline or study, or LLM-estimated?</w:t>
            </w:r>
          </w:p>
        </w:tc>
        <w:tc>
          <w:tcPr>
            <w:tcW w:type="dxa" w:w="3400"/>
            <w:tcMar>
              <w:top w:type="dxa" w:w="80"/>
              <w:left w:type="dxa" w:w="100"/>
              <w:bottom w:type="dxa" w:w="80"/>
              <w:right w:type="dxa" w:w="100"/>
            </w:tcMar>
          </w:tcPr>
          <w:p>
            <w:r>
              <w:rPr>
                <w:b w:val="false"/>
                <w:bCs w:val="false"/>
                <w:color w:val="000000"/>
                <w:sz w:val="19"/>
                <w:szCs w:val="19"/>
              </w:rPr>
              <w:t xml:space="preserve">1: unknown/unlabeled → 5: every pattern tagged with a graded source</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Demographic conditioning</w:t>
            </w:r>
          </w:p>
        </w:tc>
        <w:tc>
          <w:tcPr>
            <w:tcW w:type="dxa" w:w="4200"/>
            <w:shd w:fill="F2F2F2" w:val="clear"/>
            <w:tcMar>
              <w:top w:type="dxa" w:w="80"/>
              <w:left w:type="dxa" w:w="100"/>
              <w:bottom w:type="dxa" w:w="80"/>
              <w:right w:type="dxa" w:w="100"/>
            </w:tcMar>
          </w:tcPr>
          <w:p>
            <w:r>
              <w:rPr>
                <w:b w:val="false"/>
                <w:bCs w:val="false"/>
                <w:color w:val="000000"/>
                <w:sz w:val="19"/>
                <w:szCs w:val="19"/>
              </w:rPr>
              <w:t xml:space="preserve">Does the specialty's logic account for age/sex/pregnancy status where clinically relevant?</w:t>
            </w:r>
          </w:p>
        </w:tc>
        <w:tc>
          <w:tcPr>
            <w:tcW w:type="dxa" w:w="3400"/>
            <w:shd w:fill="F2F2F2" w:val="clear"/>
            <w:tcMar>
              <w:top w:type="dxa" w:w="80"/>
              <w:left w:type="dxa" w:w="100"/>
              <w:bottom w:type="dxa" w:w="80"/>
              <w:right w:type="dxa" w:w="100"/>
            </w:tcMar>
          </w:tcPr>
          <w:p>
            <w:r>
              <w:rPr>
                <w:b w:val="false"/>
                <w:bCs w:val="false"/>
                <w:color w:val="000000"/>
                <w:sz w:val="19"/>
                <w:szCs w:val="19"/>
              </w:rPr>
              <w:t xml:space="preserve">1: generic across demographics → 5: explicitly conditioned, tested per demographic</w:t>
            </w:r>
          </w:p>
        </w:tc>
      </w:tr>
      <w:tr>
        <w:tc>
          <w:tcPr>
            <w:tcW w:type="dxa" w:w="2200"/>
            <w:tcMar>
              <w:top w:type="dxa" w:w="80"/>
              <w:left w:type="dxa" w:w="100"/>
              <w:bottom w:type="dxa" w:w="80"/>
              <w:right w:type="dxa" w:w="100"/>
            </w:tcMar>
          </w:tcPr>
          <w:p>
            <w:r>
              <w:rPr>
                <w:b w:val="false"/>
                <w:bCs w:val="false"/>
                <w:color w:val="000000"/>
                <w:sz w:val="19"/>
                <w:szCs w:val="19"/>
              </w:rPr>
              <w:t xml:space="preserve">India-relevance</w:t>
            </w:r>
          </w:p>
        </w:tc>
        <w:tc>
          <w:tcPr>
            <w:tcW w:type="dxa" w:w="4200"/>
            <w:tcMar>
              <w:top w:type="dxa" w:w="80"/>
              <w:left w:type="dxa" w:w="100"/>
              <w:bottom w:type="dxa" w:w="80"/>
              <w:right w:type="dxa" w:w="100"/>
            </w:tcMar>
          </w:tcPr>
          <w:p>
            <w:r>
              <w:rPr>
                <w:b w:val="false"/>
                <w:bCs w:val="false"/>
                <w:color w:val="000000"/>
                <w:sz w:val="19"/>
                <w:szCs w:val="19"/>
              </w:rPr>
              <w:t xml:space="preserve">Are prevalence assumptions and terminology calibrated to Indian epidemiology and practice patterns?</w:t>
            </w:r>
          </w:p>
        </w:tc>
        <w:tc>
          <w:tcPr>
            <w:tcW w:type="dxa" w:w="3400"/>
            <w:tcMar>
              <w:top w:type="dxa" w:w="80"/>
              <w:left w:type="dxa" w:w="100"/>
              <w:bottom w:type="dxa" w:w="80"/>
              <w:right w:type="dxa" w:w="100"/>
            </w:tcMar>
          </w:tcPr>
          <w:p>
            <w:r>
              <w:rPr>
                <w:b w:val="false"/>
                <w:bCs w:val="false"/>
                <w:color w:val="000000"/>
                <w:sz w:val="19"/>
                <w:szCs w:val="19"/>
              </w:rPr>
              <w:t xml:space="preserve">1: assumes Western/global defaults → 5: explicitly re-sourced against Indian data (ICMR, NFHS)</w:t>
            </w:r>
          </w:p>
        </w:tc>
      </w:tr>
    </w:tbl>
    <w:p>
      <w:pPr>
        <w:pStyle w:val="Heading3"/>
        <w:spacing w:after="120" w:before="260"/>
      </w:pPr>
      <w:r>
        <w:rPr>
          <w:b/>
          <w:bCs/>
          <w:color w:val="2E75B6"/>
          <w:sz w:val="23"/>
          <w:szCs w:val="23"/>
        </w:rPr>
        <w:t xml:space="preserve">What the shared materials do give signal on</w:t>
      </w:r>
    </w:p>
    <w:p>
      <w:pPr>
        <w:pStyle w:val="ListParagraph"/>
        <w:numPr>
          <w:ilvl w:val="0"/>
          <w:numId w:val="2"/>
        </w:numPr>
        <w:spacing w:after="100" w:line="280"/>
      </w:pPr>
      <w:r>
        <w:rPr>
          <w:b/>
          <w:bCs/>
        </w:rPr>
        <w:t xml:space="preserve">OB/GYN-adjacent reasoning </w:t>
      </w:r>
      <w:r>
        <w:t xml:space="preserve">exists and is architecturally taken seriously — the genderFilter mechanism, reproductive-age screening rules, and the entire root-cause investigation into the pregnancy-question bug all show this specialty was a deliberate design focus, not an afterthought. Section 4's Diagnostic Reasoning findings and Section 4 of this report both apply directly: the mechanism exists, but Problem P013 (gating on gender identity rather than anatomy) is a real gap specifically within this specialty's logic.</w:t>
      </w:r>
    </w:p>
    <w:p>
      <w:pPr>
        <w:pStyle w:val="ListParagraph"/>
        <w:numPr>
          <w:ilvl w:val="0"/>
          <w:numId w:val="2"/>
        </w:numPr>
        <w:spacing w:after="100" w:line="280"/>
      </w:pPr>
      <w:r>
        <w:rPr>
          <w:b/>
          <w:bCs/>
        </w:rPr>
        <w:t xml:space="preserve">Emergency medicine / red-flag triage </w:t>
      </w:r>
      <w:r>
        <w:t xml:space="preserve">has real infrastructure (the L1–L5 escalation tiers, the CP8/CP10 posterior-triggered escalation guards) but, per Section 4, isn't yet evidenced as having the explicit cannot-miss-diagnosis protection a true emergency-medicine-trained reviewer would insist on before calling this specialty strong.</w:t>
      </w:r>
    </w:p>
    <w:p>
      <w:pPr>
        <w:pStyle w:val="ListParagraph"/>
        <w:numPr>
          <w:ilvl w:val="0"/>
          <w:numId w:val="2"/>
        </w:numPr>
        <w:spacing w:after="100" w:line="280"/>
      </w:pPr>
      <w:r>
        <w:rPr>
          <w:b/>
          <w:bCs/>
        </w:rPr>
        <w:t xml:space="preserve">Homeopathy and Ayurveda </w:t>
      </w:r>
      <w:r>
        <w:t xml:space="preserve">have dedicated RAG infrastructure (Boericke via Jina embeddings, an Ayurvedic source via Gemini embeddings) — real investment, and a genuinely distinguishing feature versus most global symptom-checker competitors (see Section 11). The regulatory exposure this creates is addressed in Section 13, and the output-safety exposure (unsupported cure/treat claims) is Problem P056 / Improvement I056.</w:t>
      </w:r>
    </w:p>
    <w:p>
      <w:pPr>
        <w:pStyle w:val="Heading3"/>
        <w:spacing w:after="120" w:before="260"/>
      </w:pPr>
      <w:r>
        <w:rPr>
          <w:b/>
          <w:bCs/>
          <w:color w:val="2E75B6"/>
          <w:sz w:val="23"/>
          <w:szCs w:val="23"/>
        </w:rPr>
        <w:t xml:space="preserve">Every other specialty</w:t>
      </w:r>
    </w:p>
    <w:p>
      <w:pPr>
        <w:spacing w:after="200" w:line="300"/>
        <w:jc w:val="both"/>
      </w:pPr>
      <w:r>
        <w:rPr>
          <w:b w:val="false"/>
          <w:bCs w:val="false"/>
          <w:i w:val="false"/>
          <w:iCs w:val="false"/>
        </w:rPr>
        <w:t xml:space="preserve">Pediatrics, geriatrics, psychiatry, neurology, dermatology, cardiology, endocrinology, infectious disease, rheumatology, ENT, ophthalmology, sports medicine, preventive/lifestyle medicine, nutrition, sleep medicine, pain medicine, and genetics/rare diseases all appear only indirectly in what's been shared — e.g., pediatric and geriatric age-banding is referenced as a general mechanism (Problem P004, P016) without evidence of per-specialty depth within those bands. Scoring any of these honestly requires running the rubric above against the actual knowledge base contents, ideally with a specialist reviewer for at least cardiology, pediatrics, and psychiatry given how much clinical risk concentrates in those three areas specifically. This is exactly the kind of pass Claude Code, working directly against your repository, could do systematically — walking the knowledge base file by file and scoring real coverage against this rubric, rather than a chat session estimating from the outside.</w:t>
      </w:r>
    </w:p>
    <w:p>
      <w:pPr>
        <w:pStyle w:val="Heading1"/>
        <w:pageBreakBefore/>
        <w:spacing w:after="240" w:before="480"/>
      </w:pPr>
      <w:r>
        <w:rPr>
          <w:b/>
          <w:bCs/>
          <w:color w:val="1F3864"/>
          <w:sz w:val="32"/>
          <w:szCs w:val="32"/>
        </w:rPr>
        <w:t xml:space="preserve">6. Patient Interview Quality</w:t>
      </w:r>
    </w:p>
    <w:p>
      <w:pPr>
        <w:spacing w:after="200" w:line="300"/>
        <w:jc w:val="both"/>
      </w:pPr>
      <w:r>
        <w:rPr>
          <w:b w:val="false"/>
          <w:bCs w:val="false"/>
          <w:i w:val="false"/>
          <w:iCs w:val="false"/>
        </w:rPr>
        <w:t xml:space="preserve">This is the section where the shared materials give the most direct, concrete evidence, because the bug that prompted this whole audit is a patient-interview-quality bug. The compound safety-question pattern in SymptomQuestionSchemas.ts — bundling “severe worsening, rigid belly, fainting, blood in stool or vomit, or pregnancy possibility” into one string — is worth examining as a specimen of a broader interview-design problem, not just the one bug it happened to cause.</w:t>
      </w:r>
    </w:p>
    <w:p>
      <w:pPr>
        <w:pStyle w:val="Heading3"/>
        <w:spacing w:after="120" w:before="260"/>
      </w:pPr>
      <w:r>
        <w:rPr>
          <w:b/>
          <w:bCs/>
          <w:color w:val="2E75B6"/>
          <w:sz w:val="23"/>
          <w:szCs w:val="23"/>
        </w:rPr>
        <w:t xml:space="preserve">Would an experienced doctor ask these questions?</w:t>
      </w:r>
    </w:p>
    <w:p>
      <w:pPr>
        <w:spacing w:after="200" w:line="300"/>
        <w:jc w:val="both"/>
      </w:pPr>
      <w:r>
        <w:rPr>
          <w:b w:val="false"/>
          <w:bCs w:val="false"/>
          <w:i w:val="false"/>
          <w:iCs w:val="false"/>
        </w:rPr>
        <w:t xml:space="preserve">A clinician taking a history asks red-flag questions as separable, individually-relevant items — never as a compound sentence where the patient has to mentally filter out the parts that don't apply to them. The compound-string pattern isn't just a gender-gating bug; it's evidence that the underlying question-authoring approach treats “all the red flags for this complaint” as one unit rather than as independently relevant clinical items. That's the deeper fix worth making, beyond the specific pregnancy clause: audit every compound question in the schema file for the same pattern, not just the one instance that got reported.</w:t>
      </w:r>
    </w:p>
    <w:p>
      <w:pPr>
        <w:pStyle w:val="Heading3"/>
        <w:spacing w:after="120" w:before="260"/>
      </w:pPr>
      <w:r>
        <w:rPr>
          <w:b/>
          <w:bCs/>
          <w:color w:val="2E75B6"/>
          <w:sz w:val="23"/>
          <w:szCs w:val="23"/>
        </w:rPr>
        <w:t xml:space="preserve">What's missing from the interview flow</w:t>
      </w:r>
    </w:p>
    <w:p>
      <w:pPr>
        <w:pStyle w:val="ListParagraph"/>
        <w:numPr>
          <w:ilvl w:val="0"/>
          <w:numId w:val="2"/>
        </w:numPr>
        <w:spacing w:after="100" w:line="280"/>
      </w:pPr>
      <w:r>
        <w:rPr>
          <w:b/>
          <w:bCs/>
        </w:rPr>
        <w:t xml:space="preserve">No stated rationale for sensitive questions (Problem P094). </w:t>
      </w:r>
      <w:r>
        <w:t xml:space="preserve">A pregnancy question with one attached clause of “we ask this because it changes what we should rule out” reads as far less intrusive than the same question asked cold — and gives the patient a natural cue if the question genuinely doesn't apply to them.</w:t>
      </w:r>
    </w:p>
    <w:p>
      <w:pPr>
        <w:pStyle w:val="ListParagraph"/>
        <w:numPr>
          <w:ilvl w:val="0"/>
          <w:numId w:val="2"/>
        </w:numPr>
        <w:spacing w:after="100" w:line="280"/>
      </w:pPr>
      <w:r>
        <w:rPr>
          <w:b/>
          <w:bCs/>
        </w:rPr>
        <w:t xml:space="preserve">No in-conversation “this doesn't apply to me” affordance (Problem P095). </w:t>
      </w:r>
      <w:r>
        <w:t xml:space="preserve">This is both a UX fix and a real-time bug-detection mechanism — it would have surfaced the original bug from user feedback long before it needed a formal audit to find it.</w:t>
      </w:r>
    </w:p>
    <w:p>
      <w:pPr>
        <w:pStyle w:val="ListParagraph"/>
        <w:numPr>
          <w:ilvl w:val="0"/>
          <w:numId w:val="2"/>
        </w:numPr>
        <w:spacing w:after="100" w:line="280"/>
      </w:pPr>
      <w:r>
        <w:rPr>
          <w:b/>
          <w:bCs/>
        </w:rPr>
        <w:t xml:space="preserve">No confirmed onset-order capture (Problem P026, Section 4). </w:t>
      </w:r>
      <w:r>
        <w:t xml:space="preserve">A good clinical interview asks not just what symptoms are present but in what order they appeared — this is interview design as much as it's a Bayesian-engine input issue.</w:t>
      </w:r>
    </w:p>
    <w:p>
      <w:pPr>
        <w:pStyle w:val="ListParagraph"/>
        <w:numPr>
          <w:ilvl w:val="0"/>
          <w:numId w:val="2"/>
        </w:numPr>
        <w:spacing w:after="100" w:line="280"/>
      </w:pPr>
      <w:r>
        <w:rPr>
          <w:b/>
          <w:bCs/>
        </w:rPr>
        <w:t xml:space="preserve">No confirmed handling of user pushback mid-interview (Problem P088, P098). </w:t>
      </w:r>
      <w:r>
        <w:t xml:space="preserve">A patient disagreeing with a question's relevance, or asserting their own self-diagnosis partway through, is a common real conversational branch that a good interviewer (human or AI) handles by acknowledging and continuing to reason independently — not by either arguing or simply complying.</w:t>
      </w:r>
    </w:p>
    <w:p>
      <w:pPr>
        <w:pStyle w:val="Heading3"/>
        <w:spacing w:after="120" w:before="260"/>
      </w:pPr>
      <w:r>
        <w:rPr>
          <w:b/>
          <w:bCs/>
          <w:color w:val="2E75B6"/>
          <w:sz w:val="23"/>
          <w:szCs w:val="23"/>
        </w:rPr>
        <w:t xml:space="preserve">What's working</w:t>
      </w:r>
    </w:p>
    <w:p>
      <w:pPr>
        <w:pStyle w:val="ListParagraph"/>
        <w:numPr>
          <w:ilvl w:val="0"/>
          <w:numId w:val="2"/>
        </w:numPr>
        <w:spacing w:after="100" w:line="280"/>
      </w:pPr>
      <w:r>
        <w:t xml:space="preserve">Age-stratified question logic (pediatric Reye's-syndrome exclusion, elderly anticholinergic/fall-risk screening) shows real adaptive design intent — the interview isn't static across all users, which is more than most symptom checkers manage.</w:t>
      </w:r>
    </w:p>
    <w:p>
      <w:pPr>
        <w:pStyle w:val="ListParagraph"/>
        <w:numPr>
          <w:ilvl w:val="0"/>
          <w:numId w:val="2"/>
        </w:numPr>
        <w:spacing w:after="100" w:line="280"/>
      </w:pPr>
      <w:r>
        <w:t xml:space="preserve">Longitudinal awareness (tracking unresolved symptoms across 3+ sessions) is a genuinely good interview-design idea most single-session symptom checkers don't attempt at all — Section 6 (Memory) covers what it needs to be reliable.</w:t>
      </w:r>
    </w:p>
    <w:p>
      <w:pPr>
        <w:pStyle w:val="Heading1"/>
        <w:pageBreakBefore/>
        <w:spacing w:after="240" w:before="480"/>
      </w:pPr>
      <w:r>
        <w:rPr>
          <w:b/>
          <w:bCs/>
          <w:color w:val="1F3864"/>
          <w:sz w:val="32"/>
          <w:szCs w:val="32"/>
        </w:rPr>
        <w:t xml:space="preserve">7. Medical Safety Review</w:t>
      </w:r>
    </w:p>
    <w:p>
      <w:pPr>
        <w:spacing w:after="200" w:line="300"/>
        <w:jc w:val="both"/>
      </w:pPr>
      <w:r>
        <w:rPr>
          <w:b w:val="false"/>
          <w:bCs w:val="false"/>
          <w:i w:val="false"/>
          <w:iCs w:val="false"/>
        </w:rPr>
        <w:t xml:space="preserve">This is the section that matters most in the entire audit, and it's worth reading in full rather than skimming to the workbook. Everything else in this report — architecture, diagnostic reasoning, benchmarking — is in service of this question: what could this system do that actually hurts someone, and is that risk closed, mitigated, or open?</w:t>
      </w:r>
    </w:p>
    <w:p>
      <w:pPr>
        <w:pStyle w:val="Heading2"/>
        <w:spacing w:after="160" w:before="360"/>
      </w:pPr>
      <w:r>
        <w:rPr>
          <w:b/>
          <w:bCs/>
          <w:color w:val="1F3864"/>
          <w:sz w:val="26"/>
          <w:szCs w:val="26"/>
        </w:rPr>
        <w:t xml:space="preserve">7.1 The headline finding: anatomy-versus-identity gating</w:t>
      </w:r>
    </w:p>
    <w:p>
      <w:pPr>
        <w:spacing w:after="200" w:line="300"/>
        <w:jc w:val="both"/>
      </w:pPr>
      <w:r>
        <w:rPr>
          <w:b w:val="false"/>
          <w:bCs w:val="false"/>
          <w:i w:val="false"/>
          <w:iCs w:val="false"/>
        </w:rPr>
        <w:t xml:space="preserve">Both technical write-ups you shared propose fixing the pregnancy-question bug by gating reproductive-health screening on the profile's gender field — suppressing pregnancy-related questions and conditions entirely whenever gender equals male. This is a real improvement over the current behavior, and the layered approach behind it (decompose the compound question, resolve gender authoritatively server-side, validate output post-generation) is sound engineering. It also encodes an assumption worth stating plainly: gender identity and reproductive anatomy are not the same variable, and a transgender man can retain a uterus and ovaries, menstruate, and become pregnant — including an ectopic pregnancy, which is a leading cause of first-trimester maternal mortality when missed.</w:t>
      </w:r>
    </w:p>
    <w:p>
      <w:pPr>
        <w:spacing w:after="200" w:line="300"/>
        <w:jc w:val="both"/>
      </w:pPr>
      <w:r>
        <w:rPr>
          <w:b w:val="false"/>
          <w:bCs w:val="false"/>
          <w:i w:val="false"/>
          <w:iCs w:val="false"/>
        </w:rPr>
        <w:t xml:space="preserve">If the safety layer suppresses all pregnancy-related screening whenever gender equals male, the fix as scoped doesn't just fail to help this population — it actively removes a screen that generic, un-gated logic would have at least attempted. That is a more severe failure mode than the bug being fixed. The original bug produces an awkward, occasionally distressing question for cisgender men. The fix, as currently scoped, risks a missed emergency for a specific subset of male-identified patients. Neither this report nor a chat-based audit is the right final word on how to resolve this — it's a genuine clinical and product-ethics judgment call, and it belongs with your clinical advisors directly — but it needs to be an explicit decision, made with the tradeoff stated this plainly, not an implicit default of how the gender field happens to be checked.</w:t>
      </w:r>
    </w:p>
    <w:p>
      <w:pPr>
        <w:spacing w:after="200" w:line="300"/>
        <w:jc w:val="both"/>
      </w:pPr>
      <w:r>
        <w:rPr>
          <w:b w:val="false"/>
          <w:bCs w:val="false"/>
          <w:i w:val="false"/>
          <w:iCs w:val="false"/>
        </w:rPr>
        <w:t xml:space="preserve">The fix that resolves this without reintroducing the original bug: separate a communication-gender field (which drives how the AI talks to someone, and can safely stay a simple field) from a reproductive-anatomy field (which drives what gets screened, and needs its own explicit, honestly-labeled value — including “unknown”). When anatomy is unknown, the safety layer should ask one direct, non-presumptive clarifying question rather than inferring it from gender identity in either direction. This is Problem P013 and Improvement I013 in the companion workbook, both marked Critical/P0 for exactly this reason.</w:t>
      </w:r>
    </w:p>
    <w:p>
      <w:pPr>
        <w:pStyle w:val="Heading2"/>
        <w:spacing w:after="160" w:before="360"/>
      </w:pPr>
      <w:r>
        <w:rPr>
          <w:b/>
          <w:bCs/>
          <w:color w:val="1F3864"/>
          <w:sz w:val="26"/>
          <w:szCs w:val="26"/>
        </w:rPr>
        <w:t xml:space="preserve">7.2 Systematic safety-domain review</w:t>
      </w:r>
    </w:p>
    <w:p>
      <w:pPr>
        <w:pStyle w:val="Heading3"/>
        <w:spacing w:after="120" w:before="260"/>
      </w:pPr>
      <w:r>
        <w:rPr>
          <w:b/>
          <w:bCs/>
          <w:color w:val="2E75B6"/>
          <w:sz w:val="23"/>
          <w:szCs w:val="23"/>
        </w:rPr>
        <w:t xml:space="preserve">Escalation and emergency recognition</w:t>
      </w:r>
    </w:p>
    <w:p>
      <w:pPr>
        <w:spacing w:after="200" w:line="300"/>
        <w:jc w:val="both"/>
      </w:pPr>
      <w:r>
        <w:rPr>
          <w:b w:val="false"/>
          <w:bCs w:val="false"/>
          <w:i w:val="false"/>
          <w:iCs w:val="false"/>
        </w:rPr>
        <w:t xml:space="preserve">The L1–L5 tiered escalation system with posterior-triggered guards (CP8/CP10) is real infrastructure most competing products at this stage don't have. What's unconfirmed is whether it's backed by validated triage scoring (NEWS2, pediatric NICE traffic-light bands, qSOFA-equivalent logic) or is closer to unstructured LLM judgment layered on top of the Bayesian posterior — Problem P001. This distinction matters enormously: validated scores exist specifically because free-text clinical judgment, human or AI, is measurably inconsistent across equivalent presentations, and a system aiming to be trustworthy at scale should be able to point to which validated instrument backs each escalation decision.</w:t>
      </w:r>
    </w:p>
    <w:p>
      <w:pPr>
        <w:pStyle w:val="Heading3"/>
        <w:spacing w:after="120" w:before="260"/>
      </w:pPr>
      <w:r>
        <w:rPr>
          <w:b/>
          <w:bCs/>
          <w:color w:val="2E75B6"/>
          <w:sz w:val="23"/>
          <w:szCs w:val="23"/>
        </w:rPr>
        <w:t xml:space="preserve">Pregnancy, pediatric, and geriatric-specific risks</w:t>
      </w:r>
    </w:p>
    <w:p>
      <w:pPr>
        <w:pStyle w:val="ListParagraph"/>
        <w:numPr>
          <w:ilvl w:val="0"/>
          <w:numId w:val="2"/>
        </w:numPr>
        <w:spacing w:after="100" w:line="280"/>
      </w:pPr>
      <w:r>
        <w:rPr>
          <w:b/>
          <w:bCs/>
        </w:rPr>
        <w:t xml:space="preserve">Pregnancy: </w:t>
      </w:r>
      <w:r>
        <w:t xml:space="preserve">beyond the anatomy-gating finding above, pregnancy status appears to be inferred once rather than tracked as persistent, re-confirmed session state (Problem P019) — a flag established early in a conversation needs to keep applying, not silently stop.</w:t>
      </w:r>
    </w:p>
    <w:p>
      <w:pPr>
        <w:pStyle w:val="ListParagraph"/>
        <w:numPr>
          <w:ilvl w:val="0"/>
          <w:numId w:val="2"/>
        </w:numPr>
        <w:spacing w:after="100" w:line="280"/>
      </w:pPr>
      <w:r>
        <w:rPr>
          <w:b/>
          <w:bCs/>
        </w:rPr>
        <w:t xml:space="preserve">Pediatric: </w:t>
      </w:r>
      <w:r>
        <w:t xml:space="preserve">the reviewed materials describe a single &lt;12 age threshold for rules like Aspirin/Reye's exclusion, but NICE's own traffic-light system uses three distinct age bands (0–3 months, 3–36 months, &gt;36 months) because the risk profile genuinely differs that much within “pediatric” — a febrile six-week-old and a febrile four-year-old are not the same triage decision (Problem P004).</w:t>
      </w:r>
    </w:p>
    <w:p>
      <w:pPr>
        <w:pStyle w:val="ListParagraph"/>
        <w:numPr>
          <w:ilvl w:val="0"/>
          <w:numId w:val="2"/>
        </w:numPr>
        <w:spacing w:after="100" w:line="280"/>
      </w:pPr>
      <w:r>
        <w:rPr>
          <w:b/>
          <w:bCs/>
        </w:rPr>
        <w:t xml:space="preserve">Geriatric: </w:t>
      </w:r>
      <w:r>
        <w:t xml:space="preserve">anticholinergic-burden and fall-risk logic is described as present via the frailty index, but its enforcement boundary — whether it's checked against every output surface including the RAG remedy layer, not just the LLM's own free text — isn't evidenced (Problem P016).</w:t>
      </w:r>
    </w:p>
    <w:p>
      <w:pPr>
        <w:pStyle w:val="Heading3"/>
        <w:spacing w:after="120" w:before="260"/>
      </w:pPr>
      <w:r>
        <w:rPr>
          <w:b/>
          <w:bCs/>
          <w:color w:val="2E75B6"/>
          <w:sz w:val="23"/>
          <w:szCs w:val="23"/>
        </w:rPr>
        <w:t xml:space="preserve">Medication safety: dosage, interactions, contraindications, allergies</w:t>
      </w:r>
    </w:p>
    <w:p>
      <w:pPr>
        <w:spacing w:after="200" w:line="300"/>
        <w:jc w:val="both"/>
      </w:pPr>
      <w:r>
        <w:rPr>
          <w:b w:val="false"/>
          <w:bCs w:val="false"/>
          <w:i w:val="false"/>
          <w:iCs w:val="false"/>
        </w:rPr>
        <w:t xml:space="preserve">This is the domain where hallucination risk and clinical risk overlap most dangerously. Nothing in the reviewed materials describes a guardrail preventing the LLM from generating a plausible-sounding but fabricated drug name or dosage when the retrieved context doesn't contain one — Problem P046, rated Critical. This is worth treating as a hard architectural constraint rather than a prompt instruction: any dosage or drug name in output should be pulled verbatim from a curated, versioned formulary lookup, never freely generated by the LLM, and this should be checked in the output-validation layer (Section 8), not just requested in the prompt. Separately, allergy cross-checking is described as present for the core diagnostic engine but not confirmed as covering the homeopathy/Ayurveda remedy layer specifically (Problem P007) — an allergy check that covers one output surface and not another is, from the patient's perspective, no different from not having one.</w:t>
      </w:r>
    </w:p>
    <w:p>
      <w:pPr>
        <w:pStyle w:val="Heading3"/>
        <w:spacing w:after="120" w:before="260"/>
      </w:pPr>
      <w:r>
        <w:rPr>
          <w:b/>
          <w:bCs/>
          <w:color w:val="2E75B6"/>
          <w:sz w:val="23"/>
          <w:szCs w:val="23"/>
        </w:rPr>
        <w:t xml:space="preserve">False reassurance and over-reassurance</w:t>
      </w:r>
    </w:p>
    <w:p>
      <w:pPr>
        <w:spacing w:after="200" w:line="300"/>
        <w:jc w:val="both"/>
      </w:pPr>
      <w:r>
        <w:rPr>
          <w:b w:val="false"/>
          <w:bCs w:val="false"/>
          <w:i w:val="false"/>
          <w:iCs w:val="false"/>
        </w:rPr>
        <w:t xml:space="preserve">The risk here is subtler than an outright missed diagnosis: a technically-correct “likely nothing serious” response without an explicit, specific safety-net instruction (“return if you develop X, Y, or Z”) is the pattern that fails when a genuinely rare disease doesn't behave as expected. The WHO/NICE convention of mandatory safety-netting language on every non-emergency response — not just high-severity ones — is a cheap, high-value fix (Problem P009) that's easy to deprioritize precisely because it only matters in the cases that don't look urgent yet.</w:t>
      </w:r>
    </w:p>
    <w:p>
      <w:pPr>
        <w:pStyle w:val="Heading3"/>
        <w:spacing w:after="120" w:before="260"/>
      </w:pPr>
      <w:r>
        <w:rPr>
          <w:b/>
          <w:bCs/>
          <w:color w:val="2E75B6"/>
          <w:sz w:val="23"/>
          <w:szCs w:val="23"/>
        </w:rPr>
        <w:t xml:space="preserve">Crisis disclosures outside the product's designed scope</w:t>
      </w:r>
    </w:p>
    <w:p>
      <w:pPr>
        <w:spacing w:after="200" w:line="300"/>
        <w:jc w:val="both"/>
      </w:pPr>
      <w:r>
        <w:rPr>
          <w:b w:val="false"/>
          <w:bCs w:val="false"/>
          <w:i w:val="false"/>
          <w:iCs w:val="false"/>
        </w:rPr>
        <w:t xml:space="preserve">Healio is architected around physical-symptom triage, but any sufficiently-used chatbot will occasionally receive a disclosure of self-harm or suicidal ideation embedded in an otherwise physical-symptom message. Nothing in the reviewed materials describes a classifier that catches this before the diagnostic pipeline engages with it as a symptom-description problem to be differentiated. This needs to be a pre-pipeline check, not a downstream one — Problem P008, rated Critical.</w:t>
      </w:r>
    </w:p>
    <w:p>
      <w:pPr>
        <w:pStyle w:val="Heading3"/>
        <w:spacing w:after="120" w:before="260"/>
      </w:pPr>
      <w:r>
        <w:rPr>
          <w:b/>
          <w:bCs/>
          <w:color w:val="2E75B6"/>
          <w:sz w:val="23"/>
          <w:szCs w:val="23"/>
        </w:rPr>
        <w:t xml:space="preserve">Drug-and-remedy claims under Indian advertising law</w:t>
      </w:r>
    </w:p>
    <w:p>
      <w:pPr>
        <w:spacing w:after="200" w:line="300"/>
        <w:jc w:val="both"/>
      </w:pPr>
      <w:r>
        <w:rPr>
          <w:b w:val="false"/>
          <w:bCs w:val="false"/>
          <w:i w:val="false"/>
          <w:iCs w:val="false"/>
        </w:rPr>
        <w:t xml:space="preserve">This belongs in a safety review, not just the regulatory section, because the mechanism is the same one that causes the false-reassurance risk above: unsupported efficacy language. If the homeopathy/Ayurveda remedy layer's output can read as claiming to cure, treat, or diagnose a scheduled condition, that's both a clinical-safety concern (a remedy claim substituting for appropriate care-seeking) and a specific legal exposure under India's Drugs and Magic Remedies Act, detailed in Section 13. The fix is the same output-validation banned-claims filter either way (Problem P056).</w:t>
      </w:r>
    </w:p>
    <w:p>
      <w:pPr>
        <w:pStyle w:val="Heading2"/>
        <w:spacing w:after="160" w:before="360"/>
      </w:pPr>
      <w:r>
        <w:rPr>
          <w:b/>
          <w:bCs/>
          <w:color w:val="1F3864"/>
          <w:sz w:val="26"/>
          <w:szCs w:val="26"/>
        </w:rPr>
        <w:t xml:space="preserve">7.3 Safety domain scorecard</w:t>
      </w:r>
    </w:p>
    <w:p>
      <w:pPr>
        <w:spacing w:after="200" w:line="300"/>
        <w:jc w:val="both"/>
      </w:pPr>
      <w:r>
        <w:rPr>
          <w:b w:val="false"/>
          <w:bCs w:val="false"/>
          <w:i w:val="false"/>
          <w:iCs w:val="false"/>
        </w:rPr>
        <w:t xml:space="preserve">A rough read of maturity per domain, based on what's evidenced versus what's described-but-unconfirmed versus what's not addressed at all in the shared materials: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0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Safety domain</w:t>
            </w:r>
          </w:p>
        </w:tc>
        <w:tc>
          <w:tcPr>
            <w:tcW w:type="dxa" w:w="2400"/>
            <w:shd w:fill="1F3864" w:val="clear"/>
            <w:tcMar>
              <w:top w:type="dxa" w:w="80"/>
              <w:left w:type="dxa" w:w="100"/>
              <w:bottom w:type="dxa" w:w="80"/>
              <w:right w:type="dxa" w:w="100"/>
            </w:tcMar>
          </w:tcPr>
          <w:p>
            <w:r>
              <w:rPr>
                <w:b/>
                <w:bCs/>
                <w:color w:val="FFFFFF"/>
                <w:sz w:val="19"/>
                <w:szCs w:val="19"/>
              </w:rPr>
              <w:t xml:space="preserve">Maturity</w:t>
            </w:r>
          </w:p>
        </w:tc>
        <w:tc>
          <w:tcPr>
            <w:tcW w:type="dxa" w:w="3800"/>
            <w:shd w:fill="1F3864" w:val="clear"/>
            <w:tcMar>
              <w:top w:type="dxa" w:w="80"/>
              <w:left w:type="dxa" w:w="100"/>
              <w:bottom w:type="dxa" w:w="80"/>
              <w:right w:type="dxa" w:w="100"/>
            </w:tcMar>
          </w:tcPr>
          <w:p>
            <w:r>
              <w:rPr>
                <w:b/>
                <w:bCs/>
                <w:color w:val="FFFFFF"/>
                <w:sz w:val="19"/>
                <w:szCs w:val="19"/>
              </w:rPr>
              <w:t xml:space="preserve">Basis</w:t>
            </w:r>
          </w:p>
        </w:tc>
      </w:tr>
      <w:tr>
        <w:tc>
          <w:tcPr>
            <w:tcW w:type="dxa" w:w="3200"/>
            <w:tcMar>
              <w:top w:type="dxa" w:w="80"/>
              <w:left w:type="dxa" w:w="100"/>
              <w:bottom w:type="dxa" w:w="80"/>
              <w:right w:type="dxa" w:w="100"/>
            </w:tcMar>
          </w:tcPr>
          <w:p>
            <w:r>
              <w:rPr>
                <w:b w:val="false"/>
                <w:bCs w:val="false"/>
                <w:color w:val="000000"/>
                <w:sz w:val="19"/>
                <w:szCs w:val="19"/>
              </w:rPr>
              <w:t xml:space="preserve">Emergency / red-flag escalation infrastructure</w:t>
            </w:r>
          </w:p>
        </w:tc>
        <w:tc>
          <w:tcPr>
            <w:tcW w:type="dxa" w:w="2400"/>
            <w:tcMar>
              <w:top w:type="dxa" w:w="80"/>
              <w:left w:type="dxa" w:w="100"/>
              <w:bottom w:type="dxa" w:w="80"/>
              <w:right w:type="dxa" w:w="100"/>
            </w:tcMar>
          </w:tcPr>
          <w:p>
            <w:r>
              <w:rPr>
                <w:b w:val="false"/>
                <w:bCs w:val="false"/>
                <w:color w:val="000000"/>
                <w:sz w:val="19"/>
                <w:szCs w:val="19"/>
              </w:rPr>
              <w:t xml:space="preserve">Present, unvalidated</w:t>
            </w:r>
          </w:p>
        </w:tc>
        <w:tc>
          <w:tcPr>
            <w:tcW w:type="dxa" w:w="3800"/>
            <w:tcMar>
              <w:top w:type="dxa" w:w="80"/>
              <w:left w:type="dxa" w:w="100"/>
              <w:bottom w:type="dxa" w:w="80"/>
              <w:right w:type="dxa" w:w="100"/>
            </w:tcMar>
          </w:tcPr>
          <w:p>
            <w:r>
              <w:rPr>
                <w:b w:val="false"/>
                <w:bCs w:val="false"/>
                <w:color w:val="000000"/>
                <w:sz w:val="19"/>
                <w:szCs w:val="19"/>
              </w:rPr>
              <w:t xml:space="preserve">L1–L5 tiers and posterior guards exist; validated scoring instrument backing them is unconfirmed</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Reproductive health / pregnancy screening</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Present, has a critical gap</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Mechanism exists; gates on identity rather than anatomy — Section 7.1</w:t>
            </w:r>
          </w:p>
        </w:tc>
      </w:tr>
      <w:tr>
        <w:tc>
          <w:tcPr>
            <w:tcW w:type="dxa" w:w="3200"/>
            <w:tcMar>
              <w:top w:type="dxa" w:w="80"/>
              <w:left w:type="dxa" w:w="100"/>
              <w:bottom w:type="dxa" w:w="80"/>
              <w:right w:type="dxa" w:w="100"/>
            </w:tcMar>
          </w:tcPr>
          <w:p>
            <w:r>
              <w:rPr>
                <w:b w:val="false"/>
                <w:bCs w:val="false"/>
                <w:color w:val="000000"/>
                <w:sz w:val="19"/>
                <w:szCs w:val="19"/>
              </w:rPr>
              <w:t xml:space="preserve">Pediatric dosing / age-banding</w:t>
            </w:r>
          </w:p>
        </w:tc>
        <w:tc>
          <w:tcPr>
            <w:tcW w:type="dxa" w:w="2400"/>
            <w:tcMar>
              <w:top w:type="dxa" w:w="80"/>
              <w:left w:type="dxa" w:w="100"/>
              <w:bottom w:type="dxa" w:w="80"/>
              <w:right w:type="dxa" w:w="100"/>
            </w:tcMar>
          </w:tcPr>
          <w:p>
            <w:r>
              <w:rPr>
                <w:b w:val="false"/>
                <w:bCs w:val="false"/>
                <w:color w:val="000000"/>
                <w:sz w:val="19"/>
                <w:szCs w:val="19"/>
              </w:rPr>
              <w:t xml:space="preserve">Partial</w:t>
            </w:r>
          </w:p>
        </w:tc>
        <w:tc>
          <w:tcPr>
            <w:tcW w:type="dxa" w:w="3800"/>
            <w:tcMar>
              <w:top w:type="dxa" w:w="80"/>
              <w:left w:type="dxa" w:w="100"/>
              <w:bottom w:type="dxa" w:w="80"/>
              <w:right w:type="dxa" w:w="100"/>
            </w:tcMar>
          </w:tcPr>
          <w:p>
            <w:r>
              <w:rPr>
                <w:b w:val="false"/>
                <w:bCs w:val="false"/>
                <w:color w:val="000000"/>
                <w:sz w:val="19"/>
                <w:szCs w:val="19"/>
              </w:rPr>
              <w:t xml:space="preserve">Single threshold rather than the three clinically distinct NICE bands</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Geriatric / polypharmacy</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Present, enforcement scope unconfirmed</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Frailty index exists; cross-surface enforcement unverified</w:t>
            </w:r>
          </w:p>
        </w:tc>
      </w:tr>
      <w:tr>
        <w:tc>
          <w:tcPr>
            <w:tcW w:type="dxa" w:w="3200"/>
            <w:tcMar>
              <w:top w:type="dxa" w:w="80"/>
              <w:left w:type="dxa" w:w="100"/>
              <w:bottom w:type="dxa" w:w="80"/>
              <w:right w:type="dxa" w:w="100"/>
            </w:tcMar>
          </w:tcPr>
          <w:p>
            <w:r>
              <w:rPr>
                <w:b w:val="false"/>
                <w:bCs w:val="false"/>
                <w:color w:val="000000"/>
                <w:sz w:val="19"/>
                <w:szCs w:val="19"/>
              </w:rPr>
              <w:t xml:space="preserve">Allergy / contraindication checking</w:t>
            </w:r>
          </w:p>
        </w:tc>
        <w:tc>
          <w:tcPr>
            <w:tcW w:type="dxa" w:w="2400"/>
            <w:tcMar>
              <w:top w:type="dxa" w:w="80"/>
              <w:left w:type="dxa" w:w="100"/>
              <w:bottom w:type="dxa" w:w="80"/>
              <w:right w:type="dxa" w:w="100"/>
            </w:tcMar>
          </w:tcPr>
          <w:p>
            <w:r>
              <w:rPr>
                <w:b w:val="false"/>
                <w:bCs w:val="false"/>
                <w:color w:val="000000"/>
                <w:sz w:val="19"/>
                <w:szCs w:val="19"/>
              </w:rPr>
              <w:t xml:space="preserve">Partial</w:t>
            </w:r>
          </w:p>
        </w:tc>
        <w:tc>
          <w:tcPr>
            <w:tcW w:type="dxa" w:w="3800"/>
            <w:tcMar>
              <w:top w:type="dxa" w:w="80"/>
              <w:left w:type="dxa" w:w="100"/>
              <w:bottom w:type="dxa" w:w="80"/>
              <w:right w:type="dxa" w:w="100"/>
            </w:tcMar>
          </w:tcPr>
          <w:p>
            <w:r>
              <w:rPr>
                <w:b w:val="false"/>
                <w:bCs w:val="false"/>
                <w:color w:val="000000"/>
                <w:sz w:val="19"/>
                <w:szCs w:val="19"/>
              </w:rPr>
              <w:t xml:space="preserve">Covers core engine; remedy-layer coverage unconfirmed</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Dosage hallucination prevention</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Not evidenced</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No described formulary-lookup constraint on generated dosages</w:t>
            </w:r>
          </w:p>
        </w:tc>
      </w:tr>
      <w:tr>
        <w:tc>
          <w:tcPr>
            <w:tcW w:type="dxa" w:w="3200"/>
            <w:tcMar>
              <w:top w:type="dxa" w:w="80"/>
              <w:left w:type="dxa" w:w="100"/>
              <w:bottom w:type="dxa" w:w="80"/>
              <w:right w:type="dxa" w:w="100"/>
            </w:tcMar>
          </w:tcPr>
          <w:p>
            <w:r>
              <w:rPr>
                <w:b w:val="false"/>
                <w:bCs w:val="false"/>
                <w:color w:val="000000"/>
                <w:sz w:val="19"/>
                <w:szCs w:val="19"/>
              </w:rPr>
              <w:t xml:space="preserve">Safety-netting language</w:t>
            </w:r>
          </w:p>
        </w:tc>
        <w:tc>
          <w:tcPr>
            <w:tcW w:type="dxa" w:w="2400"/>
            <w:tcMar>
              <w:top w:type="dxa" w:w="80"/>
              <w:left w:type="dxa" w:w="100"/>
              <w:bottom w:type="dxa" w:w="80"/>
              <w:right w:type="dxa" w:w="100"/>
            </w:tcMar>
          </w:tcPr>
          <w:p>
            <w:r>
              <w:rPr>
                <w:b w:val="false"/>
                <w:bCs w:val="false"/>
                <w:color w:val="000000"/>
                <w:sz w:val="19"/>
                <w:szCs w:val="19"/>
              </w:rPr>
              <w:t xml:space="preserve">Partial</w:t>
            </w:r>
          </w:p>
        </w:tc>
        <w:tc>
          <w:tcPr>
            <w:tcW w:type="dxa" w:w="3800"/>
            <w:tcMar>
              <w:top w:type="dxa" w:w="80"/>
              <w:left w:type="dxa" w:w="100"/>
              <w:bottom w:type="dxa" w:w="80"/>
              <w:right w:type="dxa" w:w="100"/>
            </w:tcMar>
          </w:tcPr>
          <w:p>
            <w:r>
              <w:rPr>
                <w:b w:val="false"/>
                <w:bCs w:val="false"/>
                <w:color w:val="000000"/>
                <w:sz w:val="19"/>
                <w:szCs w:val="19"/>
              </w:rPr>
              <w:t xml:space="preserve">Not confirmed as mandatory across all non-emergency tiers</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Crisis-disclosure handling</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Not evidenced</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No described pre-pipeline classifier for self-harm language</w:t>
            </w:r>
          </w:p>
        </w:tc>
      </w:tr>
      <w:tr>
        <w:tc>
          <w:tcPr>
            <w:tcW w:type="dxa" w:w="3200"/>
            <w:tcMar>
              <w:top w:type="dxa" w:w="80"/>
              <w:left w:type="dxa" w:w="100"/>
              <w:bottom w:type="dxa" w:w="80"/>
              <w:right w:type="dxa" w:w="100"/>
            </w:tcMar>
          </w:tcPr>
          <w:p>
            <w:r>
              <w:rPr>
                <w:b w:val="false"/>
                <w:bCs w:val="false"/>
                <w:color w:val="000000"/>
                <w:sz w:val="19"/>
                <w:szCs w:val="19"/>
              </w:rPr>
              <w:t xml:space="preserve">Remedy-claim compliance</w:t>
            </w:r>
          </w:p>
        </w:tc>
        <w:tc>
          <w:tcPr>
            <w:tcW w:type="dxa" w:w="2400"/>
            <w:tcMar>
              <w:top w:type="dxa" w:w="80"/>
              <w:left w:type="dxa" w:w="100"/>
              <w:bottom w:type="dxa" w:w="80"/>
              <w:right w:type="dxa" w:w="100"/>
            </w:tcMar>
          </w:tcPr>
          <w:p>
            <w:r>
              <w:rPr>
                <w:b w:val="false"/>
                <w:bCs w:val="false"/>
                <w:color w:val="000000"/>
                <w:sz w:val="19"/>
                <w:szCs w:val="19"/>
              </w:rPr>
              <w:t xml:space="preserve">Not evidenced</w:t>
            </w:r>
          </w:p>
        </w:tc>
        <w:tc>
          <w:tcPr>
            <w:tcW w:type="dxa" w:w="3800"/>
            <w:tcMar>
              <w:top w:type="dxa" w:w="80"/>
              <w:left w:type="dxa" w:w="100"/>
              <w:bottom w:type="dxa" w:w="80"/>
              <w:right w:type="dxa" w:w="100"/>
            </w:tcMar>
          </w:tcPr>
          <w:p>
            <w:r>
              <w:rPr>
                <w:b w:val="false"/>
                <w:bCs w:val="false"/>
                <w:color w:val="000000"/>
                <w:sz w:val="19"/>
                <w:szCs w:val="19"/>
              </w:rPr>
              <w:t xml:space="preserve">No described banned-claims filter for cure/treat language</w:t>
            </w:r>
          </w:p>
        </w:tc>
      </w:tr>
    </w:tbl>
    <w:p>
      <w:pPr>
        <w:spacing w:after="200" w:before="40"/>
      </w:pPr>
      <w:r>
        <w:rPr>
          <w:i/>
          <w:iCs/>
          <w:color w:val="595959"/>
          <w:sz w:val="19"/>
          <w:szCs w:val="19"/>
        </w:rPr>
        <w:t xml:space="preserve">“Not evidenced” means the shared materials don't describe a mechanism for this — it does not necessarily mean none exists in the actual codebase. Confirm each row directly against source before treating it as a confirmed gap.</w:t>
      </w:r>
    </w:p>
    <w:p>
      <w:pPr>
        <w:pStyle w:val="Heading1"/>
        <w:pageBreakBefore/>
        <w:spacing w:after="240" w:before="480"/>
      </w:pPr>
      <w:r>
        <w:rPr>
          <w:b/>
          <w:bCs/>
          <w:color w:val="1F3864"/>
          <w:sz w:val="32"/>
          <w:szCs w:val="32"/>
        </w:rPr>
        <w:t xml:space="preserve">8. Memory &amp; Personalization Review</w:t>
      </w:r>
    </w:p>
    <w:p>
      <w:pPr>
        <w:spacing w:after="200" w:line="300"/>
        <w:jc w:val="both"/>
      </w:pPr>
      <w:r>
        <w:rPr>
          <w:b w:val="false"/>
          <w:bCs w:val="false"/>
          <w:i w:val="false"/>
          <w:iCs w:val="false"/>
        </w:rPr>
        <w:t xml:space="preserve">The memory-engine design already scoped in the shared materials — vector retrieval with an importance-and-decay composite score, immutable categories exempted from decay, category-keyed conflict resolution that supersedes rather than merges contradicting facts — is a genuinely well-thought-out specification. The core formula (similarity × weighted blend of importance and decay × confidence) correctly captures the three things that should matter for what surfaces in a clinical memory system: is it relevant, is it important, and is it still current. This section takes that design as the right target architecture and focuses on what's needed to actually build and harden it.</w:t>
      </w:r>
    </w:p>
    <w:p>
      <w:pPr>
        <w:pStyle w:val="Heading3"/>
        <w:spacing w:after="120" w:before="260"/>
      </w:pPr>
      <w:r>
        <w:rPr>
          <w:b/>
          <w:bCs/>
          <w:color w:val="2E75B6"/>
          <w:sz w:val="23"/>
          <w:szCs w:val="23"/>
        </w:rPr>
        <w:t xml:space="preserve">Why this is a safety issue, not just a personalization one</w:t>
      </w:r>
    </w:p>
    <w:p>
      <w:pPr>
        <w:spacing w:after="200" w:line="300"/>
        <w:jc w:val="both"/>
      </w:pPr>
      <w:r>
        <w:rPr>
          <w:b w:val="false"/>
          <w:bCs w:val="false"/>
          <w:i w:val="false"/>
          <w:iCs w:val="false"/>
        </w:rPr>
        <w:t xml:space="preserve">It's worth being blunt about priority: the current gap — no persistent semantic memory across independent sessions — means a penicillin allergy or a major prior diagnosis disclosed once has no guaranteed way to resurface in an unrelated later session. Personalization gaps make the product worse. This kind of gap can make it actively unsafe, because the system can proceed with a differential or a remedy suggestion that a known allergy should have ruled out, simply because that allergy lived in a session that's no longer in context. This is Problem P031, rated Critical, and it should be treated with the same urgency as the demographic-gating fix that prompted this whole audit.</w:t>
      </w:r>
    </w:p>
    <w:p>
      <w:pPr>
        <w:pStyle w:val="Heading3"/>
        <w:spacing w:after="120" w:before="260"/>
      </w:pPr>
      <w:r>
        <w:rPr>
          <w:b/>
          <w:bCs/>
          <w:color w:val="2E75B6"/>
          <w:sz w:val="23"/>
          <w:szCs w:val="23"/>
        </w:rPr>
        <w:t xml:space="preserve">What the design gets right</w:t>
      </w:r>
    </w:p>
    <w:p>
      <w:pPr>
        <w:pStyle w:val="ListParagraph"/>
        <w:numPr>
          <w:ilvl w:val="0"/>
          <w:numId w:val="2"/>
        </w:numPr>
        <w:spacing w:after="100" w:line="280"/>
      </w:pPr>
      <w:r>
        <w:t xml:space="preserve">Exempting an explicit “IMMUTABLE” category (allergies, chronic diagnoses, major surgeries, gender) from decay entirely, rather than tuning one global decay rate, is the correct approach — a single decay constant either keeps irrelevant old symptoms around too long or lets safety-critical facts fade, depending which way it's tuned (Problem P033).</w:t>
      </w:r>
    </w:p>
    <w:p>
      <w:pPr>
        <w:pStyle w:val="ListParagraph"/>
        <w:numPr>
          <w:ilvl w:val="0"/>
          <w:numId w:val="2"/>
        </w:numPr>
        <w:spacing w:after="100" w:line="280"/>
      </w:pPr>
      <w:r>
        <w:t xml:space="preserve">Category-keyed conflict resolution (a newer fact in the same category supersedes an older contradicting one, rather than both being retrieved and left for the LLM to reconcile) is exactly right — asking an LLM to silently arbitrate between “not on any medication” from March and “started metformin” from June, without explicit supersession logic, is a real source of avoidable inconsistency (Problem P032).</w:t>
      </w:r>
    </w:p>
    <w:p>
      <w:pPr>
        <w:pStyle w:val="Heading3"/>
        <w:spacing w:after="120" w:before="260"/>
      </w:pPr>
      <w:r>
        <w:rPr>
          <w:b/>
          <w:bCs/>
          <w:color w:val="2E75B6"/>
          <w:sz w:val="23"/>
          <w:szCs w:val="23"/>
        </w:rPr>
        <w:t xml:space="preserve">What needs to be added before this ships</w:t>
      </w:r>
    </w:p>
    <w:p>
      <w:pPr>
        <w:pStyle w:val="ListParagraph"/>
        <w:numPr>
          <w:ilvl w:val="0"/>
          <w:numId w:val="2"/>
        </w:numPr>
        <w:spacing w:after="100" w:line="280"/>
      </w:pPr>
      <w:r>
        <w:rPr>
          <w:b/>
          <w:bCs/>
        </w:rPr>
        <w:t xml:space="preserve">User-facing access and correction (Problem P034). </w:t>
      </w:r>
      <w:r>
        <w:t xml:space="preserve">There's no described way for a user to see, correct, or delete what's been stored about them. Beyond the trust argument, this is very likely to become a data-principal-rights obligation under the DPDP Act (Section 13) — building it now is cheaper than retrofitting it under a compliance deadline.</w:t>
      </w:r>
    </w:p>
    <w:p>
      <w:pPr>
        <w:pStyle w:val="ListParagraph"/>
        <w:numPr>
          <w:ilvl w:val="0"/>
          <w:numId w:val="2"/>
        </w:numPr>
        <w:spacing w:after="100" w:line="280"/>
      </w:pPr>
      <w:r>
        <w:rPr>
          <w:b/>
          <w:bCs/>
        </w:rPr>
        <w:t xml:space="preserve">Provenance-aware weighting (Problem P036). </w:t>
      </w:r>
      <w:r>
        <w:t xml:space="preserve">The design doesn't yet distinguish memories the user explicitly stated from ones the system inferred from a pattern. An inferred “seems to get headaches on Mondays” shouldn't carry the same diagnostic weight as a stated “I'm allergic to penicillin”, and conflating them risks a shaky inference influencing a future differential as if it were a direct disclosure.</w:t>
      </w:r>
    </w:p>
    <w:p>
      <w:pPr>
        <w:pStyle w:val="ListParagraph"/>
        <w:numPr>
          <w:ilvl w:val="0"/>
          <w:numId w:val="2"/>
        </w:numPr>
        <w:spacing w:after="100" w:line="280"/>
      </w:pPr>
      <w:r>
        <w:rPr>
          <w:b/>
          <w:bCs/>
        </w:rPr>
        <w:t xml:space="preserve">Multi-person / shared-account isolation (Problem P038). </w:t>
      </w:r>
      <w:r>
        <w:t xml:space="preserve">Family members sharing a device or account is a common real-world pattern this design doesn't yet address — without explicit per-profile partitioning, a child's session risks being diagnosed against a parent's stored allergy or medication history, or vice versa.</w:t>
      </w:r>
    </w:p>
    <w:p>
      <w:pPr>
        <w:pStyle w:val="ListParagraph"/>
        <w:numPr>
          <w:ilvl w:val="0"/>
          <w:numId w:val="2"/>
        </w:numPr>
        <w:spacing w:after="100" w:line="280"/>
      </w:pPr>
      <w:r>
        <w:rPr>
          <w:b/>
          <w:bCs/>
        </w:rPr>
        <w:t xml:space="preserve">Retention policy (Problem P040). </w:t>
      </w:r>
      <w:r>
        <w:t xml:space="preserve">No described lifecycle for memory categories that shouldn't persist indefinitely (a resolved acute complaint from two years ago). This is both a breach-exposure question and, under a data-minimization-conscious reading of DPDP, a compliance question.</w:t>
      </w:r>
    </w:p>
    <w:p>
      <w:pPr>
        <w:pStyle w:val="ListParagraph"/>
        <w:numPr>
          <w:ilvl w:val="0"/>
          <w:numId w:val="2"/>
        </w:numPr>
        <w:spacing w:after="100" w:line="280"/>
      </w:pPr>
      <w:r>
        <w:rPr>
          <w:b/>
          <w:bCs/>
        </w:rPr>
        <w:t xml:space="preserve">CRDT or timestamp-based reconciliation for the offline client cache (Problem P035). </w:t>
      </w:r>
      <w:r>
        <w:t xml:space="preserve">Without this, a stale local cache can silently overwrite a more recent server-side correction on multi-device use.</w:t>
      </w:r>
    </w:p>
    <w:p>
      <w:pPr>
        <w:pStyle w:val="Heading1"/>
        <w:pageBreakBefore/>
        <w:spacing w:after="240" w:before="480"/>
      </w:pPr>
      <w:r>
        <w:rPr>
          <w:b/>
          <w:bCs/>
          <w:color w:val="1F3864"/>
          <w:sz w:val="32"/>
          <w:szCs w:val="32"/>
        </w:rPr>
        <w:t xml:space="preserve">9. Prompt Engineering Review</w:t>
      </w:r>
    </w:p>
    <w:p>
      <w:pPr>
        <w:spacing w:after="200" w:line="300"/>
        <w:jc w:val="both"/>
      </w:pPr>
      <w:r>
        <w:rPr>
          <w:b w:val="false"/>
          <w:bCs w:val="false"/>
          <w:i w:val="false"/>
          <w:iCs w:val="false"/>
        </w:rPr>
        <w:t xml:space="preserve">The seven-layer system-prompt hierarchy already sketched in the shared materials — identity, hard demographic constraints, deterministic diagnostic core, drug interactions, retrieved memory, conversation history, output instructions, in that order — is a strong instinct: put the non-negotiable safety constraints where they're least likely to be diluted by everything that comes after them. The gap is between designing that hierarchy and actually guaranteeing an LLM respects it, which position in the prompt alone doesn't do.</w:t>
      </w:r>
    </w:p>
    <w:p>
      <w:pPr>
        <w:pStyle w:val="Heading3"/>
        <w:spacing w:after="120" w:before="260"/>
      </w:pPr>
      <w:r>
        <w:rPr>
          <w:b/>
          <w:bCs/>
          <w:color w:val="2E75B6"/>
          <w:sz w:val="23"/>
          <w:szCs w:val="23"/>
        </w:rPr>
        <w:t xml:space="preserve">Positional hierarchy is necessary, not sufficient</w:t>
      </w:r>
    </w:p>
    <w:p>
      <w:pPr>
        <w:spacing w:after="200" w:line="300"/>
        <w:jc w:val="both"/>
      </w:pPr>
      <w:r>
        <w:rPr>
          <w:b w:val="false"/>
          <w:bCs w:val="false"/>
          <w:i w:val="false"/>
          <w:iCs w:val="false"/>
        </w:rPr>
        <w:t xml:space="preserve">Modern LLMs don't reliably treat “earlier in the prompt” as “higher priority” without that priority being reinforced explicitly — and reinforced doesn't mean restated once, it means validated adversarially. Two specific risks follow directly from this (Problems P041 and P042): first, a sufficiently unusual phrasing or a determined multi-turn attempt could still get a lower-priority instruction to override a stated hard constraint unless that's been tested, not just designed; second, and more mundane, is that if retrieved memories plus RAG context plus conversation history ever exceed the usable context window, silent truncation needs to protect Layer 1/2 specifically — the safety-critical block should never be the thing that gets dropped because it wasn't pinned as always-included.</w:t>
      </w:r>
    </w:p>
    <w:p>
      <w:pPr>
        <w:pStyle w:val="Heading3"/>
        <w:spacing w:after="120" w:before="260"/>
      </w:pPr>
      <w:r>
        <w:rPr>
          <w:b/>
          <w:bCs/>
          <w:color w:val="2E75B6"/>
          <w:sz w:val="23"/>
          <w:szCs w:val="23"/>
        </w:rPr>
        <w:t xml:space="preserve">RAG content is a distinct injection surface</w:t>
      </w:r>
    </w:p>
    <w:p>
      <w:pPr>
        <w:spacing w:after="200" w:line="300"/>
        <w:jc w:val="both"/>
      </w:pPr>
      <w:r>
        <w:rPr>
          <w:b w:val="false"/>
          <w:bCs w:val="false"/>
          <w:i w:val="false"/>
          <w:iCs w:val="false"/>
        </w:rPr>
        <w:t xml:space="preserve">It's easy to treat retrieved content differently from user input because it “feels” trusted — it came from your own knowledge base, not a stranger's message. But if Boericke and Ayurvedic retrieval results are concatenated directly into the prompt without being wrapped in explicit, clearly-untrusted delimiters, a crafted symptom description that gets matched against a manipulable or poisoned source is a real attack surface, distinct from and in addition to direct prompt injection via user messages (Problem P043). Both need adversarial testing — see the Prompt Injection category in the companion Testing Strategy sheet, which includes a case specifically targeting RAG-embedded instructions.</w:t>
      </w:r>
    </w:p>
    <w:p>
      <w:pPr>
        <w:pStyle w:val="Heading3"/>
        <w:spacing w:after="120" w:before="260"/>
      </w:pPr>
      <w:r>
        <w:rPr>
          <w:b/>
          <w:bCs/>
          <w:color w:val="2E75B6"/>
          <w:sz w:val="23"/>
          <w:szCs w:val="23"/>
        </w:rPr>
        <w:t xml:space="preserve">Fallback-model parity is unverified</w:t>
      </w:r>
    </w:p>
    <w:p>
      <w:pPr>
        <w:spacing w:after="200" w:line="300"/>
        <w:jc w:val="both"/>
      </w:pPr>
      <w:r>
        <w:rPr>
          <w:b w:val="false"/>
          <w:bCs w:val="false"/>
          <w:i w:val="false"/>
          <w:iCs w:val="false"/>
        </w:rPr>
        <w:t xml:space="preserve">Groq's Llama-3.3-70B and Gemini 2.5 Flash are different model families with potentially different instruction-following and safety-tuning characteristics. If the system prompt is shared verbatim between them — which the reviewed materials suggest — there's no guarantee that safety behavior validated against the primary model transfers cleanly to the fallback. This matters more than it might seem, because a fallback event is, by definition, already a degraded-state moment; it's exactly when you'd most want confidence the safety layer still holds (Problem P045).</w:t>
      </w:r>
    </w:p>
    <w:p>
      <w:pPr>
        <w:pStyle w:val="Heading3"/>
        <w:spacing w:after="120" w:before="260"/>
      </w:pPr>
      <w:r>
        <w:rPr>
          <w:b/>
          <w:bCs/>
          <w:color w:val="2E75B6"/>
          <w:sz w:val="23"/>
          <w:szCs w:val="23"/>
        </w:rPr>
        <w:t xml:space="preserve">Certainty language and hallucination-adjacent instructions</w:t>
      </w:r>
    </w:p>
    <w:p>
      <w:pPr>
        <w:pStyle w:val="ListParagraph"/>
        <w:numPr>
          <w:ilvl w:val="0"/>
          <w:numId w:val="2"/>
        </w:numPr>
        <w:spacing w:after="100" w:line="280"/>
      </w:pPr>
      <w:r>
        <w:rPr>
          <w:b/>
          <w:bCs/>
        </w:rPr>
        <w:t xml:space="preserve">No confirmed constraint against confident, non-hedged diagnostic language. </w:t>
      </w:r>
      <w:r>
        <w:t xml:space="preserve">“You have X” reads as authoritative to a lay user in a way that can short-circuit their judgment about whether to seek care, versus “X is one possibility, alongside Y and Z” (Problem P047).</w:t>
      </w:r>
    </w:p>
    <w:p>
      <w:pPr>
        <w:pStyle w:val="ListParagraph"/>
        <w:numPr>
          <w:ilvl w:val="0"/>
          <w:numId w:val="2"/>
        </w:numPr>
        <w:spacing w:after="100" w:line="280"/>
      </w:pPr>
      <w:r>
        <w:rPr>
          <w:b/>
          <w:bCs/>
        </w:rPr>
        <w:t xml:space="preserve">No confirmed scope-boundary instruction for out-of-scope requests. </w:t>
      </w:r>
      <w:r>
        <w:t xml:space="preserve">e.g., a user asking the system to interpret an uploaded lab report image, which is a materially different (and differently-regulated) task than symptom-based triage (Problem P048).</w:t>
      </w:r>
    </w:p>
    <w:p>
      <w:pPr>
        <w:pStyle w:val="ListParagraph"/>
        <w:numPr>
          <w:ilvl w:val="0"/>
          <w:numId w:val="2"/>
        </w:numPr>
        <w:spacing w:after="100" w:line="280"/>
      </w:pPr>
      <w:r>
        <w:rPr>
          <w:b/>
          <w:bCs/>
        </w:rPr>
        <w:t xml:space="preserve">Language-switching (English/Hinglish) shares the same generation call as clinical content. </w:t>
      </w:r>
      <w:r>
        <w:t xml:space="preserve">with no confirmed check that translation or code-switching can't quietly lose clinical specificity (Problem P049).</w:t>
      </w:r>
    </w:p>
    <w:p>
      <w:pPr>
        <w:pStyle w:val="Heading3"/>
        <w:spacing w:after="120" w:before="260"/>
      </w:pPr>
      <w:r>
        <w:rPr>
          <w:b/>
          <w:bCs/>
          <w:color w:val="2E75B6"/>
          <w:sz w:val="23"/>
          <w:szCs w:val="23"/>
        </w:rPr>
        <w:t xml:space="preserve">Versioning</w:t>
      </w:r>
    </w:p>
    <w:p>
      <w:pPr>
        <w:spacing w:after="200" w:line="300"/>
        <w:jc w:val="both"/>
      </w:pPr>
      <w:r>
        <w:rPr>
          <w:b w:val="false"/>
          <w:bCs w:val="false"/>
          <w:i w:val="false"/>
          <w:iCs w:val="false"/>
        </w:rPr>
        <w:t xml:space="preserve">Neither the system prompt nor the clinical knowledge base is described as versioned with a changelog. This isn't a nice-to-have — it's what makes it possible to answer “what exactly was this system instructed to do when it generated this specific past response,” which matters for internal incident review and will matter for CDSCO's Algorithm Change Protocol expectations once Healio's SaMD classification is formalized (Section 13). This is a low-effort fix (Improvements I029, I050) that pays for itself the first time it's needed.</w:t>
      </w:r>
    </w:p>
    <w:p>
      <w:pPr>
        <w:pStyle w:val="Heading1"/>
        <w:pageBreakBefore/>
        <w:spacing w:after="240" w:before="480"/>
      </w:pPr>
      <w:r>
        <w:rPr>
          <w:b/>
          <w:bCs/>
          <w:color w:val="1F3864"/>
          <w:sz w:val="32"/>
          <w:szCs w:val="32"/>
        </w:rPr>
        <w:t xml:space="preserve">10. Output Validation Layer</w:t>
      </w:r>
    </w:p>
    <w:p>
      <w:pPr>
        <w:spacing w:after="200" w:line="300"/>
        <w:jc w:val="both"/>
      </w:pPr>
      <w:r>
        <w:rPr>
          <w:b w:val="false"/>
          <w:bCs w:val="false"/>
          <w:i w:val="false"/>
          <w:iCs w:val="false"/>
        </w:rPr>
        <w:t xml:space="preserve">The validateOutputAgainstProfile() pattern already sketched in the shared materials — scanning generated output against the user's profile for demographic contradictions before it reaches the patient — is the right architectural instinct: catch what got through generation rather than relying on generation to be perfect. It's currently scoped narrowly (gender/pregnancy terms, pediatric aspirin), which is appropriately targeted at the bug that prompted it, but the pattern is worth generalizing before the next instance of this bug category shows up in a different guise.</w:t>
      </w:r>
    </w:p>
    <w:p>
      <w:pPr>
        <w:pStyle w:val="Heading3"/>
        <w:spacing w:after="120" w:before="260"/>
      </w:pPr>
      <w:r>
        <w:rPr>
          <w:b/>
          <w:bCs/>
          <w:color w:val="2E75B6"/>
          <w:sz w:val="23"/>
          <w:szCs w:val="23"/>
        </w:rPr>
        <w:t xml:space="preserve">From a bug patch to a framework</w:t>
      </w:r>
    </w:p>
    <w:p>
      <w:pPr>
        <w:spacing w:after="200" w:line="300"/>
        <w:jc w:val="both"/>
      </w:pPr>
      <w:r>
        <w:rPr>
          <w:b w:val="false"/>
          <w:bCs w:val="false"/>
          <w:i w:val="false"/>
          <w:iCs w:val="false"/>
        </w:rPr>
        <w:t xml:space="preserve">The generalization is straightforward: turn the current if/else logic into a rule table — rows of (condition, prohibited terms, profile predicate) — so that adding coverage for a new demographic mismatch (say, a diabetes-medication caution that shouldn't apply to a profile with no diabetes flag) is a data change, not a code change. This is Problem P051 / Improvement I051, and it's the highest-leverage single change to this layer.</w:t>
      </w:r>
    </w:p>
    <w:p>
      <w:pPr>
        <w:pStyle w:val="Heading3"/>
        <w:spacing w:after="120" w:before="260"/>
      </w:pPr>
      <w:r>
        <w:rPr>
          <w:b/>
          <w:bCs/>
          <w:color w:val="2E75B6"/>
          <w:sz w:val="23"/>
          <w:szCs w:val="23"/>
        </w:rPr>
        <w:t xml:space="preserve">A validator needs a defined remediation path, not just detection</w:t>
      </w:r>
    </w:p>
    <w:p>
      <w:pPr>
        <w:spacing w:after="200" w:line="300"/>
        <w:jc w:val="both"/>
      </w:pPr>
      <w:r>
        <w:rPr>
          <w:b w:val="false"/>
          <w:bCs w:val="false"/>
          <w:i w:val="false"/>
          <w:iCs w:val="false"/>
        </w:rPr>
        <w:t xml:space="preserve">The current design catches a violation and returns isValid: false with a list of violations — but what happens next isn't specified in what's been shared. Does the system regenerate with the violation flagged in-context? Fall back to a safe templated response? Or, in the worst case, does the invalid response still reach the user with a warning attached? This needs to be an explicit, tested decision (Problem P052): regenerate once with the specific violation named in the retry prompt, and if that also fails, fall back to a safe non-LLM templated response rather than ever surfacing the flagged content. A validator that detects but doesn't remediate is half a safety system.</w:t>
      </w:r>
    </w:p>
    <w:p>
      <w:pPr>
        <w:pStyle w:val="Heading3"/>
        <w:spacing w:after="120" w:before="260"/>
      </w:pPr>
      <w:r>
        <w:rPr>
          <w:b/>
          <w:bCs/>
          <w:color w:val="2E75B6"/>
          <w:sz w:val="23"/>
          <w:szCs w:val="23"/>
        </w:rPr>
        <w:t xml:space="preserve">What else belongs in this layer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1800"/>
      </w:tblGrid>
      <w:tr>
        <w:trPr>
          <w:tblHeader/>
        </w:trPr>
        <w:tc>
          <w:tcPr>
            <w:tcW w:type="dxa" w:w="3400"/>
            <w:shd w:fill="1F3864" w:val="clear"/>
            <w:tcMar>
              <w:top w:type="dxa" w:w="80"/>
              <w:left w:type="dxa" w:w="100"/>
              <w:bottom w:type="dxa" w:w="80"/>
              <w:right w:type="dxa" w:w="100"/>
            </w:tcMar>
          </w:tcPr>
          <w:p>
            <w:r>
              <w:rPr>
                <w:b/>
                <w:bCs/>
                <w:color w:val="FFFFFF"/>
                <w:sz w:val="19"/>
                <w:szCs w:val="19"/>
              </w:rPr>
              <w:t xml:space="preserve">Check</w:t>
            </w:r>
          </w:p>
        </w:tc>
        <w:tc>
          <w:tcPr>
            <w:tcW w:type="dxa" w:w="4600"/>
            <w:shd w:fill="1F3864" w:val="clear"/>
            <w:tcMar>
              <w:top w:type="dxa" w:w="80"/>
              <w:left w:type="dxa" w:w="100"/>
              <w:bottom w:type="dxa" w:w="80"/>
              <w:right w:type="dxa" w:w="100"/>
            </w:tcMar>
          </w:tcPr>
          <w:p>
            <w:r>
              <w:rPr>
                <w:b/>
                <w:bCs/>
                <w:color w:val="FFFFFF"/>
                <w:sz w:val="19"/>
                <w:szCs w:val="19"/>
              </w:rPr>
              <w:t xml:space="preserve">Why it belongs in output validation specifically (not just prompt instruction)</w:t>
            </w:r>
          </w:p>
        </w:tc>
        <w:tc>
          <w:tcPr>
            <w:tcW w:type="dxa" w:w="1800"/>
            <w:shd w:fill="1F3864" w:val="clear"/>
            <w:tcMar>
              <w:top w:type="dxa" w:w="80"/>
              <w:left w:type="dxa" w:w="100"/>
              <w:bottom w:type="dxa" w:w="80"/>
              <w:right w:type="dxa" w:w="100"/>
            </w:tcMar>
          </w:tcPr>
          <w:p>
            <w:r>
              <w:rPr>
                <w:b/>
                <w:bCs/>
                <w:color w:val="FFFFFF"/>
                <w:sz w:val="19"/>
                <w:szCs w:val="19"/>
              </w:rPr>
              <w:t xml:space="preserve">Related workbook item</w:t>
            </w:r>
          </w:p>
        </w:tc>
      </w:tr>
      <w:tr>
        <w:tc>
          <w:tcPr>
            <w:tcW w:type="dxa" w:w="3400"/>
            <w:tcMar>
              <w:top w:type="dxa" w:w="80"/>
              <w:left w:type="dxa" w:w="100"/>
              <w:bottom w:type="dxa" w:w="80"/>
              <w:right w:type="dxa" w:w="100"/>
            </w:tcMar>
          </w:tcPr>
          <w:p>
            <w:r>
              <w:rPr>
                <w:b w:val="false"/>
                <w:bCs w:val="false"/>
                <w:color w:val="000000"/>
                <w:sz w:val="19"/>
                <w:szCs w:val="19"/>
              </w:rPr>
              <w:t xml:space="preserve">Formulary-constrained dosage/drug names</w:t>
            </w:r>
          </w:p>
        </w:tc>
        <w:tc>
          <w:tcPr>
            <w:tcW w:type="dxa" w:w="4600"/>
            <w:tcMar>
              <w:top w:type="dxa" w:w="80"/>
              <w:left w:type="dxa" w:w="100"/>
              <w:bottom w:type="dxa" w:w="80"/>
              <w:right w:type="dxa" w:w="100"/>
            </w:tcMar>
          </w:tcPr>
          <w:p>
            <w:r>
              <w:rPr>
                <w:b w:val="false"/>
                <w:bCs w:val="false"/>
                <w:color w:val="000000"/>
                <w:sz w:val="19"/>
                <w:szCs w:val="19"/>
              </w:rPr>
              <w:t xml:space="preserve">Prompt instructions can be overridden by phrasing pressure; a hard lookup constraint can't</w:t>
            </w:r>
          </w:p>
        </w:tc>
        <w:tc>
          <w:tcPr>
            <w:tcW w:type="dxa" w:w="1800"/>
            <w:tcMar>
              <w:top w:type="dxa" w:w="80"/>
              <w:left w:type="dxa" w:w="100"/>
              <w:bottom w:type="dxa" w:w="80"/>
              <w:right w:type="dxa" w:w="100"/>
            </w:tcMar>
          </w:tcPr>
          <w:p>
            <w:r>
              <w:rPr>
                <w:b w:val="false"/>
                <w:bCs w:val="false"/>
                <w:color w:val="000000"/>
                <w:sz w:val="19"/>
                <w:szCs w:val="19"/>
              </w:rPr>
              <w:t xml:space="preserve">P046 / I046</w:t>
            </w:r>
          </w:p>
        </w:tc>
      </w:tr>
      <w:tr>
        <w:tc>
          <w:tcPr>
            <w:tcW w:type="dxa" w:w="3400"/>
            <w:shd w:fill="F2F2F2" w:val="clear"/>
            <w:tcMar>
              <w:top w:type="dxa" w:w="80"/>
              <w:left w:type="dxa" w:w="100"/>
              <w:bottom w:type="dxa" w:w="80"/>
              <w:right w:type="dxa" w:w="100"/>
            </w:tcMar>
          </w:tcPr>
          <w:p>
            <w:r>
              <w:rPr>
                <w:b w:val="false"/>
                <w:bCs w:val="false"/>
                <w:color w:val="000000"/>
                <w:sz w:val="19"/>
                <w:szCs w:val="19"/>
              </w:rPr>
              <w:t xml:space="preserve">Differential-framed language (no unhedged certainty)</w:t>
            </w:r>
          </w:p>
        </w:tc>
        <w:tc>
          <w:tcPr>
            <w:tcW w:type="dxa" w:w="4600"/>
            <w:shd w:fill="F2F2F2" w:val="clear"/>
            <w:tcMar>
              <w:top w:type="dxa" w:w="80"/>
              <w:left w:type="dxa" w:w="100"/>
              <w:bottom w:type="dxa" w:w="80"/>
              <w:right w:type="dxa" w:w="100"/>
            </w:tcMar>
          </w:tcPr>
          <w:p>
            <w:r>
              <w:rPr>
                <w:b w:val="false"/>
                <w:bCs w:val="false"/>
                <w:color w:val="000000"/>
                <w:sz w:val="19"/>
                <w:szCs w:val="19"/>
              </w:rPr>
              <w:t xml:space="preserve">Same reasoning — enforceable at the boundary, not just requested upstream</w:t>
            </w:r>
          </w:p>
        </w:tc>
        <w:tc>
          <w:tcPr>
            <w:tcW w:type="dxa" w:w="1800"/>
            <w:shd w:fill="F2F2F2" w:val="clear"/>
            <w:tcMar>
              <w:top w:type="dxa" w:w="80"/>
              <w:left w:type="dxa" w:w="100"/>
              <w:bottom w:type="dxa" w:w="80"/>
              <w:right w:type="dxa" w:w="100"/>
            </w:tcMar>
          </w:tcPr>
          <w:p>
            <w:r>
              <w:rPr>
                <w:b w:val="false"/>
                <w:bCs w:val="false"/>
                <w:color w:val="000000"/>
                <w:sz w:val="19"/>
                <w:szCs w:val="19"/>
              </w:rPr>
              <w:t xml:space="preserve">P047 / I047</w:t>
            </w:r>
          </w:p>
        </w:tc>
      </w:tr>
      <w:tr>
        <w:tc>
          <w:tcPr>
            <w:tcW w:type="dxa" w:w="3400"/>
            <w:tcMar>
              <w:top w:type="dxa" w:w="80"/>
              <w:left w:type="dxa" w:w="100"/>
              <w:bottom w:type="dxa" w:w="80"/>
              <w:right w:type="dxa" w:w="100"/>
            </w:tcMar>
          </w:tcPr>
          <w:p>
            <w:r>
              <w:rPr>
                <w:b w:val="false"/>
                <w:bCs w:val="false"/>
                <w:color w:val="000000"/>
                <w:sz w:val="19"/>
                <w:szCs w:val="19"/>
              </w:rPr>
              <w:t xml:space="preserve">Remedy-layer banned-claims filter (DMR Act scheduled conditions)</w:t>
            </w:r>
          </w:p>
        </w:tc>
        <w:tc>
          <w:tcPr>
            <w:tcW w:type="dxa" w:w="4600"/>
            <w:tcMar>
              <w:top w:type="dxa" w:w="80"/>
              <w:left w:type="dxa" w:w="100"/>
              <w:bottom w:type="dxa" w:w="80"/>
              <w:right w:type="dxa" w:w="100"/>
            </w:tcMar>
          </w:tcPr>
          <w:p>
            <w:r>
              <w:rPr>
                <w:b w:val="false"/>
                <w:bCs w:val="false"/>
                <w:color w:val="000000"/>
                <w:sz w:val="19"/>
                <w:szCs w:val="19"/>
              </w:rPr>
              <w:t xml:space="preserve">Closes both a clinical-safety and a specific legal exposure simultaneously</w:t>
            </w:r>
          </w:p>
        </w:tc>
        <w:tc>
          <w:tcPr>
            <w:tcW w:type="dxa" w:w="1800"/>
            <w:tcMar>
              <w:top w:type="dxa" w:w="80"/>
              <w:left w:type="dxa" w:w="100"/>
              <w:bottom w:type="dxa" w:w="80"/>
              <w:right w:type="dxa" w:w="100"/>
            </w:tcMar>
          </w:tcPr>
          <w:p>
            <w:r>
              <w:rPr>
                <w:b w:val="false"/>
                <w:bCs w:val="false"/>
                <w:color w:val="000000"/>
                <w:sz w:val="19"/>
                <w:szCs w:val="19"/>
              </w:rPr>
              <w:t xml:space="preserve">P056 / I056</w:t>
            </w:r>
          </w:p>
        </w:tc>
      </w:tr>
      <w:tr>
        <w:tc>
          <w:tcPr>
            <w:tcW w:type="dxa" w:w="3400"/>
            <w:shd w:fill="F2F2F2" w:val="clear"/>
            <w:tcMar>
              <w:top w:type="dxa" w:w="80"/>
              <w:left w:type="dxa" w:w="100"/>
              <w:bottom w:type="dxa" w:w="80"/>
              <w:right w:type="dxa" w:w="100"/>
            </w:tcMar>
          </w:tcPr>
          <w:p>
            <w:r>
              <w:rPr>
                <w:b w:val="false"/>
                <w:bCs w:val="false"/>
                <w:color w:val="000000"/>
                <w:sz w:val="19"/>
                <w:szCs w:val="19"/>
              </w:rPr>
              <w:t xml:space="preserve">Structured-field vs. free-text consistency check</w:t>
            </w:r>
          </w:p>
        </w:tc>
        <w:tc>
          <w:tcPr>
            <w:tcW w:type="dxa" w:w="4600"/>
            <w:shd w:fill="F2F2F2" w:val="clear"/>
            <w:tcMar>
              <w:top w:type="dxa" w:w="80"/>
              <w:left w:type="dxa" w:w="100"/>
              <w:bottom w:type="dxa" w:w="80"/>
              <w:right w:type="dxa" w:w="100"/>
            </w:tcMar>
          </w:tcPr>
          <w:p>
            <w:r>
              <w:rPr>
                <w:b w:val="false"/>
                <w:bCs w:val="false"/>
                <w:color w:val="000000"/>
                <w:sz w:val="19"/>
                <w:szCs w:val="19"/>
              </w:rPr>
              <w:t xml:space="preserve">Catches drift between the JSON diagnosis and its prose explanation, especially under a fallback model</w:t>
            </w:r>
          </w:p>
        </w:tc>
        <w:tc>
          <w:tcPr>
            <w:tcW w:type="dxa" w:w="1800"/>
            <w:shd w:fill="F2F2F2" w:val="clear"/>
            <w:tcMar>
              <w:top w:type="dxa" w:w="80"/>
              <w:left w:type="dxa" w:w="100"/>
              <w:bottom w:type="dxa" w:w="80"/>
              <w:right w:type="dxa" w:w="100"/>
            </w:tcMar>
          </w:tcPr>
          <w:p>
            <w:r>
              <w:rPr>
                <w:b w:val="false"/>
                <w:bCs w:val="false"/>
                <w:color w:val="000000"/>
                <w:sz w:val="19"/>
                <w:szCs w:val="19"/>
              </w:rPr>
              <w:t xml:space="preserve">P053</w:t>
            </w:r>
          </w:p>
        </w:tc>
      </w:tr>
      <w:tr>
        <w:tc>
          <w:tcPr>
            <w:tcW w:type="dxa" w:w="3400"/>
            <w:tcMar>
              <w:top w:type="dxa" w:w="80"/>
              <w:left w:type="dxa" w:w="100"/>
              <w:bottom w:type="dxa" w:w="80"/>
              <w:right w:type="dxa" w:w="100"/>
            </w:tcMar>
          </w:tcPr>
          <w:p>
            <w:r>
              <w:rPr>
                <w:b w:val="false"/>
                <w:bCs w:val="false"/>
                <w:color w:val="000000"/>
                <w:sz w:val="19"/>
                <w:szCs w:val="19"/>
              </w:rPr>
              <w:t xml:space="preserve">Internal contradiction check</w:t>
            </w:r>
          </w:p>
        </w:tc>
        <w:tc>
          <w:tcPr>
            <w:tcW w:type="dxa" w:w="4600"/>
            <w:tcMar>
              <w:top w:type="dxa" w:w="80"/>
              <w:left w:type="dxa" w:w="100"/>
              <w:bottom w:type="dxa" w:w="80"/>
              <w:right w:type="dxa" w:w="100"/>
            </w:tcMar>
          </w:tcPr>
          <w:p>
            <w:r>
              <w:rPr>
                <w:b w:val="false"/>
                <w:bCs w:val="false"/>
                <w:color w:val="000000"/>
                <w:sz w:val="19"/>
                <w:szCs w:val="19"/>
              </w:rPr>
              <w:t xml:space="preserve">A lightweight keyword-conflict pass catches “seek emergency care” and “nothing to worry about” co-occurring</w:t>
            </w:r>
          </w:p>
        </w:tc>
        <w:tc>
          <w:tcPr>
            <w:tcW w:type="dxa" w:w="1800"/>
            <w:tcMar>
              <w:top w:type="dxa" w:w="80"/>
              <w:left w:type="dxa" w:w="100"/>
              <w:bottom w:type="dxa" w:w="80"/>
              <w:right w:type="dxa" w:w="100"/>
            </w:tcMar>
          </w:tcPr>
          <w:p>
            <w:r>
              <w:rPr>
                <w:b w:val="false"/>
                <w:bCs w:val="false"/>
                <w:color w:val="000000"/>
                <w:sz w:val="19"/>
                <w:szCs w:val="19"/>
              </w:rPr>
              <w:t xml:space="preserve">P054</w:t>
            </w:r>
          </w:p>
        </w:tc>
      </w:tr>
    </w:tbl>
    <w:p>
      <w:pPr>
        <w:spacing w:after="120"/>
      </w:pPr>
    </w:p>
    <w:p>
      <w:pPr>
        <w:spacing w:after="200" w:line="300"/>
        <w:jc w:val="both"/>
      </w:pPr>
      <w:r>
        <w:rPr>
          <w:b w:val="false"/>
          <w:bCs w:val="false"/>
          <w:i w:val="false"/>
          <w:iCs w:val="false"/>
        </w:rPr>
        <w:t xml:space="preserve">Two operational notes worth flagging alongside the content of the checks themselves: the validation pass needs a documented latency budget so it's never the thing quietly bypassed under load (Problem P058), and its trigger rate needs to be tracked as a first-class production metric with alerting on any upward trend — a rising violation-catch rate over time is itself an early signal of upstream prompt or model drift that's worth knowing about even though the validator is successfully catching it (Problem P060).</w:t>
      </w:r>
    </w:p>
    <w:p>
      <w:pPr>
        <w:pStyle w:val="Heading1"/>
        <w:pageBreakBefore/>
        <w:spacing w:after="240" w:before="480"/>
      </w:pPr>
      <w:r>
        <w:rPr>
          <w:b/>
          <w:bCs/>
          <w:color w:val="1F3864"/>
          <w:sz w:val="32"/>
          <w:szCs w:val="32"/>
        </w:rPr>
        <w:t xml:space="preserve">11. Clinical Decision Engine — The Optimal Hybrid Architecture</w:t>
      </w:r>
    </w:p>
    <w:p>
      <w:pPr>
        <w:spacing w:after="200" w:line="300"/>
        <w:jc w:val="both"/>
      </w:pPr>
      <w:r>
        <w:rPr>
          <w:b w:val="false"/>
          <w:bCs w:val="false"/>
          <w:i w:val="false"/>
          <w:iCs w:val="false"/>
        </w:rPr>
        <w:t xml:space="preserve">The brief asks directly: should Healio rely more on pure LLM reasoning, Bayesian networks, a medical knowledge graph, a rule engine, clinical guidelines, or scoring systems? The answer isn't a ranking — it's a division of labor, and Healio's existing architecture already has the right instinct for most of it. The recommendation is to make the boundaries between these components more rigid than they currently appear to be, not to change which components exist.</w:t>
      </w:r>
    </w:p>
    <w:p>
      <w:pPr>
        <w:pStyle w:val="Heading3"/>
        <w:spacing w:after="120" w:before="260"/>
      </w:pPr>
      <w:r>
        <w:rPr>
          <w:b/>
          <w:bCs/>
          <w:color w:val="2E75B6"/>
          <w:sz w:val="23"/>
          <w:szCs w:val="23"/>
        </w:rPr>
        <w:t xml:space="preserve">The recommended division of labor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Layer</w:t>
            </w:r>
          </w:p>
        </w:tc>
        <w:tc>
          <w:tcPr>
            <w:tcW w:type="dxa" w:w="3200"/>
            <w:shd w:fill="1F3864" w:val="clear"/>
            <w:tcMar>
              <w:top w:type="dxa" w:w="80"/>
              <w:left w:type="dxa" w:w="100"/>
              <w:bottom w:type="dxa" w:w="80"/>
              <w:right w:type="dxa" w:w="100"/>
            </w:tcMar>
          </w:tcPr>
          <w:p>
            <w:r>
              <w:rPr>
                <w:b/>
                <w:bCs/>
                <w:color w:val="FFFFFF"/>
                <w:sz w:val="19"/>
                <w:szCs w:val="19"/>
              </w:rPr>
              <w:t xml:space="preserve">Owns</w:t>
            </w:r>
          </w:p>
        </w:tc>
        <w:tc>
          <w:tcPr>
            <w:tcW w:type="dxa" w:w="4000"/>
            <w:shd w:fill="1F3864" w:val="clear"/>
            <w:tcMar>
              <w:top w:type="dxa" w:w="80"/>
              <w:left w:type="dxa" w:w="100"/>
              <w:bottom w:type="dxa" w:w="80"/>
              <w:right w:type="dxa" w:w="100"/>
            </w:tcMar>
          </w:tcPr>
          <w:p>
            <w:r>
              <w:rPr>
                <w:b/>
                <w:bCs/>
                <w:color w:val="FFFFFF"/>
                <w:sz w:val="19"/>
                <w:szCs w:val="19"/>
              </w:rPr>
              <w:t xml:space="preserve">Why an LLM shouldn't own this instead</w:t>
            </w:r>
          </w:p>
        </w:tc>
      </w:tr>
      <w:tr>
        <w:tc>
          <w:tcPr>
            <w:tcW w:type="dxa" w:w="2600"/>
            <w:tcMar>
              <w:top w:type="dxa" w:w="80"/>
              <w:left w:type="dxa" w:w="100"/>
              <w:bottom w:type="dxa" w:w="80"/>
              <w:right w:type="dxa" w:w="100"/>
            </w:tcMar>
          </w:tcPr>
          <w:p>
            <w:r>
              <w:rPr>
                <w:b w:val="false"/>
                <w:bCs w:val="false"/>
                <w:color w:val="000000"/>
                <w:sz w:val="19"/>
                <w:szCs w:val="19"/>
              </w:rPr>
              <w:t xml:space="preserve">Validated scoring systems
(NEWS2, NICE pediatric traffic-light, qSOFA-equivalent)</w:t>
            </w:r>
          </w:p>
        </w:tc>
        <w:tc>
          <w:tcPr>
            <w:tcW w:type="dxa" w:w="3200"/>
            <w:tcMar>
              <w:top w:type="dxa" w:w="80"/>
              <w:left w:type="dxa" w:w="100"/>
              <w:bottom w:type="dxa" w:w="80"/>
              <w:right w:type="dxa" w:w="100"/>
            </w:tcMar>
          </w:tcPr>
          <w:p>
            <w:r>
              <w:rPr>
                <w:b w:val="false"/>
                <w:bCs w:val="false"/>
                <w:color w:val="000000"/>
                <w:sz w:val="19"/>
                <w:szCs w:val="19"/>
              </w:rPr>
              <w:t xml:space="preserve">Escalation-tier determination for known presentation patterns</w:t>
            </w:r>
          </w:p>
        </w:tc>
        <w:tc>
          <w:tcPr>
            <w:tcW w:type="dxa" w:w="4000"/>
            <w:tcMar>
              <w:top w:type="dxa" w:w="80"/>
              <w:left w:type="dxa" w:w="100"/>
              <w:bottom w:type="dxa" w:w="80"/>
              <w:right w:type="dxa" w:w="100"/>
            </w:tcMar>
          </w:tcPr>
          <w:p>
            <w:r>
              <w:rPr>
                <w:b w:val="false"/>
                <w:bCs w:val="false"/>
                <w:color w:val="000000"/>
                <w:sz w:val="19"/>
                <w:szCs w:val="19"/>
              </w:rPr>
              <w:t xml:space="preserve">These exist precisely because they outperform unstructured clinical judgment on consistency — the whole point is to not re-derive them per-response</w:t>
            </w:r>
          </w:p>
        </w:tc>
      </w:tr>
      <w:tr>
        <w:tc>
          <w:tcPr>
            <w:tcW w:type="dxa" w:w="2600"/>
            <w:shd w:fill="F2F2F2" w:val="clear"/>
            <w:tcMar>
              <w:top w:type="dxa" w:w="80"/>
              <w:left w:type="dxa" w:w="100"/>
              <w:bottom w:type="dxa" w:w="80"/>
              <w:right w:type="dxa" w:w="100"/>
            </w:tcMar>
          </w:tcPr>
          <w:p>
            <w:r>
              <w:rPr>
                <w:b w:val="false"/>
                <w:bCs w:val="false"/>
                <w:color w:val="000000"/>
                <w:sz w:val="19"/>
                <w:szCs w:val="19"/>
              </w:rPr>
              <w:t xml:space="preserve">Rule engine
(“never-omit” checklist, contraindication/allergy checks, DMR Act banned-claims filter)</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Hard constraints that must never be violated regardless of probabilistic reasoning</w:t>
            </w:r>
          </w:p>
        </w:tc>
        <w:tc>
          <w:tcPr>
            <w:tcW w:type="dxa" w:w="4000"/>
            <w:shd w:fill="F2F2F2" w:val="clear"/>
            <w:tcMar>
              <w:top w:type="dxa" w:w="80"/>
              <w:left w:type="dxa" w:w="100"/>
              <w:bottom w:type="dxa" w:w="80"/>
              <w:right w:type="dxa" w:w="100"/>
            </w:tcMar>
          </w:tcPr>
          <w:p>
            <w:r>
              <w:rPr>
                <w:b w:val="false"/>
                <w:bCs w:val="false"/>
                <w:color w:val="000000"/>
                <w:sz w:val="19"/>
                <w:szCs w:val="19"/>
              </w:rPr>
              <w:t xml:space="preserve">Rules should be unconditional; a probabilistic layer can and will occasionally rank a hard constraint's violation as “likely fine”</w:t>
            </w:r>
          </w:p>
        </w:tc>
      </w:tr>
      <w:tr>
        <w:tc>
          <w:tcPr>
            <w:tcW w:type="dxa" w:w="2600"/>
            <w:tcMar>
              <w:top w:type="dxa" w:w="80"/>
              <w:left w:type="dxa" w:w="100"/>
              <w:bottom w:type="dxa" w:w="80"/>
              <w:right w:type="dxa" w:w="100"/>
            </w:tcMar>
          </w:tcPr>
          <w:p>
            <w:r>
              <w:rPr>
                <w:b w:val="false"/>
                <w:bCs w:val="false"/>
                <w:color w:val="000000"/>
                <w:sz w:val="19"/>
                <w:szCs w:val="19"/>
              </w:rPr>
              <w:t xml:space="preserve">Bayesian/MCMC engine</w:t>
            </w:r>
          </w:p>
        </w:tc>
        <w:tc>
          <w:tcPr>
            <w:tcW w:type="dxa" w:w="3200"/>
            <w:tcMar>
              <w:top w:type="dxa" w:w="80"/>
              <w:left w:type="dxa" w:w="100"/>
              <w:bottom w:type="dxa" w:w="80"/>
              <w:right w:type="dxa" w:w="100"/>
            </w:tcMar>
          </w:tcPr>
          <w:p>
            <w:r>
              <w:rPr>
                <w:b w:val="false"/>
                <w:bCs w:val="false"/>
                <w:color w:val="000000"/>
                <w:sz w:val="19"/>
                <w:szCs w:val="19"/>
              </w:rPr>
              <w:t xml:space="preserve">Differential diagnosis and posterior probability given evidence</w:t>
            </w:r>
          </w:p>
        </w:tc>
        <w:tc>
          <w:tcPr>
            <w:tcW w:type="dxa" w:w="4000"/>
            <w:tcMar>
              <w:top w:type="dxa" w:w="80"/>
              <w:left w:type="dxa" w:w="100"/>
              <w:bottom w:type="dxa" w:w="80"/>
              <w:right w:type="dxa" w:w="100"/>
            </w:tcMar>
          </w:tcPr>
          <w:p>
            <w:r>
              <w:rPr>
                <w:b w:val="false"/>
                <w:bCs w:val="false"/>
                <w:color w:val="000000"/>
                <w:sz w:val="19"/>
                <w:szCs w:val="19"/>
              </w:rPr>
              <w:t xml:space="preserve">This is genuinely a probabilistic-inference problem, and MCMC is a legitimate, appropriate tool for it — keep this layer, strengthen its inputs (Section 4)</w:t>
            </w:r>
          </w:p>
        </w:tc>
      </w:tr>
      <w:tr>
        <w:tc>
          <w:tcPr>
            <w:tcW w:type="dxa" w:w="2600"/>
            <w:shd w:fill="F2F2F2" w:val="clear"/>
            <w:tcMar>
              <w:top w:type="dxa" w:w="80"/>
              <w:left w:type="dxa" w:w="100"/>
              <w:bottom w:type="dxa" w:w="80"/>
              <w:right w:type="dxa" w:w="100"/>
            </w:tcMar>
          </w:tcPr>
          <w:p>
            <w:r>
              <w:rPr>
                <w:b w:val="false"/>
                <w:bCs w:val="false"/>
                <w:color w:val="000000"/>
                <w:sz w:val="19"/>
                <w:szCs w:val="19"/>
              </w:rPr>
              <w:t xml:space="preserve">Medical knowledge graph / structured knowledge base</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Ground-truth facts: drug interactions, formulary contents, guideline-sourced likelihood ratios</w:t>
            </w:r>
          </w:p>
        </w:tc>
        <w:tc>
          <w:tcPr>
            <w:tcW w:type="dxa" w:w="4000"/>
            <w:shd w:fill="F2F2F2" w:val="clear"/>
            <w:tcMar>
              <w:top w:type="dxa" w:w="80"/>
              <w:left w:type="dxa" w:w="100"/>
              <w:bottom w:type="dxa" w:w="80"/>
              <w:right w:type="dxa" w:w="100"/>
            </w:tcMar>
          </w:tcPr>
          <w:p>
            <w:r>
              <w:rPr>
                <w:b w:val="false"/>
                <w:bCs w:val="false"/>
                <w:color w:val="000000"/>
                <w:sz w:val="19"/>
                <w:szCs w:val="19"/>
              </w:rPr>
              <w:t xml:space="preserve">This is retrieval of known facts, not reasoning — an LLM regenerating a drug interaction from training data instead of looking it up is exactly the hallucination surface in Section 7</w:t>
            </w:r>
          </w:p>
        </w:tc>
      </w:tr>
      <w:tr>
        <w:tc>
          <w:tcPr>
            <w:tcW w:type="dxa" w:w="2600"/>
            <w:tcMar>
              <w:top w:type="dxa" w:w="80"/>
              <w:left w:type="dxa" w:w="100"/>
              <w:bottom w:type="dxa" w:w="80"/>
              <w:right w:type="dxa" w:w="100"/>
            </w:tcMar>
          </w:tcPr>
          <w:p>
            <w:r>
              <w:rPr>
                <w:b w:val="false"/>
                <w:bCs w:val="false"/>
                <w:color w:val="000000"/>
                <w:sz w:val="19"/>
                <w:szCs w:val="19"/>
              </w:rPr>
              <w:t xml:space="preserve">RAG retrieval (Boericke, Ayurvedic, and any future sources)</w:t>
            </w:r>
          </w:p>
        </w:tc>
        <w:tc>
          <w:tcPr>
            <w:tcW w:type="dxa" w:w="3200"/>
            <w:tcMar>
              <w:top w:type="dxa" w:w="80"/>
              <w:left w:type="dxa" w:w="100"/>
              <w:bottom w:type="dxa" w:w="80"/>
              <w:right w:type="dxa" w:w="100"/>
            </w:tcMar>
          </w:tcPr>
          <w:p>
            <w:r>
              <w:rPr>
                <w:b w:val="false"/>
                <w:bCs w:val="false"/>
                <w:color w:val="000000"/>
                <w:sz w:val="19"/>
                <w:szCs w:val="19"/>
              </w:rPr>
              <w:t xml:space="preserve">Surfacing relevant reference passages for the remedy layer</w:t>
            </w:r>
          </w:p>
        </w:tc>
        <w:tc>
          <w:tcPr>
            <w:tcW w:type="dxa" w:w="4000"/>
            <w:tcMar>
              <w:top w:type="dxa" w:w="80"/>
              <w:left w:type="dxa" w:w="100"/>
              <w:bottom w:type="dxa" w:w="80"/>
              <w:right w:type="dxa" w:w="100"/>
            </w:tcMar>
          </w:tcPr>
          <w:p>
            <w:r>
              <w:rPr>
                <w:b w:val="false"/>
                <w:bCs w:val="false"/>
                <w:color w:val="000000"/>
                <w:sz w:val="19"/>
                <w:szCs w:val="19"/>
              </w:rPr>
              <w:t xml:space="preserve">Correct use of RAG — augmenting a response with retrieved text, not asking the LLM to reason as if it were a clinical database</w:t>
            </w:r>
          </w:p>
        </w:tc>
      </w:tr>
      <w:tr>
        <w:tc>
          <w:tcPr>
            <w:tcW w:type="dxa" w:w="2600"/>
            <w:shd w:fill="F2F2F2" w:val="clear"/>
            <w:tcMar>
              <w:top w:type="dxa" w:w="80"/>
              <w:left w:type="dxa" w:w="100"/>
              <w:bottom w:type="dxa" w:w="80"/>
              <w:right w:type="dxa" w:w="100"/>
            </w:tcMar>
          </w:tcPr>
          <w:p>
            <w:r>
              <w:rPr>
                <w:b w:val="false"/>
                <w:bCs w:val="false"/>
                <w:color w:val="000000"/>
                <w:sz w:val="19"/>
                <w:szCs w:val="19"/>
              </w:rPr>
              <w:t xml:space="preserve">LLM</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Natural-language understanding of free text, conversational flow, and formatting the deterministic layers' output into clear, appropriately-toned language</w:t>
            </w:r>
          </w:p>
        </w:tc>
        <w:tc>
          <w:tcPr>
            <w:tcW w:type="dxa" w:w="4000"/>
            <w:shd w:fill="F2F2F2" w:val="clear"/>
            <w:tcMar>
              <w:top w:type="dxa" w:w="80"/>
              <w:left w:type="dxa" w:w="100"/>
              <w:bottom w:type="dxa" w:w="80"/>
              <w:right w:type="dxa" w:w="100"/>
            </w:tcMar>
          </w:tcPr>
          <w:p>
            <w:r>
              <w:rPr>
                <w:b w:val="false"/>
                <w:bCs w:val="false"/>
                <w:color w:val="000000"/>
                <w:sz w:val="19"/>
                <w:szCs w:val="19"/>
              </w:rPr>
              <w:t xml:space="preserve">This is genuinely an LLM's strength — language, not the source of clinical truth</w:t>
            </w:r>
          </w:p>
        </w:tc>
      </w:tr>
    </w:tbl>
    <w:p>
      <w:pPr>
        <w:pStyle w:val="Heading3"/>
        <w:spacing w:after="120" w:before="260"/>
      </w:pPr>
      <w:r>
        <w:rPr>
          <w:b/>
          <w:bCs/>
          <w:color w:val="2E75B6"/>
          <w:sz w:val="23"/>
          <w:szCs w:val="23"/>
        </w:rPr>
        <w:t xml:space="preserve">The one architectural principle worth enforcing everywhere</w:t>
      </w:r>
    </w:p>
    <w:p>
      <w:pPr>
        <w:spacing w:after="200" w:line="300"/>
        <w:jc w:val="both"/>
      </w:pPr>
      <w:r>
        <w:rPr>
          <w:b w:val="false"/>
          <w:bCs w:val="false"/>
          <w:i w:val="false"/>
          <w:iCs w:val="false"/>
        </w:rPr>
        <w:t xml:space="preserve">Every deterministic layer above should be able to produce its output with the LLM entirely absent — a structured differential, an escalation tier, a list of contraindications. The LLM's job is exclusively to parse the patient's free text into structured input for those layers, and to turn their structured output into readable, appropriately-toned language. If at any point the LLM is generating clinical substance rather than formatting already-determined substance, that's the boundary being violated, and it's the specific failure mode behind several items in this report: dosage hallucination (Section 7), tone-drift-into-clinical-content risk (Problem P017), and the general reason a fallback-model swap shouldn't be able to change what the system concludes, only how it says it (Problem P045).</w:t>
      </w:r>
    </w:p>
    <w:p>
      <w:pPr>
        <w:pStyle w:val="Heading1"/>
        <w:pageBreakBefore/>
        <w:spacing w:after="240" w:before="480"/>
      </w:pPr>
      <w:r>
        <w:rPr>
          <w:b/>
          <w:bCs/>
          <w:color w:val="1F3864"/>
          <w:sz w:val="32"/>
          <w:szCs w:val="32"/>
        </w:rPr>
        <w:t xml:space="preserve">12. Explainability</w:t>
      </w:r>
    </w:p>
    <w:p>
      <w:pPr>
        <w:spacing w:after="200" w:line="300"/>
        <w:jc w:val="both"/>
      </w:pPr>
      <w:r>
        <w:rPr>
          <w:b w:val="false"/>
          <w:bCs w:val="false"/>
          <w:i w:val="false"/>
          <w:iCs w:val="false"/>
        </w:rPr>
        <w:t xml:space="preserve">The brief's explainability checklist — why this disease, why not others, supporting and missing symptoms, confidence, evidence, risk factors, urgency, recommended tests, recommended next questions — is close to a complete specification for a good diagnostic-reasoning output schema. What determines whether Healio can actually produce this reliably is whether the underlying data exists to explain, which connects directly to two gaps already flagged: likelihood-ratio provenance (Problem P024) and evidence-volume-aware confidence (Problem P025).</w:t>
      </w:r>
    </w:p>
    <w:p>
      <w:pPr>
        <w:pStyle w:val="Heading3"/>
        <w:spacing w:after="120" w:before="260"/>
      </w:pPr>
      <w:r>
        <w:rPr>
          <w:b/>
          <w:bCs/>
          <w:color w:val="2E75B6"/>
          <w:sz w:val="23"/>
          <w:szCs w:val="23"/>
        </w:rPr>
        <w:t xml:space="preserve">A recommended explainability schema</w:t>
      </w:r>
    </w:p>
    <w:p>
      <w:pPr>
        <w:spacing w:after="200" w:line="300"/>
        <w:jc w:val="both"/>
      </w:pPr>
      <w:r>
        <w:rPr>
          <w:b w:val="false"/>
          <w:bCs w:val="false"/>
          <w:i w:val="false"/>
          <w:iCs w:val="false"/>
        </w:rPr>
        <w:t xml:space="preserve">Each differential-diagnosis item in the output should carry:</w:t>
      </w:r>
    </w:p>
    <w:p>
      <w:pPr>
        <w:pStyle w:val="ListParagraph"/>
        <w:numPr>
          <w:ilvl w:val="0"/>
          <w:numId w:val="2"/>
        </w:numPr>
        <w:spacing w:after="100" w:line="280"/>
      </w:pPr>
      <w:r>
        <w:rPr>
          <w:b/>
          <w:bCs/>
        </w:rPr>
        <w:t xml:space="preserve">Why this disease: </w:t>
      </w:r>
      <w:r>
        <w:t xml:space="preserve">the specific supporting symptoms/evidence that raised its posterior, named explicitly rather than implied by the diagnosis label alone.</w:t>
      </w:r>
    </w:p>
    <w:p>
      <w:pPr>
        <w:pStyle w:val="ListParagraph"/>
        <w:numPr>
          <w:ilvl w:val="0"/>
          <w:numId w:val="2"/>
        </w:numPr>
        <w:spacing w:after="100" w:line="280"/>
      </w:pPr>
      <w:r>
        <w:rPr>
          <w:b/>
          <w:bCs/>
        </w:rPr>
        <w:t xml:space="preserve">Why not others: </w:t>
      </w:r>
      <w:r>
        <w:t xml:space="preserve">at minimum, the top 1–2 alternative differentials and the specific evidence that ranked this one higher — this is what actually builds trust in a probabilistic system, more than the top diagnosis alone.</w:t>
      </w:r>
    </w:p>
    <w:p>
      <w:pPr>
        <w:pStyle w:val="ListParagraph"/>
        <w:numPr>
          <w:ilvl w:val="0"/>
          <w:numId w:val="2"/>
        </w:numPr>
        <w:spacing w:after="100" w:line="280"/>
      </w:pPr>
      <w:r>
        <w:rPr>
          <w:b/>
          <w:bCs/>
        </w:rPr>
        <w:t xml:space="preserve">Confidence, qualified by evidence volume: </w:t>
      </w:r>
      <w:r>
        <w:t xml:space="preserve">not just a percentage, but whether that percentage rests on 2 data points or 15 (Problem P025).</w:t>
      </w:r>
    </w:p>
    <w:p>
      <w:pPr>
        <w:pStyle w:val="ListParagraph"/>
        <w:numPr>
          <w:ilvl w:val="0"/>
          <w:numId w:val="2"/>
        </w:numPr>
        <w:spacing w:after="100" w:line="280"/>
      </w:pPr>
      <w:r>
        <w:rPr>
          <w:b/>
          <w:bCs/>
        </w:rPr>
        <w:t xml:space="preserve">Missing information that would sharpen the estimate: </w:t>
      </w:r>
      <w:r>
        <w:t xml:space="preserve">this doubles as the system's own justification for any follow-up question it asks next — an interview question with a stated clinical rationale (Problem P094) is this same information surfaced conversationally.</w:t>
      </w:r>
    </w:p>
    <w:p>
      <w:pPr>
        <w:pStyle w:val="ListParagraph"/>
        <w:numPr>
          <w:ilvl w:val="0"/>
          <w:numId w:val="2"/>
        </w:numPr>
        <w:spacing w:after="100" w:line="280"/>
      </w:pPr>
      <w:r>
        <w:rPr>
          <w:b/>
          <w:bCs/>
        </w:rPr>
        <w:t xml:space="preserve">Risk factors and urgency: </w:t>
      </w:r>
      <w:r>
        <w:t xml:space="preserve">explicitly separated from probability — a low-probability, high-urgency item (the cannot-miss diagnoses in Section 4) needs to be visually and structurally distinct from a high-probability, low-urgency one, not just ranked below it.</w:t>
      </w:r>
    </w:p>
    <w:p>
      <w:pPr>
        <w:pStyle w:val="ListParagraph"/>
        <w:numPr>
          <w:ilvl w:val="0"/>
          <w:numId w:val="2"/>
        </w:numPr>
        <w:spacing w:after="100" w:line="280"/>
      </w:pPr>
      <w:r>
        <w:rPr>
          <w:b/>
          <w:bCs/>
        </w:rPr>
        <w:t xml:space="preserve">Recommended next steps: </w:t>
      </w:r>
      <w:r>
        <w:t xml:space="preserve">tests or specialist type, paired with the general-physician-first fallback given uneven specialist access across India (Problem P055).</w:t>
      </w:r>
    </w:p>
    <w:p>
      <w:pPr>
        <w:spacing w:after="200" w:line="300"/>
        <w:jc w:val="both"/>
      </w:pPr>
      <w:r>
        <w:rPr>
          <w:b w:val="false"/>
          <w:bCs w:val="false"/>
          <w:i w:val="false"/>
          <w:iCs w:val="false"/>
        </w:rPr>
        <w:t xml:space="preserve">None of this requires new infrastructure beyond what's already planned — it requires the knowledge base's likelihood ratios to carry source and confidence metadata (Section 4) and the output schema to surface that metadata rather than collapsing it into a single number. This is also, not incidentally, exactly the kind of structured reasoning trail a CDSCO SaMD review or a future clinical-safety incident investigation will want to see (Section 13).</w:t>
      </w:r>
    </w:p>
    <w:p>
      <w:pPr>
        <w:pStyle w:val="Heading1"/>
        <w:pageBreakBefore/>
        <w:spacing w:after="240" w:before="480"/>
      </w:pPr>
      <w:r>
        <w:rPr>
          <w:b/>
          <w:bCs/>
          <w:color w:val="1F3864"/>
          <w:sz w:val="32"/>
          <w:szCs w:val="32"/>
        </w:rPr>
        <w:t xml:space="preserve">13. Competitive Benchmark</w:t>
      </w:r>
    </w:p>
    <w:p>
      <w:pPr>
        <w:spacing w:after="200" w:line="300"/>
        <w:jc w:val="both"/>
      </w:pPr>
      <w:r>
        <w:rPr>
          <w:b w:val="false"/>
          <w:bCs w:val="false"/>
          <w:i w:val="false"/>
          <w:iCs w:val="false"/>
        </w:rPr>
        <w:t xml:space="preserve">The brief asks for a comparison against a long list of named products. Public capability claims for several of these were verified via live search during this audit rather than pulled from training data, specifically because this category has moved fast enough that stale knowledge would mislead more than it would help — one of the named products (Babylon Health) no longer operates in its original form, which is itself the most important data point in this section.</w:t>
      </w:r>
    </w:p>
    <w:p>
      <w:pPr>
        <w:pStyle w:val="Heading3"/>
        <w:spacing w:after="120" w:before="260"/>
      </w:pPr>
      <w:r>
        <w:rPr>
          <w:b/>
          <w:bCs/>
          <w:color w:val="2E75B6"/>
          <w:sz w:val="23"/>
          <w:szCs w:val="23"/>
        </w:rPr>
        <w:t xml:space="preserve">The comparison the brief's list actually contains two different markets</w:t>
      </w:r>
    </w:p>
    <w:p>
      <w:pPr>
        <w:spacing w:after="200" w:line="300"/>
        <w:jc w:val="both"/>
      </w:pPr>
      <w:r>
        <w:rPr>
          <w:b w:val="false"/>
          <w:bCs w:val="false"/>
          <w:i w:val="false"/>
          <w:iCs w:val="false"/>
        </w:rPr>
        <w:t xml:space="preserve">Grouping ChatGPT, Claude, Gemini, and Copilot alongside Ada Health, Infermedica, and K Health, and then alongside OpenEvidence and Glass Health, treats three genuinely different product categories as one comparison set. General AI assistants are not symptom checkers and don't claim to be. Ada Health, Infermedica, K Health, Buoy Health, and Healio itself are patient-facing triage/symptom-checker tools. OpenEvidence and Glass Health are clinician-facing decision-support tools — built for a doctor to query mid-consultation, not for a patient to self-triage. Healio competes directly with the middle category only; the other two are worth understanding but aren't the relevant competitive set.</w:t>
      </w:r>
    </w:p>
    <w:p>
      <w:pPr>
        <w:pStyle w:val="Heading3"/>
        <w:spacing w:after="120" w:before="260"/>
      </w:pPr>
      <w:r>
        <w:rPr>
          <w:b/>
          <w:bCs/>
          <w:color w:val="2E75B6"/>
          <w:sz w:val="23"/>
          <w:szCs w:val="23"/>
        </w:rPr>
        <w:t xml:space="preserve">Patient-facing symptom checkers — Healio's actual competitive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2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Product</w:t>
            </w:r>
          </w:p>
        </w:tc>
        <w:tc>
          <w:tcPr>
            <w:tcW w:type="dxa" w:w="4300"/>
            <w:shd w:fill="1F3864" w:val="clear"/>
            <w:tcMar>
              <w:top w:type="dxa" w:w="80"/>
              <w:left w:type="dxa" w:w="100"/>
              <w:bottom w:type="dxa" w:w="80"/>
              <w:right w:type="dxa" w:w="100"/>
            </w:tcMar>
          </w:tcPr>
          <w:p>
            <w:r>
              <w:rPr>
                <w:b/>
                <w:bCs/>
                <w:color w:val="FFFFFF"/>
                <w:sz w:val="19"/>
                <w:szCs w:val="19"/>
              </w:rPr>
              <w:t xml:space="preserve">Current status &amp; positioning</w:t>
            </w:r>
          </w:p>
        </w:tc>
        <w:tc>
          <w:tcPr>
            <w:tcW w:type="dxa" w:w="3200"/>
            <w:shd w:fill="1F3864" w:val="clear"/>
            <w:tcMar>
              <w:top w:type="dxa" w:w="80"/>
              <w:left w:type="dxa" w:w="100"/>
              <w:bottom w:type="dxa" w:w="80"/>
              <w:right w:type="dxa" w:w="100"/>
            </w:tcMar>
          </w:tcPr>
          <w:p>
            <w:r>
              <w:rPr>
                <w:b/>
                <w:bCs/>
                <w:color w:val="FFFFFF"/>
                <w:sz w:val="19"/>
                <w:szCs w:val="19"/>
              </w:rPr>
              <w:t xml:space="preserve">What's instructive for Healio</w:t>
            </w:r>
          </w:p>
        </w:tc>
      </w:tr>
      <w:tr>
        <w:tc>
          <w:tcPr>
            <w:tcW w:type="dxa" w:w="1900"/>
            <w:tcMar>
              <w:top w:type="dxa" w:w="80"/>
              <w:left w:type="dxa" w:w="100"/>
              <w:bottom w:type="dxa" w:w="80"/>
              <w:right w:type="dxa" w:w="100"/>
            </w:tcMar>
          </w:tcPr>
          <w:p>
            <w:r>
              <w:rPr>
                <w:b w:val="false"/>
                <w:bCs w:val="false"/>
                <w:color w:val="000000"/>
                <w:sz w:val="19"/>
                <w:szCs w:val="19"/>
              </w:rPr>
              <w:t xml:space="preserve">Ada Health</w:t>
            </w:r>
          </w:p>
        </w:tc>
        <w:tc>
          <w:tcPr>
            <w:tcW w:type="dxa" w:w="4300"/>
            <w:tcMar>
              <w:top w:type="dxa" w:w="80"/>
              <w:left w:type="dxa" w:w="100"/>
              <w:bottom w:type="dxa" w:w="80"/>
              <w:right w:type="dxa" w:w="100"/>
            </w:tcMar>
          </w:tcPr>
          <w:p>
            <w:r>
              <w:rPr>
                <w:b w:val="false"/>
                <w:bCs w:val="false"/>
                <w:color w:val="000000"/>
                <w:sz w:val="19"/>
                <w:szCs w:val="19"/>
              </w:rPr>
              <w:t xml:space="preserve">Active; EU-MDR Class IIa certified medical device. Explicitly positions itself as a triage/information tool, not a diagnostic one, in its own terms of use — a published BMJ Open study found physicians still outperform it on top-1 diagnostic accuracy.</w:t>
            </w:r>
          </w:p>
        </w:tc>
        <w:tc>
          <w:tcPr>
            <w:tcW w:type="dxa" w:w="3200"/>
            <w:tcMar>
              <w:top w:type="dxa" w:w="80"/>
              <w:left w:type="dxa" w:w="100"/>
              <w:bottom w:type="dxa" w:w="80"/>
              <w:right w:type="dxa" w:w="100"/>
            </w:tcMar>
          </w:tcPr>
          <w:p>
            <w:r>
              <w:rPr>
                <w:b w:val="false"/>
                <w:bCs w:val="false"/>
                <w:color w:val="000000"/>
                <w:sz w:val="19"/>
                <w:szCs w:val="19"/>
              </w:rPr>
              <w:t xml:space="preserve">The explicit “triage, not diagnosis” framing in-product (not just in legal text) is a direct model for Problem P096/Improvement I096, and is also a real regulatory-classification lever (Section 14).</w:t>
            </w:r>
          </w:p>
        </w:tc>
      </w:tr>
      <w:tr>
        <w:tc>
          <w:tcPr>
            <w:tcW w:type="dxa" w:w="1900"/>
            <w:shd w:fill="F2F2F2" w:val="clear"/>
            <w:tcMar>
              <w:top w:type="dxa" w:w="80"/>
              <w:left w:type="dxa" w:w="100"/>
              <w:bottom w:type="dxa" w:w="80"/>
              <w:right w:type="dxa" w:w="100"/>
            </w:tcMar>
          </w:tcPr>
          <w:p>
            <w:r>
              <w:rPr>
                <w:b w:val="false"/>
                <w:bCs w:val="false"/>
                <w:color w:val="000000"/>
                <w:sz w:val="19"/>
                <w:szCs w:val="19"/>
              </w:rPr>
              <w:t xml:space="preserve">Infermedica</w:t>
            </w:r>
          </w:p>
        </w:tc>
        <w:tc>
          <w:tcPr>
            <w:tcW w:type="dxa" w:w="4300"/>
            <w:shd w:fill="F2F2F2" w:val="clear"/>
            <w:tcMar>
              <w:top w:type="dxa" w:w="80"/>
              <w:left w:type="dxa" w:w="100"/>
              <w:bottom w:type="dxa" w:w="80"/>
              <w:right w:type="dxa" w:w="100"/>
            </w:tcMar>
          </w:tcPr>
          <w:p>
            <w:r>
              <w:rPr>
                <w:b w:val="false"/>
                <w:bCs w:val="false"/>
                <w:color w:val="000000"/>
                <w:sz w:val="19"/>
                <w:szCs w:val="19"/>
              </w:rPr>
              <w:t xml:space="preserve">Active; primarily B2B/white-label — licenses a symptom-checking API and knowledge engine (reported at 1,360+ symptoms, 740+ conditions) to insurers and health systems rather than running its own consumer-facing app.</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A physician-curated, versioned knowledge base at that scale is a useful reference point for what “comprehensive coverage” looks like quantitatively — relevant to Section 5's specialty-scoring rubric.</w:t>
            </w:r>
          </w:p>
        </w:tc>
      </w:tr>
      <w:tr>
        <w:tc>
          <w:tcPr>
            <w:tcW w:type="dxa" w:w="1900"/>
            <w:tcMar>
              <w:top w:type="dxa" w:w="80"/>
              <w:left w:type="dxa" w:w="100"/>
              <w:bottom w:type="dxa" w:w="80"/>
              <w:right w:type="dxa" w:w="100"/>
            </w:tcMar>
          </w:tcPr>
          <w:p>
            <w:r>
              <w:rPr>
                <w:b w:val="false"/>
                <w:bCs w:val="false"/>
                <w:color w:val="000000"/>
                <w:sz w:val="19"/>
                <w:szCs w:val="19"/>
              </w:rPr>
              <w:t xml:space="preserve">K Health</w:t>
            </w:r>
          </w:p>
        </w:tc>
        <w:tc>
          <w:tcPr>
            <w:tcW w:type="dxa" w:w="4300"/>
            <w:tcMar>
              <w:top w:type="dxa" w:w="80"/>
              <w:left w:type="dxa" w:w="100"/>
              <w:bottom w:type="dxa" w:w="80"/>
              <w:right w:type="dxa" w:w="100"/>
            </w:tcMar>
          </w:tcPr>
          <w:p>
            <w:r>
              <w:rPr>
                <w:b w:val="false"/>
                <w:bCs w:val="false"/>
                <w:color w:val="000000"/>
                <w:sz w:val="19"/>
                <w:szCs w:val="19"/>
              </w:rPr>
              <w:t xml:space="preserve">Active consumer app; compares a user's presentation against a large de-identified patient-outcomes dataset and bundles the symptom checker with access to licensed physicians for follow-up care and prescriptions. Terms of service explicitly disclaim that the symptom checker output is a diagnosis.</w:t>
            </w:r>
          </w:p>
        </w:tc>
        <w:tc>
          <w:tcPr>
            <w:tcW w:type="dxa" w:w="3200"/>
            <w:tcMar>
              <w:top w:type="dxa" w:w="80"/>
              <w:left w:type="dxa" w:w="100"/>
              <w:bottom w:type="dxa" w:w="80"/>
              <w:right w:type="dxa" w:w="100"/>
            </w:tcMar>
          </w:tcPr>
          <w:p>
            <w:r>
              <w:rPr>
                <w:b w:val="false"/>
                <w:bCs w:val="false"/>
                <w:color w:val="000000"/>
                <w:sz w:val="19"/>
                <w:szCs w:val="19"/>
              </w:rPr>
              <w:t xml:space="preserve">The outcome-linked dataset approach is the long-term direction Problem P100/Improvement I100 (post-consultation outcome tracking) is pointed at — K Health's model shows what that data asset eventually enables (a care-continuity product, not just a checker).</w:t>
            </w:r>
          </w:p>
        </w:tc>
      </w:tr>
      <w:tr>
        <w:tc>
          <w:tcPr>
            <w:tcW w:type="dxa" w:w="1900"/>
            <w:shd w:fill="F2F2F2" w:val="clear"/>
            <w:tcMar>
              <w:top w:type="dxa" w:w="80"/>
              <w:left w:type="dxa" w:w="100"/>
              <w:bottom w:type="dxa" w:w="80"/>
              <w:right w:type="dxa" w:w="100"/>
            </w:tcMar>
          </w:tcPr>
          <w:p>
            <w:r>
              <w:rPr>
                <w:b w:val="false"/>
                <w:bCs w:val="false"/>
                <w:color w:val="000000"/>
                <w:sz w:val="19"/>
                <w:szCs w:val="19"/>
              </w:rPr>
              <w:t xml:space="preserve">Buoy Health</w:t>
            </w:r>
          </w:p>
        </w:tc>
        <w:tc>
          <w:tcPr>
            <w:tcW w:type="dxa" w:w="4300"/>
            <w:shd w:fill="F2F2F2" w:val="clear"/>
            <w:tcMar>
              <w:top w:type="dxa" w:w="80"/>
              <w:left w:type="dxa" w:w="100"/>
              <w:bottom w:type="dxa" w:w="80"/>
              <w:right w:type="dxa" w:w="100"/>
            </w:tcMar>
          </w:tcPr>
          <w:p>
            <w:r>
              <w:rPr>
                <w:b w:val="false"/>
                <w:bCs w:val="false"/>
                <w:color w:val="000000"/>
                <w:sz w:val="19"/>
                <w:szCs w:val="19"/>
              </w:rPr>
              <w:t xml:space="preserve">Active, smaller team, US-focused; combines symptom checking with care navigation (routing users to the right level and type of care).</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Care-navigation as a distinct feature from diagnosis is directly relevant to Problem P055/P097 — recommending a realistic next step, not just a correct one.</w:t>
            </w:r>
          </w:p>
        </w:tc>
      </w:tr>
      <w:tr>
        <w:tc>
          <w:tcPr>
            <w:tcW w:type="dxa" w:w="1900"/>
            <w:tcMar>
              <w:top w:type="dxa" w:w="80"/>
              <w:left w:type="dxa" w:w="100"/>
              <w:bottom w:type="dxa" w:w="80"/>
              <w:right w:type="dxa" w:w="100"/>
            </w:tcMar>
          </w:tcPr>
          <w:p>
            <w:r>
              <w:rPr>
                <w:b w:val="false"/>
                <w:bCs w:val="false"/>
                <w:color w:val="000000"/>
                <w:sz w:val="19"/>
                <w:szCs w:val="19"/>
              </w:rPr>
              <w:t xml:space="preserve">Babylon Health</w:t>
            </w:r>
          </w:p>
        </w:tc>
        <w:tc>
          <w:tcPr>
            <w:tcW w:type="dxa" w:w="4300"/>
            <w:tcMar>
              <w:top w:type="dxa" w:w="80"/>
              <w:left w:type="dxa" w:w="100"/>
              <w:bottom w:type="dxa" w:w="80"/>
              <w:right w:type="dxa" w:w="100"/>
            </w:tcMar>
          </w:tcPr>
          <w:p>
            <w:r>
              <w:rPr>
                <w:b w:val="false"/>
                <w:bCs w:val="false"/>
                <w:color w:val="000000"/>
                <w:sz w:val="19"/>
                <w:szCs w:val="19"/>
              </w:rPr>
              <w:t xml:space="preserve">No longer operating in its original form — the company filed for insolvency in 2023; its UK operations were acquired by eMed Healthcare UK.</w:t>
            </w:r>
          </w:p>
        </w:tc>
        <w:tc>
          <w:tcPr>
            <w:tcW w:type="dxa" w:w="3200"/>
            <w:tcMar>
              <w:top w:type="dxa" w:w="80"/>
              <w:left w:type="dxa" w:w="100"/>
              <w:bottom w:type="dxa" w:w="80"/>
              <w:right w:type="dxa" w:w="100"/>
            </w:tcMar>
          </w:tcPr>
          <w:p>
            <w:r>
              <w:rPr>
                <w:b w:val="false"/>
                <w:bCs w:val="false"/>
                <w:color w:val="000000"/>
                <w:sz w:val="19"/>
                <w:szCs w:val="19"/>
              </w:rPr>
              <w:t xml:space="preserve">The most important lesson in this table. Babylon's collapse was widely attributed to a mix of clinical-safety and accuracy controversies, regulatory scrutiny, and business-model strain — not a technology failure alone. It's a direct, real-world illustration of why Sections 7 and 14 (safety and testing) matter as much as diagnostic sophistication for a company at Healio's stage aiming for the same category.</w:t>
            </w:r>
          </w:p>
        </w:tc>
      </w:tr>
      <w:tr>
        <w:tc>
          <w:tcPr>
            <w:tcW w:type="dxa" w:w="1900"/>
            <w:shd w:fill="F2F2F2" w:val="clear"/>
            <w:tcMar>
              <w:top w:type="dxa" w:w="80"/>
              <w:left w:type="dxa" w:w="100"/>
              <w:bottom w:type="dxa" w:w="80"/>
              <w:right w:type="dxa" w:w="100"/>
            </w:tcMar>
          </w:tcPr>
          <w:p>
            <w:r>
              <w:rPr>
                <w:b w:val="false"/>
                <w:bCs w:val="false"/>
                <w:color w:val="000000"/>
                <w:sz w:val="19"/>
                <w:szCs w:val="19"/>
              </w:rPr>
              <w:t xml:space="preserve">Mayo Clinic Symptom Checker</w:t>
            </w:r>
          </w:p>
        </w:tc>
        <w:tc>
          <w:tcPr>
            <w:tcW w:type="dxa" w:w="4300"/>
            <w:shd w:fill="F2F2F2" w:val="clear"/>
            <w:tcMar>
              <w:top w:type="dxa" w:w="80"/>
              <w:left w:type="dxa" w:w="100"/>
              <w:bottom w:type="dxa" w:w="80"/>
              <w:right w:type="dxa" w:w="100"/>
            </w:tcMar>
          </w:tcPr>
          <w:p>
            <w:r>
              <w:rPr>
                <w:b w:val="false"/>
                <w:bCs w:val="false"/>
                <w:color w:val="000000"/>
                <w:sz w:val="19"/>
                <w:szCs w:val="19"/>
              </w:rPr>
              <w:t xml:space="preserve">A long-established, conservatively-scoped, guideline-based tool from a major health system — not competing on AI sophistication, but on institutional trust.</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A reminder that trust and brand credibility are themselves a competitive dimension, not just accuracy — relevant to Section 13's point about how Healio's clinical advisors and any future institutional partnerships factor into credibility, separate from the technology itself.</w:t>
            </w:r>
          </w:p>
        </w:tc>
      </w:tr>
    </w:tbl>
    <w:p>
      <w:pPr>
        <w:pStyle w:val="Heading3"/>
        <w:spacing w:after="120" w:before="260"/>
      </w:pPr>
      <w:r>
        <w:rPr>
          <w:b/>
          <w:bCs/>
          <w:color w:val="2E75B6"/>
          <w:sz w:val="23"/>
          <w:szCs w:val="23"/>
        </w:rPr>
        <w:t xml:space="preserve">Clinician-facing decision support — a different category, worth learning from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2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Product</w:t>
            </w:r>
          </w:p>
        </w:tc>
        <w:tc>
          <w:tcPr>
            <w:tcW w:type="dxa" w:w="4300"/>
            <w:shd w:fill="1F3864" w:val="clear"/>
            <w:tcMar>
              <w:top w:type="dxa" w:w="80"/>
              <w:left w:type="dxa" w:w="100"/>
              <w:bottom w:type="dxa" w:w="80"/>
              <w:right w:type="dxa" w:w="100"/>
            </w:tcMar>
          </w:tcPr>
          <w:p>
            <w:r>
              <w:rPr>
                <w:b/>
                <w:bCs/>
                <w:color w:val="FFFFFF"/>
                <w:sz w:val="19"/>
                <w:szCs w:val="19"/>
              </w:rPr>
              <w:t xml:space="preserve">Current status &amp; positioning</w:t>
            </w:r>
          </w:p>
        </w:tc>
        <w:tc>
          <w:tcPr>
            <w:tcW w:type="dxa" w:w="3200"/>
            <w:shd w:fill="1F3864" w:val="clear"/>
            <w:tcMar>
              <w:top w:type="dxa" w:w="80"/>
              <w:left w:type="dxa" w:w="100"/>
              <w:bottom w:type="dxa" w:w="80"/>
              <w:right w:type="dxa" w:w="100"/>
            </w:tcMar>
          </w:tcPr>
          <w:p>
            <w:r>
              <w:rPr>
                <w:b/>
                <w:bCs/>
                <w:color w:val="FFFFFF"/>
                <w:sz w:val="19"/>
                <w:szCs w:val="19"/>
              </w:rPr>
              <w:t xml:space="preserve">What's instructive for Healio</w:t>
            </w:r>
          </w:p>
        </w:tc>
      </w:tr>
      <w:tr>
        <w:tc>
          <w:tcPr>
            <w:tcW w:type="dxa" w:w="1900"/>
            <w:tcMar>
              <w:top w:type="dxa" w:w="80"/>
              <w:left w:type="dxa" w:w="100"/>
              <w:bottom w:type="dxa" w:w="80"/>
              <w:right w:type="dxa" w:w="100"/>
            </w:tcMar>
          </w:tcPr>
          <w:p>
            <w:r>
              <w:rPr>
                <w:b w:val="false"/>
                <w:bCs w:val="false"/>
                <w:color w:val="000000"/>
                <w:sz w:val="19"/>
                <w:szCs w:val="19"/>
              </w:rPr>
              <w:t xml:space="preserve">OpenEvidence</w:t>
            </w:r>
          </w:p>
        </w:tc>
        <w:tc>
          <w:tcPr>
            <w:tcW w:type="dxa" w:w="4300"/>
            <w:tcMar>
              <w:top w:type="dxa" w:w="80"/>
              <w:left w:type="dxa" w:w="100"/>
              <w:bottom w:type="dxa" w:w="80"/>
              <w:right w:type="dxa" w:w="100"/>
            </w:tcMar>
          </w:tcPr>
          <w:p>
            <w:r>
              <w:rPr>
                <w:b w:val="false"/>
                <w:bCs w:val="false"/>
                <w:color w:val="000000"/>
                <w:sz w:val="19"/>
                <w:szCs w:val="19"/>
              </w:rPr>
              <w:t xml:space="preserve">Active and scaling rapidly; a free, advertising-supported, evidence-cited clinical answer engine reportedly used by several hundred thousand verified physicians, with content partnerships including major medical journals.</w:t>
            </w:r>
          </w:p>
        </w:tc>
        <w:tc>
          <w:tcPr>
            <w:tcW w:type="dxa" w:w="3200"/>
            <w:tcMar>
              <w:top w:type="dxa" w:w="80"/>
              <w:left w:type="dxa" w:w="100"/>
              <w:bottom w:type="dxa" w:w="80"/>
              <w:right w:type="dxa" w:w="100"/>
            </w:tcMar>
          </w:tcPr>
          <w:p>
            <w:r>
              <w:rPr>
                <w:b w:val="false"/>
                <w:bCs w:val="false"/>
                <w:color w:val="000000"/>
                <w:sz w:val="19"/>
                <w:szCs w:val="19"/>
              </w:rPr>
              <w:t xml:space="preserve">The evidence-citation-first design — answers grounded in and linked to source literature — is the clinician-facing analogue of the likelihood-ratio-provenance gap flagged in Section 4 (Problem P024). It's a strong model for what a credible evidence trail looks like at scale.</w:t>
            </w:r>
          </w:p>
        </w:tc>
      </w:tr>
      <w:tr>
        <w:tc>
          <w:tcPr>
            <w:tcW w:type="dxa" w:w="1900"/>
            <w:shd w:fill="F2F2F2" w:val="clear"/>
            <w:tcMar>
              <w:top w:type="dxa" w:w="80"/>
              <w:left w:type="dxa" w:w="100"/>
              <w:bottom w:type="dxa" w:w="80"/>
              <w:right w:type="dxa" w:w="100"/>
            </w:tcMar>
          </w:tcPr>
          <w:p>
            <w:r>
              <w:rPr>
                <w:b w:val="false"/>
                <w:bCs w:val="false"/>
                <w:color w:val="000000"/>
                <w:sz w:val="19"/>
                <w:szCs w:val="19"/>
              </w:rPr>
              <w:t xml:space="preserve">Glass Health</w:t>
            </w:r>
          </w:p>
        </w:tc>
        <w:tc>
          <w:tcPr>
            <w:tcW w:type="dxa" w:w="4300"/>
            <w:shd w:fill="F2F2F2" w:val="clear"/>
            <w:tcMar>
              <w:top w:type="dxa" w:w="80"/>
              <w:left w:type="dxa" w:w="100"/>
              <w:bottom w:type="dxa" w:w="80"/>
              <w:right w:type="dxa" w:w="100"/>
            </w:tcMar>
          </w:tcPr>
          <w:p>
            <w:r>
              <w:rPr>
                <w:b w:val="false"/>
                <w:bCs w:val="false"/>
                <w:color w:val="000000"/>
                <w:sz w:val="19"/>
                <w:szCs w:val="19"/>
              </w:rPr>
              <w:t xml:space="preserve">Active; a clinician-facing tool for generating differential diagnoses and clinical documentation, plus ambient-scribing features, used within clinical workflows rather than by patients directly.</w:t>
            </w:r>
          </w:p>
        </w:tc>
        <w:tc>
          <w:tcPr>
            <w:tcW w:type="dxa" w:w="3200"/>
            <w:shd w:fill="F2F2F2" w:val="clear"/>
            <w:tcMar>
              <w:top w:type="dxa" w:w="80"/>
              <w:left w:type="dxa" w:w="100"/>
              <w:bottom w:type="dxa" w:w="80"/>
              <w:right w:type="dxa" w:w="100"/>
            </w:tcMar>
          </w:tcPr>
          <w:p>
            <w:r>
              <w:rPr>
                <w:b w:val="false"/>
                <w:bCs w:val="false"/>
                <w:color w:val="000000"/>
                <w:sz w:val="19"/>
                <w:szCs w:val="19"/>
              </w:rPr>
              <w:t xml:space="preserve">A useful reminder that “differential diagnosis generation” as a capability is well-precedented and taken seriously by clinicians when the tool is positioned correctly — the caution is entirely about positioning a patient-facing product with the same underlying capability.</w:t>
            </w:r>
          </w:p>
        </w:tc>
      </w:tr>
      <w:tr>
        <w:tc>
          <w:tcPr>
            <w:tcW w:type="dxa" w:w="1900"/>
            <w:tcMar>
              <w:top w:type="dxa" w:w="80"/>
              <w:left w:type="dxa" w:w="100"/>
              <w:bottom w:type="dxa" w:w="80"/>
              <w:right w:type="dxa" w:w="100"/>
            </w:tcMar>
          </w:tcPr>
          <w:p>
            <w:r>
              <w:rPr>
                <w:b w:val="false"/>
                <w:bCs w:val="false"/>
                <w:color w:val="000000"/>
                <w:sz w:val="19"/>
                <w:szCs w:val="19"/>
              </w:rPr>
              <w:t xml:space="preserve">DynaMed / UpToDate / BMJ Best Practice</w:t>
            </w:r>
          </w:p>
        </w:tc>
        <w:tc>
          <w:tcPr>
            <w:tcW w:type="dxa" w:w="4300"/>
            <w:tcMar>
              <w:top w:type="dxa" w:w="80"/>
              <w:left w:type="dxa" w:w="100"/>
              <w:bottom w:type="dxa" w:w="80"/>
              <w:right w:type="dxa" w:w="100"/>
            </w:tcMar>
          </w:tcPr>
          <w:p>
            <w:r>
              <w:rPr>
                <w:b w:val="false"/>
                <w:bCs w:val="false"/>
                <w:color w:val="000000"/>
                <w:sz w:val="19"/>
                <w:szCs w:val="19"/>
              </w:rPr>
              <w:t xml:space="preserve">Long-established, subscription clinical reference databases used by practicing clinicians for point-of-care guideline lookup — not AI-reasoning products.</w:t>
            </w:r>
          </w:p>
        </w:tc>
        <w:tc>
          <w:tcPr>
            <w:tcW w:type="dxa" w:w="3200"/>
            <w:tcMar>
              <w:top w:type="dxa" w:w="80"/>
              <w:left w:type="dxa" w:w="100"/>
              <w:bottom w:type="dxa" w:w="80"/>
              <w:right w:type="dxa" w:w="100"/>
            </w:tcMar>
          </w:tcPr>
          <w:p>
            <w:r>
              <w:rPr>
                <w:b w:val="false"/>
                <w:bCs w:val="false"/>
                <w:color w:val="000000"/>
                <w:sz w:val="19"/>
                <w:szCs w:val="19"/>
              </w:rPr>
              <w:t xml:space="preserve">These represent the gold standard for guideline provenance and currency that Section 4's likelihood-ratio-source-tagging recommendation is ultimately aiming toward, even though Healio's product shape (patient-facing chat) is entirely different from theirs.</w:t>
            </w:r>
          </w:p>
        </w:tc>
      </w:tr>
    </w:tbl>
    <w:p>
      <w:pPr>
        <w:pStyle w:val="Heading3"/>
        <w:spacing w:after="120" w:before="260"/>
      </w:pPr>
      <w:r>
        <w:rPr>
          <w:b/>
          <w:bCs/>
          <w:color w:val="2E75B6"/>
          <w:sz w:val="23"/>
          <w:szCs w:val="23"/>
        </w:rPr>
        <w:t xml:space="preserve">Where Healio is genuinely differentiated</w:t>
      </w:r>
    </w:p>
    <w:p>
      <w:pPr>
        <w:spacing w:after="200" w:line="300"/>
        <w:jc w:val="both"/>
      </w:pPr>
      <w:r>
        <w:rPr>
          <w:b w:val="false"/>
          <w:bCs w:val="false"/>
          <w:i w:val="false"/>
          <w:iCs w:val="false"/>
        </w:rPr>
        <w:t xml:space="preserve">None of the products above combine a Bayesian diagnostic core with dual-track Homeopathy and Ayurveda knowledge retrieval for an Indian user base. That's a real, defensible differentiation — not a hedge or a consolation point. It's also exactly why Sections 5, 7, and 14 of this report treat the remedy layer's safety and regulatory posture with the same seriousness as the core diagnostic engine: a genuine differentiator carries genuine, undiluted responsibility for getting it right, since there's no established competitor playbook to lean on for this specific combination the way there is for a conventional Western-medicine symptom checker.</w:t>
      </w:r>
    </w:p>
    <w:p>
      <w:pPr>
        <w:pStyle w:val="Heading1"/>
        <w:pageBreakBefore/>
        <w:spacing w:after="240" w:before="480"/>
      </w:pPr>
      <w:r>
        <w:rPr>
          <w:b/>
          <w:bCs/>
          <w:color w:val="1F3864"/>
          <w:sz w:val="32"/>
          <w:szCs w:val="32"/>
        </w:rPr>
        <w:t xml:space="preserve">14. Production Readiness Scorecard</w:t>
      </w:r>
    </w:p>
    <w:p>
      <w:pPr>
        <w:spacing w:after="200" w:line="300"/>
        <w:jc w:val="both"/>
      </w:pPr>
      <w:r>
        <w:rPr>
          <w:b w:val="false"/>
          <w:bCs w:val="false"/>
          <w:i w:val="false"/>
          <w:iCs w:val="false"/>
        </w:rPr>
        <w:t xml:space="preserve">The earlier technical audit already scored several engineering dimensions; this scorecard keeps those where this review found no reason to revise them, and adds the dimensions this specific audit was scoped to look at — clinical-safety validation, regulatory readiness, and testing maturity — which weren't its focus. Scores are out of 10, and the basis for each is stated rather than left as an unsupported number.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Category</w:t>
            </w:r>
          </w:p>
        </w:tc>
        <w:tc>
          <w:tcPr>
            <w:tcW w:type="dxa" w:w="1400"/>
            <w:shd w:fill="1F3864" w:val="clear"/>
            <w:tcMar>
              <w:top w:type="dxa" w:w="80"/>
              <w:left w:type="dxa" w:w="100"/>
              <w:bottom w:type="dxa" w:w="80"/>
              <w:right w:type="dxa" w:w="100"/>
            </w:tcMar>
          </w:tcPr>
          <w:p>
            <w:r>
              <w:rPr>
                <w:b/>
                <w:bCs/>
                <w:color w:val="FFFFFF"/>
                <w:sz w:val="19"/>
                <w:szCs w:val="19"/>
              </w:rPr>
              <w:t xml:space="preserve">Score</w:t>
            </w:r>
          </w:p>
        </w:tc>
        <w:tc>
          <w:tcPr>
            <w:tcW w:type="dxa" w:w="5000"/>
            <w:shd w:fill="1F3864" w:val="clear"/>
            <w:tcMar>
              <w:top w:type="dxa" w:w="80"/>
              <w:left w:type="dxa" w:w="100"/>
              <w:bottom w:type="dxa" w:w="80"/>
              <w:right w:type="dxa" w:w="100"/>
            </w:tcMar>
          </w:tcPr>
          <w:p>
            <w:r>
              <w:rPr>
                <w:b/>
                <w:bCs/>
                <w:color w:val="FFFFFF"/>
                <w:sz w:val="19"/>
                <w:szCs w:val="19"/>
              </w:rPr>
              <w:t xml:space="preserve">Basis</w:t>
            </w:r>
          </w:p>
        </w:tc>
      </w:tr>
      <w:tr>
        <w:tc>
          <w:tcPr>
            <w:tcW w:type="dxa" w:w="3000"/>
            <w:tcMar>
              <w:top w:type="dxa" w:w="80"/>
              <w:left w:type="dxa" w:w="100"/>
              <w:bottom w:type="dxa" w:w="80"/>
              <w:right w:type="dxa" w:w="100"/>
            </w:tcMar>
          </w:tcPr>
          <w:p>
            <w:r>
              <w:rPr>
                <w:b w:val="false"/>
                <w:bCs w:val="false"/>
                <w:color w:val="000000"/>
                <w:sz w:val="19"/>
                <w:szCs w:val="19"/>
              </w:rPr>
              <w:t xml:space="preserve">Architecture</w:t>
            </w:r>
          </w:p>
        </w:tc>
        <w:tc>
          <w:tcPr>
            <w:tcW w:type="dxa" w:w="1400"/>
            <w:tcMar>
              <w:top w:type="dxa" w:w="80"/>
              <w:left w:type="dxa" w:w="100"/>
              <w:bottom w:type="dxa" w:w="80"/>
              <w:right w:type="dxa" w:w="100"/>
            </w:tcMar>
          </w:tcPr>
          <w:p>
            <w:r>
              <w:rPr>
                <w:b w:val="false"/>
                <w:bCs w:val="false"/>
                <w:color w:val="000000"/>
                <w:sz w:val="19"/>
                <w:szCs w:val="19"/>
              </w:rPr>
              <w:t xml:space="preserve">7.5 / 10</w:t>
            </w:r>
          </w:p>
        </w:tc>
        <w:tc>
          <w:tcPr>
            <w:tcW w:type="dxa" w:w="5000"/>
            <w:tcMar>
              <w:top w:type="dxa" w:w="80"/>
              <w:left w:type="dxa" w:w="100"/>
              <w:bottom w:type="dxa" w:w="80"/>
              <w:right w:type="dxa" w:w="100"/>
            </w:tcMar>
          </w:tcPr>
          <w:p>
            <w:r>
              <w:rPr>
                <w:b w:val="false"/>
                <w:bCs w:val="false"/>
                <w:color w:val="000000"/>
                <w:sz w:val="19"/>
                <w:szCs w:val="19"/>
              </w:rPr>
              <w:t xml:space="preserve">Strong separation of concerns across RAG/MCMC/safety-guard/LLM layers (Section 3); loses points for the client-trust boundary (P015) and unverified pipeline observability (P068).</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Clinical reasoning quality</w:t>
            </w:r>
          </w:p>
        </w:tc>
        <w:tc>
          <w:tcPr>
            <w:tcW w:type="dxa" w:w="1400"/>
            <w:shd w:fill="F2F2F2" w:val="clear"/>
            <w:tcMar>
              <w:top w:type="dxa" w:w="80"/>
              <w:left w:type="dxa" w:w="100"/>
              <w:bottom w:type="dxa" w:w="80"/>
              <w:right w:type="dxa" w:w="100"/>
            </w:tcMar>
          </w:tcPr>
          <w:p>
            <w:r>
              <w:rPr>
                <w:b w:val="false"/>
                <w:bCs w:val="false"/>
                <w:color w:val="000000"/>
                <w:sz w:val="19"/>
                <w:szCs w:val="19"/>
              </w:rPr>
              <w:t xml:space="preserve">6 / 10</w:t>
            </w:r>
          </w:p>
        </w:tc>
        <w:tc>
          <w:tcPr>
            <w:tcW w:type="dxa" w:w="5000"/>
            <w:shd w:fill="F2F2F2" w:val="clear"/>
            <w:tcMar>
              <w:top w:type="dxa" w:w="80"/>
              <w:left w:type="dxa" w:w="100"/>
              <w:bottom w:type="dxa" w:w="80"/>
              <w:right w:type="dxa" w:w="100"/>
            </w:tcMar>
          </w:tcPr>
          <w:p>
            <w:r>
              <w:rPr>
                <w:b w:val="false"/>
                <w:bCs w:val="false"/>
                <w:color w:val="000000"/>
                <w:sz w:val="19"/>
                <w:szCs w:val="19"/>
              </w:rPr>
              <w:t xml:space="preserve">Right primitives (Bayesian updating, demographic conditioning); missing cannot-miss-diagnosis protection and atypical-presentation rules keep this from consultant-level (Section 4).</w:t>
            </w:r>
          </w:p>
        </w:tc>
      </w:tr>
      <w:tr>
        <w:tc>
          <w:tcPr>
            <w:tcW w:type="dxa" w:w="3000"/>
            <w:tcMar>
              <w:top w:type="dxa" w:w="80"/>
              <w:left w:type="dxa" w:w="100"/>
              <w:bottom w:type="dxa" w:w="80"/>
              <w:right w:type="dxa" w:w="100"/>
            </w:tcMar>
          </w:tcPr>
          <w:p>
            <w:r>
              <w:rPr>
                <w:b w:val="false"/>
                <w:bCs w:val="false"/>
                <w:color w:val="000000"/>
                <w:sz w:val="19"/>
                <w:szCs w:val="19"/>
              </w:rPr>
              <w:t xml:space="preserve">Clinical safety validation</w:t>
            </w:r>
          </w:p>
        </w:tc>
        <w:tc>
          <w:tcPr>
            <w:tcW w:type="dxa" w:w="1400"/>
            <w:tcMar>
              <w:top w:type="dxa" w:w="80"/>
              <w:left w:type="dxa" w:w="100"/>
              <w:bottom w:type="dxa" w:w="80"/>
              <w:right w:type="dxa" w:w="100"/>
            </w:tcMar>
          </w:tcPr>
          <w:p>
            <w:r>
              <w:rPr>
                <w:b w:val="false"/>
                <w:bCs w:val="false"/>
                <w:color w:val="000000"/>
                <w:sz w:val="19"/>
                <w:szCs w:val="19"/>
              </w:rPr>
              <w:t xml:space="preserve">4 / 10</w:t>
            </w:r>
          </w:p>
        </w:tc>
        <w:tc>
          <w:tcPr>
            <w:tcW w:type="dxa" w:w="5000"/>
            <w:tcMar>
              <w:top w:type="dxa" w:w="80"/>
              <w:left w:type="dxa" w:w="100"/>
              <w:bottom w:type="dxa" w:w="80"/>
              <w:right w:type="dxa" w:w="100"/>
            </w:tcMar>
          </w:tcPr>
          <w:p>
            <w:r>
              <w:rPr>
                <w:b w:val="false"/>
                <w:bCs w:val="false"/>
                <w:color w:val="000000"/>
                <w:sz w:val="19"/>
                <w:szCs w:val="19"/>
              </w:rPr>
              <w:t xml:space="preserve">Real infrastructure (escalation tiers, allergy checks, output validator) exists but isn't confirmed as tested against a clinical-safety-specific suite or a clinician-validated golden dataset (Section 7, Section 15).</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Memory &amp; personalization</w:t>
            </w:r>
          </w:p>
        </w:tc>
        <w:tc>
          <w:tcPr>
            <w:tcW w:type="dxa" w:w="1400"/>
            <w:shd w:fill="F2F2F2" w:val="clear"/>
            <w:tcMar>
              <w:top w:type="dxa" w:w="80"/>
              <w:left w:type="dxa" w:w="100"/>
              <w:bottom w:type="dxa" w:w="80"/>
              <w:right w:type="dxa" w:w="100"/>
            </w:tcMar>
          </w:tcPr>
          <w:p>
            <w:r>
              <w:rPr>
                <w:b w:val="false"/>
                <w:bCs w:val="false"/>
                <w:color w:val="000000"/>
                <w:sz w:val="19"/>
                <w:szCs w:val="19"/>
              </w:rPr>
              <w:t xml:space="preserve">3.5 / 10</w:t>
            </w:r>
          </w:p>
        </w:tc>
        <w:tc>
          <w:tcPr>
            <w:tcW w:type="dxa" w:w="5000"/>
            <w:shd w:fill="F2F2F2" w:val="clear"/>
            <w:tcMar>
              <w:top w:type="dxa" w:w="80"/>
              <w:left w:type="dxa" w:w="100"/>
              <w:bottom w:type="dxa" w:w="80"/>
              <w:right w:type="dxa" w:w="100"/>
            </w:tcMar>
          </w:tcPr>
          <w:p>
            <w:r>
              <w:rPr>
                <w:b w:val="false"/>
                <w:bCs w:val="false"/>
                <w:color w:val="000000"/>
                <w:sz w:val="19"/>
                <w:szCs w:val="19"/>
              </w:rPr>
              <w:t xml:space="preserve">A strong design exists on paper; no persistent cross-session memory is confirmed as built, which this report treats as the most safety-relevant of the unbuilt pieces (Section 8).</w:t>
            </w:r>
          </w:p>
        </w:tc>
      </w:tr>
      <w:tr>
        <w:tc>
          <w:tcPr>
            <w:tcW w:type="dxa" w:w="3000"/>
            <w:tcMar>
              <w:top w:type="dxa" w:w="80"/>
              <w:left w:type="dxa" w:w="100"/>
              <w:bottom w:type="dxa" w:w="80"/>
              <w:right w:type="dxa" w:w="100"/>
            </w:tcMar>
          </w:tcPr>
          <w:p>
            <w:r>
              <w:rPr>
                <w:b w:val="false"/>
                <w:bCs w:val="false"/>
                <w:color w:val="000000"/>
                <w:sz w:val="19"/>
                <w:szCs w:val="19"/>
              </w:rPr>
              <w:t xml:space="preserve">Prompt engineering</w:t>
            </w:r>
          </w:p>
        </w:tc>
        <w:tc>
          <w:tcPr>
            <w:tcW w:type="dxa" w:w="1400"/>
            <w:tcMar>
              <w:top w:type="dxa" w:w="80"/>
              <w:left w:type="dxa" w:w="100"/>
              <w:bottom w:type="dxa" w:w="80"/>
              <w:right w:type="dxa" w:w="100"/>
            </w:tcMar>
          </w:tcPr>
          <w:p>
            <w:r>
              <w:rPr>
                <w:b w:val="false"/>
                <w:bCs w:val="false"/>
                <w:color w:val="000000"/>
                <w:sz w:val="19"/>
                <w:szCs w:val="19"/>
              </w:rPr>
              <w:t xml:space="preserve">6 / 10</w:t>
            </w:r>
          </w:p>
        </w:tc>
        <w:tc>
          <w:tcPr>
            <w:tcW w:type="dxa" w:w="5000"/>
            <w:tcMar>
              <w:top w:type="dxa" w:w="80"/>
              <w:left w:type="dxa" w:w="100"/>
              <w:bottom w:type="dxa" w:w="80"/>
              <w:right w:type="dxa" w:w="100"/>
            </w:tcMar>
          </w:tcPr>
          <w:p>
            <w:r>
              <w:rPr>
                <w:b w:val="false"/>
                <w:bCs w:val="false"/>
                <w:color w:val="000000"/>
                <w:sz w:val="19"/>
                <w:szCs w:val="19"/>
              </w:rPr>
              <w:t xml:space="preserve">Well-structured layer hierarchy; positional priority isn't confirmed as adversarially tested, and RAG-injection resistance isn't confirmed (Section 9).</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Output validation</w:t>
            </w:r>
          </w:p>
        </w:tc>
        <w:tc>
          <w:tcPr>
            <w:tcW w:type="dxa" w:w="1400"/>
            <w:shd w:fill="F2F2F2" w:val="clear"/>
            <w:tcMar>
              <w:top w:type="dxa" w:w="80"/>
              <w:left w:type="dxa" w:w="100"/>
              <w:bottom w:type="dxa" w:w="80"/>
              <w:right w:type="dxa" w:w="100"/>
            </w:tcMar>
          </w:tcPr>
          <w:p>
            <w:r>
              <w:rPr>
                <w:b w:val="false"/>
                <w:bCs w:val="false"/>
                <w:color w:val="000000"/>
                <w:sz w:val="19"/>
                <w:szCs w:val="19"/>
              </w:rPr>
              <w:t xml:space="preserve">6 / 10</w:t>
            </w:r>
          </w:p>
        </w:tc>
        <w:tc>
          <w:tcPr>
            <w:tcW w:type="dxa" w:w="5000"/>
            <w:shd w:fill="F2F2F2" w:val="clear"/>
            <w:tcMar>
              <w:top w:type="dxa" w:w="80"/>
              <w:left w:type="dxa" w:w="100"/>
              <w:bottom w:type="dxa" w:w="80"/>
              <w:right w:type="dxa" w:w="100"/>
            </w:tcMar>
          </w:tcPr>
          <w:p>
            <w:r>
              <w:rPr>
                <w:b w:val="false"/>
                <w:bCs w:val="false"/>
                <w:color w:val="000000"/>
                <w:sz w:val="19"/>
                <w:szCs w:val="19"/>
              </w:rPr>
              <w:t xml:space="preserve">A real pattern exists and correctly targets the confirmed bug; needs generalizing from a point-fix into a rule-based framework with a defined remediation path (Section 10).</w:t>
            </w:r>
          </w:p>
        </w:tc>
      </w:tr>
      <w:tr>
        <w:tc>
          <w:tcPr>
            <w:tcW w:type="dxa" w:w="3000"/>
            <w:tcMar>
              <w:top w:type="dxa" w:w="80"/>
              <w:left w:type="dxa" w:w="100"/>
              <w:bottom w:type="dxa" w:w="80"/>
              <w:right w:type="dxa" w:w="100"/>
            </w:tcMar>
          </w:tcPr>
          <w:p>
            <w:r>
              <w:rPr>
                <w:b w:val="false"/>
                <w:bCs w:val="false"/>
                <w:color w:val="000000"/>
                <w:sz w:val="19"/>
                <w:szCs w:val="19"/>
              </w:rPr>
              <w:t xml:space="preserve">Regulatory readiness</w:t>
            </w:r>
          </w:p>
        </w:tc>
        <w:tc>
          <w:tcPr>
            <w:tcW w:type="dxa" w:w="1400"/>
            <w:tcMar>
              <w:top w:type="dxa" w:w="80"/>
              <w:left w:type="dxa" w:w="100"/>
              <w:bottom w:type="dxa" w:w="80"/>
              <w:right w:type="dxa" w:w="100"/>
            </w:tcMar>
          </w:tcPr>
          <w:p>
            <w:r>
              <w:rPr>
                <w:b w:val="false"/>
                <w:bCs w:val="false"/>
                <w:color w:val="000000"/>
                <w:sz w:val="19"/>
                <w:szCs w:val="19"/>
              </w:rPr>
              <w:t xml:space="preserve">2.5 / 10</w:t>
            </w:r>
          </w:p>
        </w:tc>
        <w:tc>
          <w:tcPr>
            <w:tcW w:type="dxa" w:w="5000"/>
            <w:tcMar>
              <w:top w:type="dxa" w:w="80"/>
              <w:left w:type="dxa" w:w="100"/>
              <w:bottom w:type="dxa" w:w="80"/>
              <w:right w:type="dxa" w:w="100"/>
            </w:tcMar>
          </w:tcPr>
          <w:p>
            <w:r>
              <w:rPr>
                <w:b w:val="false"/>
                <w:bCs w:val="false"/>
                <w:color w:val="000000"/>
                <w:sz w:val="19"/>
                <w:szCs w:val="19"/>
              </w:rPr>
              <w:t xml:space="preserve">No evidenced CDSCO SaMD classification or DPDP gap assessment for a product whose core function (presenting diagnoses) is squarely inside a now-mandatory licensing regime (Section 15).</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Testing &amp; QA maturity</w:t>
            </w:r>
          </w:p>
        </w:tc>
        <w:tc>
          <w:tcPr>
            <w:tcW w:type="dxa" w:w="1400"/>
            <w:shd w:fill="F2F2F2" w:val="clear"/>
            <w:tcMar>
              <w:top w:type="dxa" w:w="80"/>
              <w:left w:type="dxa" w:w="100"/>
              <w:bottom w:type="dxa" w:w="80"/>
              <w:right w:type="dxa" w:w="100"/>
            </w:tcMar>
          </w:tcPr>
          <w:p>
            <w:r>
              <w:rPr>
                <w:b w:val="false"/>
                <w:bCs w:val="false"/>
                <w:color w:val="000000"/>
                <w:sz w:val="19"/>
                <w:szCs w:val="19"/>
              </w:rPr>
              <w:t xml:space="preserve">3 / 10</w:t>
            </w:r>
          </w:p>
        </w:tc>
        <w:tc>
          <w:tcPr>
            <w:tcW w:type="dxa" w:w="5000"/>
            <w:shd w:fill="F2F2F2" w:val="clear"/>
            <w:tcMar>
              <w:top w:type="dxa" w:w="80"/>
              <w:left w:type="dxa" w:w="100"/>
              <w:bottom w:type="dxa" w:w="80"/>
              <w:right w:type="dxa" w:w="100"/>
            </w:tcMar>
          </w:tcPr>
          <w:p>
            <w:r>
              <w:rPr>
                <w:b w:val="false"/>
                <w:bCs w:val="false"/>
                <w:color w:val="000000"/>
                <w:sz w:val="19"/>
                <w:szCs w:val="19"/>
              </w:rPr>
              <w:t xml:space="preserve">General code-correctness testing is described; a dedicated clinical-safety suite, bias testing, and a golden dataset are not confirmed as existing (Section 16).</w:t>
            </w:r>
          </w:p>
        </w:tc>
      </w:tr>
      <w:tr>
        <w:tc>
          <w:tcPr>
            <w:tcW w:type="dxa" w:w="3000"/>
            <w:tcMar>
              <w:top w:type="dxa" w:w="80"/>
              <w:left w:type="dxa" w:w="100"/>
              <w:bottom w:type="dxa" w:w="80"/>
              <w:right w:type="dxa" w:w="100"/>
            </w:tcMar>
          </w:tcPr>
          <w:p>
            <w:r>
              <w:rPr>
                <w:b w:val="false"/>
                <w:bCs w:val="false"/>
                <w:color w:val="000000"/>
                <w:sz w:val="19"/>
                <w:szCs w:val="19"/>
              </w:rPr>
              <w:t xml:space="preserve">Security &amp; privacy</w:t>
            </w:r>
          </w:p>
        </w:tc>
        <w:tc>
          <w:tcPr>
            <w:tcW w:type="dxa" w:w="1400"/>
            <w:tcMar>
              <w:top w:type="dxa" w:w="80"/>
              <w:left w:type="dxa" w:w="100"/>
              <w:bottom w:type="dxa" w:w="80"/>
              <w:right w:type="dxa" w:w="100"/>
            </w:tcMar>
          </w:tcPr>
          <w:p>
            <w:r>
              <w:rPr>
                <w:b w:val="false"/>
                <w:bCs w:val="false"/>
                <w:color w:val="000000"/>
                <w:sz w:val="19"/>
                <w:szCs w:val="19"/>
              </w:rPr>
              <w:t xml:space="preserve">6.5 / 10</w:t>
            </w:r>
          </w:p>
        </w:tc>
        <w:tc>
          <w:tcPr>
            <w:tcW w:type="dxa" w:w="5000"/>
            <w:tcMar>
              <w:top w:type="dxa" w:w="80"/>
              <w:left w:type="dxa" w:w="100"/>
              <w:bottom w:type="dxa" w:w="80"/>
              <w:right w:type="dxa" w:w="100"/>
            </w:tcMar>
          </w:tcPr>
          <w:p>
            <w:r>
              <w:rPr>
                <w:b w:val="false"/>
                <w:bCs w:val="false"/>
                <w:color w:val="000000"/>
                <w:sz w:val="19"/>
                <w:szCs w:val="19"/>
              </w:rPr>
              <w:t xml:space="preserve">Supabase RLS and token auth are sound building blocks; cross-user isolation hasn't been independently verified and data-residency mapping against DPDP isn't confirmed (Section 3, Section 15).</w:t>
            </w:r>
          </w:p>
        </w:tc>
      </w:tr>
      <w:tr>
        <w:tc>
          <w:tcPr>
            <w:tcW w:type="dxa" w:w="3000"/>
            <w:shd w:fill="F2F2F2" w:val="clear"/>
            <w:tcMar>
              <w:top w:type="dxa" w:w="80"/>
              <w:left w:type="dxa" w:w="100"/>
              <w:bottom w:type="dxa" w:w="80"/>
              <w:right w:type="dxa" w:w="100"/>
            </w:tcMar>
          </w:tcPr>
          <w:p>
            <w:r>
              <w:rPr>
                <w:b w:val="false"/>
                <w:bCs w:val="false"/>
                <w:color w:val="000000"/>
                <w:sz w:val="19"/>
                <w:szCs w:val="19"/>
              </w:rPr>
              <w:t xml:space="preserve">Scalability &amp; observability</w:t>
            </w:r>
          </w:p>
        </w:tc>
        <w:tc>
          <w:tcPr>
            <w:tcW w:type="dxa" w:w="1400"/>
            <w:shd w:fill="F2F2F2" w:val="clear"/>
            <w:tcMar>
              <w:top w:type="dxa" w:w="80"/>
              <w:left w:type="dxa" w:w="100"/>
              <w:bottom w:type="dxa" w:w="80"/>
              <w:right w:type="dxa" w:w="100"/>
            </w:tcMar>
          </w:tcPr>
          <w:p>
            <w:r>
              <w:rPr>
                <w:b w:val="false"/>
                <w:bCs w:val="false"/>
                <w:color w:val="000000"/>
                <w:sz w:val="19"/>
                <w:szCs w:val="19"/>
              </w:rPr>
              <w:t xml:space="preserve">6 / 10</w:t>
            </w:r>
          </w:p>
        </w:tc>
        <w:tc>
          <w:tcPr>
            <w:tcW w:type="dxa" w:w="5000"/>
            <w:shd w:fill="F2F2F2" w:val="clear"/>
            <w:tcMar>
              <w:top w:type="dxa" w:w="80"/>
              <w:left w:type="dxa" w:w="100"/>
              <w:bottom w:type="dxa" w:w="80"/>
              <w:right w:type="dxa" w:w="100"/>
            </w:tcMar>
          </w:tcPr>
          <w:p>
            <w:r>
              <w:rPr>
                <w:b w:val="false"/>
                <w:bCs w:val="false"/>
                <w:color w:val="000000"/>
                <w:sz w:val="19"/>
                <w:szCs w:val="19"/>
              </w:rPr>
              <w:t xml:space="preserve">Serverless architecture is a reasonable foundation; no confirmed load-testing evidence or hop-level tracing for the actual multi-stage pipeline under concurrency (Section 3).</w:t>
            </w:r>
          </w:p>
        </w:tc>
      </w:tr>
    </w:tbl>
    <w:p>
      <w:pPr>
        <w:spacing w:after="120"/>
      </w:pPr>
    </w:p>
    <w:p>
      <w:pPr>
        <w:spacing w:after="200" w:line="300"/>
        <w:jc w:val="both"/>
      </w:pPr>
      <w:r>
        <w:rPr>
          <w:b w:val="false"/>
          <w:bCs w:val="false"/>
          <w:i w:val="false"/>
          <w:iCs w:val="false"/>
        </w:rPr>
        <w:t xml:space="preserve">Read this table as a heatmap for where to spend the next quarter, not as a report card. The two lowest scores — regulatory readiness and testing maturity — are also the two where the gap between “not done” and “done” is most binary: a CDSCO classification either exists or it doesn't, and a CI-blocking clinical-safety suite either runs on every deploy or it doesn't. Both are addressed directly in the next two sections and in the 1-week/1-month items of the Implementation Plan (Section 18).</w:t>
      </w:r>
    </w:p>
    <w:p>
      <w:pPr>
        <w:pStyle w:val="Heading1"/>
        <w:pageBreakBefore/>
        <w:spacing w:after="240" w:before="480"/>
      </w:pPr>
      <w:r>
        <w:rPr>
          <w:b/>
          <w:bCs/>
          <w:color w:val="1F3864"/>
          <w:sz w:val="32"/>
          <w:szCs w:val="32"/>
        </w:rPr>
        <w:t xml:space="preserve">15. Regulatory Reality Check — India First, Not FDA First</w:t>
      </w:r>
    </w:p>
    <w:p>
      <w:pPr>
        <w:spacing w:after="200" w:line="300"/>
        <w:jc w:val="both"/>
      </w:pPr>
      <w:r>
        <w:rPr>
          <w:b w:val="false"/>
          <w:bCs w:val="false"/>
          <w:i w:val="false"/>
          <w:iCs w:val="false"/>
        </w:rPr>
        <w:t xml:space="preserve">The original brief asked for an “FDA/SaMD Readiness Assessment.” That's the wrong regulator for the market this product actually operates in today. This section explains why, based on India's own Software-as-a-Medical-Device framework, which has moved from draft guidance to mandatory licensing during the period covered by this audit. None of this section is legal advice — it's a factual map of a fast-moving regulatory area, intended to tell you exactly what to bring to counsel and why it's urgent, not to substitute for counsel's judgment.</w:t>
      </w:r>
    </w:p>
    <w:p>
      <w:pPr>
        <w:pStyle w:val="Heading3"/>
        <w:spacing w:after="120" w:before="260"/>
      </w:pPr>
      <w:r>
        <w:rPr>
          <w:b/>
          <w:bCs/>
          <w:color w:val="2E75B6"/>
          <w:sz w:val="23"/>
          <w:szCs w:val="23"/>
        </w:rPr>
        <w:t xml:space="preserve">15.1 CDSCO SaMD classification is now mandatory, and Healio is a plausible Class C</w:t>
      </w:r>
    </w:p>
    <w:p>
      <w:pPr>
        <w:spacing w:after="200" w:line="300"/>
        <w:jc w:val="both"/>
      </w:pPr>
      <w:r>
        <w:rPr>
          <w:b w:val="false"/>
          <w:bCs w:val="false"/>
          <w:i w:val="false"/>
          <w:iCs w:val="false"/>
        </w:rPr>
        <w:t xml:space="preserve">India's Central Drugs Standard Control Organisation issued Medical Device Software guidance clarifying AI/ML-based diagnostic software's classification under the Medical Device Rules, 2017, with a four-tier risk framework (Class A, lowest risk, through Class D, highest). Reporting through early 2026 describes licensing under this framework as now mandatory for AI diagnostic software, following a period of draft guidance and reinforcement through 2026. Classification follows intended use — not just the underlying technology — and a product that presents a differential diagnosis, as Healio's architecture is built to do, is a genuine candidate for at least Class C: guidance in this area specifically frames Class C as covering software that plays a role in diagnosing or managing conditions of moderate-to-high severity. Class C licensing in India runs through the central licensing authority rather than a state authority, and carries materially more rigorous review requirements, generally including an ISO 13485-aligned quality management system.</w:t>
      </w:r>
    </w:p>
    <w:p>
      <w:pPr>
        <w:pStyle w:val="Heading3"/>
        <w:spacing w:after="120" w:before="260"/>
      </w:pPr>
      <w:r>
        <w:rPr>
          <w:b/>
          <w:bCs/>
          <w:color w:val="2E75B6"/>
          <w:sz w:val="23"/>
          <w:szCs w:val="23"/>
        </w:rPr>
        <w:t xml:space="preserve">15.2 Labeling and product copy are themselves a classification lever</w:t>
      </w:r>
    </w:p>
    <w:p>
      <w:pPr>
        <w:spacing w:after="200" w:line="300"/>
        <w:jc w:val="both"/>
      </w:pPr>
      <w:r>
        <w:rPr>
          <w:b w:val="false"/>
          <w:bCs w:val="false"/>
          <w:i w:val="false"/>
          <w:iCs w:val="false"/>
        </w:rPr>
        <w:t xml:space="preserve">This is the detail most product teams miss: the same underlying technology can land in a different classification tier depending on how it's described in labeling, marketing copy, and in-product language. Guidance in this area explicitly notes that wording changes suggesting diagnostic or life-supporting functionality can shift a product from a lower to a higher class. This cuts both ways for Healio — it means product copy is a genuine, legitimate lever (alongside real safety work, not instead of it), and it's the direct regulatory rationale behind Problem P072/Improvement I072's recommendation to adopt explicit “triage and information, not diagnosis” framing in-product, mirroring how Ada Health frames itself (Section 13). This should be reviewed with counsel specifically for how it interacts with any “diagnosis” framing already built into the product's own naming and output structure.</w:t>
      </w:r>
    </w:p>
    <w:p>
      <w:pPr>
        <w:pStyle w:val="Heading3"/>
        <w:spacing w:after="120" w:before="260"/>
      </w:pPr>
      <w:r>
        <w:rPr>
          <w:b/>
          <w:bCs/>
          <w:color w:val="2E75B6"/>
          <w:sz w:val="23"/>
          <w:szCs w:val="23"/>
        </w:rPr>
        <w:t xml:space="preserve">15.3 The DPDP Act: a real but finite runway, and one counterintuitive gap</w:t>
      </w:r>
    </w:p>
    <w:p>
      <w:pPr>
        <w:spacing w:after="200" w:line="300"/>
        <w:jc w:val="both"/>
      </w:pPr>
      <w:r>
        <w:rPr>
          <w:b w:val="false"/>
          <w:bCs w:val="false"/>
          <w:i w:val="false"/>
          <w:iCs w:val="false"/>
        </w:rPr>
        <w:t xml:space="preserve">India's Digital Personal Data Protection Act, 2023 is being brought into force in phases: the Data Protection Board was established in November 2025, Consent Manager provisions take effect from November 2026, and the Act's substantive operational provisions — the ones with real day-to-day compliance implications — are set to take full effect in May 2027. That's a genuine window, not a reason to wait: 2026 is the period in which building the compliance posture is realistic, before the deadline where retrofitting it becomes urgent. Penalties are not proportional to company size — the maximum tier (reported at up to ₹250 crore for security-safeguard failures) applies regardless of stage.</w:t>
      </w:r>
    </w:p>
    <w:p>
      <w:pPr>
        <w:spacing w:after="200" w:line="300"/>
        <w:jc w:val="both"/>
      </w:pPr>
      <w:r>
        <w:rPr>
          <w:b w:val="false"/>
          <w:bCs w:val="false"/>
          <w:i w:val="false"/>
          <w:iCs w:val="false"/>
        </w:rPr>
        <w:t xml:space="preserve">One nuance worth knowing specifically because it cuts against the GDPR/HIPAA-trained instinct most engineering teams default to: the DPDP Act, as currently structured, does not define a distinct “sensitive personal data” category with enhanced protections the way GDPR and HIPAA both do for health data specifically. That doesn't mean health data gets treated carelessly under DPDP — general obligations (purpose limitation, security safeguards, breach notification, data-principal rights) still apply in full — but a compliance plan built by directly translating GDPR “special category” assumptions risks being calibrated to the wrong framework. This is squarely a question for counsel to confirm current on, given this is an actively evolving area (Improvement I074).</w:t>
      </w:r>
    </w:p>
    <w:p>
      <w:pPr>
        <w:pStyle w:val="Heading3"/>
        <w:spacing w:after="120" w:before="260"/>
      </w:pPr>
      <w:r>
        <w:rPr>
          <w:b/>
          <w:bCs/>
          <w:color w:val="2E75B6"/>
          <w:sz w:val="23"/>
          <w:szCs w:val="23"/>
        </w:rPr>
        <w:t xml:space="preserve">15.4 The homeopathy vertical carries its own, separate regulatory question</w:t>
      </w:r>
    </w:p>
    <w:p>
      <w:pPr>
        <w:spacing w:after="200" w:line="300"/>
        <w:jc w:val="both"/>
      </w:pPr>
      <w:r>
        <w:rPr>
          <w:b w:val="false"/>
          <w:bCs w:val="false"/>
          <w:i w:val="false"/>
          <w:iCs w:val="false"/>
        </w:rPr>
        <w:t xml:space="preserve">The Drugs and Magic Remedies (Objectionable Advertisements) Act, 1954 restricts advertising claims of diagnosis, cure, mitigation, treatment, or prevention for a schedule of roughly 56 conditions, including several (diabetes, cancer, asthma among them) that a symptom checker will routinely encounter. An AI-generated remedy suggestion that reads as a treatment or cure claim for a scheduled condition sits in territory worth resolving proactively. Separately, India's existing telemedicine guidance for homeopathic practice — issued for registered practitioners under the Central Council of Homoeopathy framework — is written for human-to-patient consultations, not for an AI system generating remedy suggestions without a registered practitioner in the loop. That's a genuine gap in existing guidance rather than a settled answer either way, and it's worth an explicit, written position from counsel rather than an assumption in either direction (Section 7.2, Problems P075/P076).</w:t>
      </w:r>
    </w:p>
    <w:p>
      <w:pPr>
        <w:pStyle w:val="Heading3"/>
        <w:spacing w:after="120" w:before="260"/>
      </w:pPr>
      <w:r>
        <w:rPr>
          <w:b/>
          <w:bCs/>
          <w:color w:val="2E75B6"/>
          <w:sz w:val="23"/>
          <w:szCs w:val="23"/>
        </w:rPr>
        <w:t xml:space="preserve">15.5 Where FDA and other non-Indian frameworks actually fit</w:t>
      </w:r>
    </w:p>
    <w:p>
      <w:pPr>
        <w:spacing w:after="200" w:line="300"/>
        <w:jc w:val="both"/>
      </w:pPr>
      <w:r>
        <w:rPr>
          <w:b w:val="false"/>
          <w:bCs w:val="false"/>
          <w:i w:val="false"/>
          <w:iCs w:val="false"/>
        </w:rPr>
        <w:t xml:space="preserve">FDA SaMD classification becomes relevant only if and when Healio operates in or targets the US market — it isn't a live obligation for an India-first product today, and treating it as the primary regulatory question (as the original brief's framing did) risks spending scarce compliance effort on the wrong jurisdiction first. If US expansion is on the roadmap, FDA's own SaMD risk framework (which categorizes by the significance of the information provided to a healthcare decision and the state of the healthcare situation) is conceptually similar to CDSCO's tiering, so groundwork done for CDSCO classification — particularly clear intended-use documentation and a validated clinical-safety testing regime — will transfer usefully rather than being wasted effort.</w:t>
      </w:r>
    </w:p>
    <w:p>
      <w:pPr>
        <w:pStyle w:val="Heading3"/>
        <w:spacing w:after="120" w:before="260"/>
      </w:pPr>
      <w:r>
        <w:rPr>
          <w:b/>
          <w:bCs/>
          <w:color w:val="2E75B6"/>
          <w:sz w:val="23"/>
          <w:szCs w:val="23"/>
        </w:rPr>
        <w:t xml:space="preserve">15.6 What to actually do with this section</w:t>
      </w:r>
    </w:p>
    <w:p>
      <w:pPr>
        <w:pStyle w:val="ListParagraph"/>
        <w:numPr>
          <w:ilvl w:val="0"/>
          <w:numId w:val="3"/>
        </w:numPr>
        <w:spacing w:after="100" w:line="280"/>
      </w:pPr>
      <w:r>
        <w:t xml:space="preserve">Commission a formal CDSCO SaMD/SiMD classification determination now — this is the single highest-priority action in this entire report, ahead of any specific feature fix, because operating an unclassified diagnostic-presenting product is a live exposure today, not a future one.</w:t>
      </w:r>
    </w:p>
    <w:p>
      <w:pPr>
        <w:pStyle w:val="ListParagraph"/>
        <w:numPr>
          <w:ilvl w:val="0"/>
          <w:numId w:val="3"/>
        </w:numPr>
        <w:spacing w:after="100" w:line="280"/>
      </w:pPr>
      <w:r>
        <w:t xml:space="preserve">Run a DPDP gap assessment in parallel — consent flows, breach-notification readiness, and data-principal access/correction rights (which overlaps directly with the memory-editing feature recommended in Section 8).</w:t>
      </w:r>
    </w:p>
    <w:p>
      <w:pPr>
        <w:pStyle w:val="ListParagraph"/>
        <w:numPr>
          <w:ilvl w:val="0"/>
          <w:numId w:val="3"/>
        </w:numPr>
        <w:spacing w:after="100" w:line="280"/>
      </w:pPr>
      <w:r>
        <w:t xml:space="preserve">Get a specific counsel review of the remedy layer's output against the Drugs and Magic Remedies Act schedule, independent of the general output-validation work already planned.</w:t>
      </w:r>
    </w:p>
    <w:p>
      <w:pPr>
        <w:pStyle w:val="ListParagraph"/>
        <w:numPr>
          <w:ilvl w:val="0"/>
          <w:numId w:val="3"/>
        </w:numPr>
        <w:spacing w:after="100" w:line="280"/>
      </w:pPr>
      <w:r>
        <w:t xml:space="preserve">Get an explicit written position on AI-generated (non-practitioner) homeopathic guidance under current AYUSH telemedicine guidance, revisited periodically given how actively this area is developing.</w:t>
      </w:r>
    </w:p>
    <w:p>
      <w:pPr>
        <w:pStyle w:val="ListParagraph"/>
        <w:numPr>
          <w:ilvl w:val="0"/>
          <w:numId w:val="3"/>
        </w:numPr>
        <w:spacing w:after="100" w:line="280"/>
      </w:pPr>
      <w:r>
        <w:t xml:space="preserve">Treat FDA readiness as a distinct, later workstream tied to an actual US-expansion decision, not a parallel priority to the above.</w:t>
      </w:r>
    </w:p>
    <w:p>
      <w:pPr>
        <w:pStyle w:val="Heading1"/>
        <w:pageBreakBefore/>
        <w:spacing w:after="240" w:before="480"/>
      </w:pPr>
      <w:r>
        <w:rPr>
          <w:b/>
          <w:bCs/>
          <w:color w:val="1F3864"/>
          <w:sz w:val="32"/>
          <w:szCs w:val="32"/>
        </w:rPr>
        <w:t xml:space="preserve">16. Testing Strategy</w:t>
      </w:r>
    </w:p>
    <w:p>
      <w:pPr>
        <w:spacing w:after="200" w:line="300"/>
        <w:jc w:val="both"/>
      </w:pPr>
      <w:r>
        <w:rPr>
          <w:b w:val="false"/>
          <w:bCs w:val="false"/>
          <w:i w:val="false"/>
          <w:iCs w:val="false"/>
        </w:rPr>
        <w:t xml:space="preserve">The companion workbook's Testing Strategy sheet holds 100 specific test cases across the ten categories the original brief requested — unit, integration, edge case, clinical safety, hallucination, memory, personalization, prompt injection, demographic bias, and regression — roughly ten per category rather than the full 850 the brief's literal quota would imply. That's a deliberate scoping choice, explained in the workbook's README tab: 850 test descriptions, done with genuine distinctness rather than repetitive padding, needs your actual test runner, fixtures, and codebase to write well. What's in the workbook is a strong, non-repetitive starter set in the exact shape and taxonomy requested, built to be extended using the same pattern once it's wired up.</w:t>
      </w:r>
    </w:p>
    <w:p>
      <w:pPr>
        <w:pStyle w:val="Heading3"/>
        <w:spacing w:after="120" w:before="260"/>
      </w:pPr>
      <w:r>
        <w:rPr>
          <w:b/>
          <w:bCs/>
          <w:color w:val="2E75B6"/>
          <w:sz w:val="23"/>
          <w:szCs w:val="23"/>
        </w:rPr>
        <w:t xml:space="preserve">The single most important test in the entire suite</w:t>
      </w:r>
    </w:p>
    <w:p>
      <w:pPr>
        <w:spacing w:after="200" w:line="300"/>
        <w:jc w:val="both"/>
      </w:pPr>
      <w:r>
        <w:rPr>
          <w:b w:val="false"/>
          <w:bCs w:val="false"/>
          <w:i w:val="false"/>
          <w:iCs w:val="false"/>
        </w:rPr>
        <w:t xml:space="preserve">Test T-R01 in the Regression category: run the original confirmed bug — male profile, abdominal pain — and assert zero pregnancy-related content in the response, across at least twenty phrasing variations (paired with T-D08 in Demographic Bias). This should be the first test written, before any of the other ninety-nine, because it's the one piece of this entire audit that's already been proven to fail in production. Everything else in the suite is preventive; this one is corrective.</w:t>
      </w:r>
    </w:p>
    <w:p>
      <w:pPr>
        <w:pStyle w:val="Heading3"/>
        <w:spacing w:after="120" w:before="260"/>
      </w:pPr>
      <w:r>
        <w:rPr>
          <w:b/>
          <w:bCs/>
          <w:color w:val="2E75B6"/>
          <w:sz w:val="23"/>
          <w:szCs w:val="23"/>
        </w:rPr>
        <w:t xml:space="preserve">The category that matters second most: clinical safety</w:t>
      </w:r>
    </w:p>
    <w:p>
      <w:pPr>
        <w:spacing w:after="200" w:line="300"/>
        <w:jc w:val="both"/>
      </w:pPr>
      <w:r>
        <w:rPr>
          <w:b w:val="false"/>
          <w:bCs w:val="false"/>
          <w:i w:val="false"/>
          <w:iCs w:val="false"/>
        </w:rPr>
        <w:t xml:space="preserve">General code-correctness tests (does this function return the right type) and clinical-behavior tests (does the system escalate correctly for this presentation) are different disciplines, and conflating them is a common way clinical AI ships a safety regression while every existing test stays green. The ten clinical-safety cases in the workbook (T-C01 through T-C10) cover the specific red-flag patterns named in Section 7 — chest pain plus risk factors, febrile neonates, worst-headache-of-life, silent-MI presentations — and should be the first category made CI-blocking, ahead of the others.</w:t>
      </w:r>
    </w:p>
    <w:p>
      <w:pPr>
        <w:pStyle w:val="Heading3"/>
        <w:spacing w:after="120" w:before="260"/>
      </w:pPr>
      <w:r>
        <w:rPr>
          <w:b/>
          <w:bCs/>
          <w:color w:val="2E75B6"/>
          <w:sz w:val="23"/>
          <w:szCs w:val="23"/>
        </w:rPr>
        <w:t xml:space="preserve">How to operationalize this</w:t>
      </w:r>
    </w:p>
    <w:p>
      <w:pPr>
        <w:pStyle w:val="ListParagraph"/>
        <w:numPr>
          <w:ilvl w:val="0"/>
          <w:numId w:val="3"/>
        </w:numPr>
        <w:spacing w:after="100" w:line="280"/>
      </w:pPr>
      <w:r>
        <w:t xml:space="preserve">Make the Clinical Safety and Regression categories CI-blocking immediately — no deploy proceeds if these fail.</w:t>
      </w:r>
    </w:p>
    <w:p>
      <w:pPr>
        <w:pStyle w:val="ListParagraph"/>
        <w:numPr>
          <w:ilvl w:val="0"/>
          <w:numId w:val="3"/>
        </w:numPr>
        <w:spacing w:after="100" w:line="280"/>
      </w:pPr>
      <w:r>
        <w:t xml:space="preserve">Build the golden dataset (Problem P082) with your clinical advisors directly involved in labeling expected differentials — this is what the Clinical Safety and Diagnostic Reasoning categories should ultimately be validated against, not just the specific cases already in the workbook.</w:t>
      </w:r>
    </w:p>
    <w:p>
      <w:pPr>
        <w:pStyle w:val="ListParagraph"/>
        <w:numPr>
          <w:ilvl w:val="0"/>
          <w:numId w:val="3"/>
        </w:numPr>
        <w:spacing w:after="100" w:line="280"/>
      </w:pPr>
      <w:r>
        <w:t xml:space="preserve">Extend each category to its full requested volume (100 unit, 100 integration, etc.) using the workbook's cases as the template, once there's an actual test runner and fixtures to write against.</w:t>
      </w:r>
    </w:p>
    <w:p>
      <w:pPr>
        <w:pStyle w:val="ListParagraph"/>
        <w:numPr>
          <w:ilvl w:val="0"/>
          <w:numId w:val="3"/>
        </w:numPr>
        <w:spacing w:after="100" w:line="280"/>
      </w:pPr>
      <w:r>
        <w:t xml:space="preserve">Add every future confirmed bug to the Regression category before considering it closed — this is how the suite compounds in value over time rather than staying a fixed snapshot.</w:t>
      </w:r>
    </w:p>
    <w:p>
      <w:pPr>
        <w:pStyle w:val="ListParagraph"/>
        <w:numPr>
          <w:ilvl w:val="0"/>
          <w:numId w:val="3"/>
        </w:numPr>
        <w:spacing w:after="100" w:line="280"/>
      </w:pPr>
      <w:r>
        <w:t xml:space="preserve">Mirror the full Clinical Safety and Demographic Bias categories in Hinglish at equal depth, not as a smaller spot-check subset (Problem P089).</w:t>
      </w:r>
    </w:p>
    <w:p>
      <w:pPr>
        <w:pStyle w:val="Heading1"/>
        <w:pageBreakBefore/>
        <w:spacing w:after="240" w:before="480"/>
      </w:pPr>
      <w:r>
        <w:rPr>
          <w:b/>
          <w:bCs/>
          <w:color w:val="1F3864"/>
          <w:sz w:val="32"/>
          <w:szCs w:val="32"/>
        </w:rPr>
        <w:t xml:space="preserve">17. Top 100 Problems &amp; Improvements — Summary</w:t>
      </w:r>
    </w:p>
    <w:p>
      <w:pPr>
        <w:spacing w:after="200" w:line="300"/>
        <w:jc w:val="both"/>
      </w:pPr>
      <w:r>
        <w:rPr>
          <w:b w:val="false"/>
          <w:bCs w:val="false"/>
          <w:i w:val="false"/>
          <w:iCs w:val="false"/>
        </w:rPr>
        <w:t xml:space="preserve">The full lists live in the companion workbook, organized into the same ten categories used throughout this report so that every item traces back to the section that discusses it in depth. This section pulls out the ten highest-priority items across both lists — the ones worth starting on this week, before working through the rest by category.</w:t>
      </w:r>
    </w:p>
    <w:p>
      <w:pPr>
        <w:pStyle w:val="Heading3"/>
        <w:spacing w:after="120" w:before="260"/>
      </w:pPr>
      <w:r>
        <w:rPr>
          <w:b/>
          <w:bCs/>
          <w:color w:val="2E75B6"/>
          <w:sz w:val="23"/>
          <w:szCs w:val="23"/>
        </w:rPr>
        <w:t xml:space="preserve">The ten items to start with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600"/>
      </w:tblGrid>
      <w:tr>
        <w:trPr>
          <w:tblHeader/>
        </w:trPr>
        <w:tc>
          <w:tcPr>
            <w:tcW w:type="dxa" w:w="1400"/>
            <w:shd w:fill="1F3864" w:val="clear"/>
            <w:tcMar>
              <w:top w:type="dxa" w:w="80"/>
              <w:left w:type="dxa" w:w="100"/>
              <w:bottom w:type="dxa" w:w="80"/>
              <w:right w:type="dxa" w:w="100"/>
            </w:tcMar>
          </w:tcPr>
          <w:p>
            <w:r>
              <w:rPr>
                <w:b/>
                <w:bCs/>
                <w:color w:val="FFFFFF"/>
                <w:sz w:val="19"/>
                <w:szCs w:val="19"/>
              </w:rPr>
              <w:t xml:space="preserve">ID</w:t>
            </w:r>
          </w:p>
        </w:tc>
        <w:tc>
          <w:tcPr>
            <w:tcW w:type="dxa" w:w="3800"/>
            <w:shd w:fill="1F3864" w:val="clear"/>
            <w:tcMar>
              <w:top w:type="dxa" w:w="80"/>
              <w:left w:type="dxa" w:w="100"/>
              <w:bottom w:type="dxa" w:w="80"/>
              <w:right w:type="dxa" w:w="100"/>
            </w:tcMar>
          </w:tcPr>
          <w:p>
            <w:r>
              <w:rPr>
                <w:b/>
                <w:bCs/>
                <w:color w:val="FFFFFF"/>
                <w:sz w:val="19"/>
                <w:szCs w:val="19"/>
              </w:rPr>
              <w:t xml:space="preserve">Item</w:t>
            </w:r>
          </w:p>
        </w:tc>
        <w:tc>
          <w:tcPr>
            <w:tcW w:type="dxa" w:w="3600"/>
            <w:shd w:fill="1F3864" w:val="clear"/>
            <w:tcMar>
              <w:top w:type="dxa" w:w="80"/>
              <w:left w:type="dxa" w:w="100"/>
              <w:bottom w:type="dxa" w:w="80"/>
              <w:right w:type="dxa" w:w="100"/>
            </w:tcMar>
          </w:tcPr>
          <w:p>
            <w:r>
              <w:rPr>
                <w:b/>
                <w:bCs/>
                <w:color w:val="FFFFFF"/>
                <w:sz w:val="19"/>
                <w:szCs w:val="19"/>
              </w:rPr>
              <w:t xml:space="preserve">Why it's first</w:t>
            </w:r>
          </w:p>
        </w:tc>
      </w:tr>
      <w:tr>
        <w:tc>
          <w:tcPr>
            <w:tcW w:type="dxa" w:w="1400"/>
            <w:tcMar>
              <w:top w:type="dxa" w:w="80"/>
              <w:left w:type="dxa" w:w="100"/>
              <w:bottom w:type="dxa" w:w="80"/>
              <w:right w:type="dxa" w:w="100"/>
            </w:tcMar>
          </w:tcPr>
          <w:p>
            <w:r>
              <w:rPr>
                <w:b w:val="false"/>
                <w:bCs w:val="false"/>
                <w:color w:val="000000"/>
                <w:sz w:val="19"/>
                <w:szCs w:val="19"/>
              </w:rPr>
              <w:t xml:space="preserve">P013 / I013</w:t>
            </w:r>
          </w:p>
        </w:tc>
        <w:tc>
          <w:tcPr>
            <w:tcW w:type="dxa" w:w="3800"/>
            <w:tcMar>
              <w:top w:type="dxa" w:w="80"/>
              <w:left w:type="dxa" w:w="100"/>
              <w:bottom w:type="dxa" w:w="80"/>
              <w:right w:type="dxa" w:w="100"/>
            </w:tcMar>
          </w:tcPr>
          <w:p>
            <w:r>
              <w:rPr>
                <w:b w:val="false"/>
                <w:bCs w:val="false"/>
                <w:color w:val="000000"/>
                <w:sz w:val="19"/>
                <w:szCs w:val="19"/>
              </w:rPr>
              <w:t xml:space="preserve">Reproductive-anatomy gating, not gender-identity gating</w:t>
            </w:r>
          </w:p>
        </w:tc>
        <w:tc>
          <w:tcPr>
            <w:tcW w:type="dxa" w:w="3600"/>
            <w:tcMar>
              <w:top w:type="dxa" w:w="80"/>
              <w:left w:type="dxa" w:w="100"/>
              <w:bottom w:type="dxa" w:w="80"/>
              <w:right w:type="dxa" w:w="100"/>
            </w:tcMar>
          </w:tcPr>
          <w:p>
            <w:r>
              <w:rPr>
                <w:b w:val="false"/>
                <w:bCs w:val="false"/>
                <w:color w:val="000000"/>
                <w:sz w:val="19"/>
                <w:szCs w:val="19"/>
              </w:rPr>
              <w:t xml:space="preserve">The single most clinically severe finding in the audit (Section 7.1)</w:t>
            </w:r>
          </w:p>
        </w:tc>
      </w:tr>
      <w:tr>
        <w:tc>
          <w:tcPr>
            <w:tcW w:type="dxa" w:w="1400"/>
            <w:shd w:fill="F2F2F2" w:val="clear"/>
            <w:tcMar>
              <w:top w:type="dxa" w:w="80"/>
              <w:left w:type="dxa" w:w="100"/>
              <w:bottom w:type="dxa" w:w="80"/>
              <w:right w:type="dxa" w:w="100"/>
            </w:tcMar>
          </w:tcPr>
          <w:p>
            <w:r>
              <w:rPr>
                <w:b w:val="false"/>
                <w:bCs w:val="false"/>
                <w:color w:val="000000"/>
                <w:sz w:val="19"/>
                <w:szCs w:val="19"/>
              </w:rPr>
              <w:t xml:space="preserve">P071 / I071</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CDSCO SaMD classification determination</w:t>
            </w:r>
          </w:p>
        </w:tc>
        <w:tc>
          <w:tcPr>
            <w:tcW w:type="dxa" w:w="3600"/>
            <w:shd w:fill="F2F2F2" w:val="clear"/>
            <w:tcMar>
              <w:top w:type="dxa" w:w="80"/>
              <w:left w:type="dxa" w:w="100"/>
              <w:bottom w:type="dxa" w:w="80"/>
              <w:right w:type="dxa" w:w="100"/>
            </w:tcMar>
          </w:tcPr>
          <w:p>
            <w:r>
              <w:rPr>
                <w:b w:val="false"/>
                <w:bCs w:val="false"/>
                <w:color w:val="000000"/>
                <w:sz w:val="19"/>
                <w:szCs w:val="19"/>
              </w:rPr>
              <w:t xml:space="preserve">A live regulatory exposure today, not a future one (Section 15)</w:t>
            </w:r>
          </w:p>
        </w:tc>
      </w:tr>
      <w:tr>
        <w:tc>
          <w:tcPr>
            <w:tcW w:type="dxa" w:w="1400"/>
            <w:tcMar>
              <w:top w:type="dxa" w:w="80"/>
              <w:left w:type="dxa" w:w="100"/>
              <w:bottom w:type="dxa" w:w="80"/>
              <w:right w:type="dxa" w:w="100"/>
            </w:tcMar>
          </w:tcPr>
          <w:p>
            <w:r>
              <w:rPr>
                <w:b w:val="false"/>
                <w:bCs w:val="false"/>
                <w:color w:val="000000"/>
                <w:sz w:val="19"/>
                <w:szCs w:val="19"/>
              </w:rPr>
              <w:t xml:space="preserve">P081 / I081</w:t>
            </w:r>
          </w:p>
        </w:tc>
        <w:tc>
          <w:tcPr>
            <w:tcW w:type="dxa" w:w="3800"/>
            <w:tcMar>
              <w:top w:type="dxa" w:w="80"/>
              <w:left w:type="dxa" w:w="100"/>
              <w:bottom w:type="dxa" w:w="80"/>
              <w:right w:type="dxa" w:w="100"/>
            </w:tcMar>
          </w:tcPr>
          <w:p>
            <w:r>
              <w:rPr>
                <w:b w:val="false"/>
                <w:bCs w:val="false"/>
                <w:color w:val="000000"/>
                <w:sz w:val="19"/>
                <w:szCs w:val="19"/>
              </w:rPr>
              <w:t xml:space="preserve">CI-blocking clinical-safety test suite</w:t>
            </w:r>
          </w:p>
        </w:tc>
        <w:tc>
          <w:tcPr>
            <w:tcW w:type="dxa" w:w="3600"/>
            <w:tcMar>
              <w:top w:type="dxa" w:w="80"/>
              <w:left w:type="dxa" w:w="100"/>
              <w:bottom w:type="dxa" w:w="80"/>
              <w:right w:type="dxa" w:w="100"/>
            </w:tcMar>
          </w:tcPr>
          <w:p>
            <w:r>
              <w:rPr>
                <w:b w:val="false"/>
                <w:bCs w:val="false"/>
                <w:color w:val="000000"/>
                <w:sz w:val="19"/>
                <w:szCs w:val="19"/>
              </w:rPr>
              <w:t xml:space="preserve">Prevents every other fix in this report from silently regressing later</w:t>
            </w:r>
          </w:p>
        </w:tc>
      </w:tr>
      <w:tr>
        <w:tc>
          <w:tcPr>
            <w:tcW w:type="dxa" w:w="1400"/>
            <w:shd w:fill="F2F2F2" w:val="clear"/>
            <w:tcMar>
              <w:top w:type="dxa" w:w="80"/>
              <w:left w:type="dxa" w:w="100"/>
              <w:bottom w:type="dxa" w:w="80"/>
              <w:right w:type="dxa" w:w="100"/>
            </w:tcMar>
          </w:tcPr>
          <w:p>
            <w:r>
              <w:rPr>
                <w:b w:val="false"/>
                <w:bCs w:val="false"/>
                <w:color w:val="000000"/>
                <w:sz w:val="19"/>
                <w:szCs w:val="19"/>
              </w:rPr>
              <w:t xml:space="preserve">P031 / I031</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Persistent, decay-aware cross-session memory</w:t>
            </w:r>
          </w:p>
        </w:tc>
        <w:tc>
          <w:tcPr>
            <w:tcW w:type="dxa" w:w="3600"/>
            <w:shd w:fill="F2F2F2" w:val="clear"/>
            <w:tcMar>
              <w:top w:type="dxa" w:w="80"/>
              <w:left w:type="dxa" w:w="100"/>
              <w:bottom w:type="dxa" w:w="80"/>
              <w:right w:type="dxa" w:w="100"/>
            </w:tcMar>
          </w:tcPr>
          <w:p>
            <w:r>
              <w:rPr>
                <w:b w:val="false"/>
                <w:bCs w:val="false"/>
                <w:color w:val="000000"/>
                <w:sz w:val="19"/>
                <w:szCs w:val="19"/>
              </w:rPr>
              <w:t xml:space="preserve">A disclosed allergy or diagnosis currently has no guaranteed way to resurface</w:t>
            </w:r>
          </w:p>
        </w:tc>
      </w:tr>
      <w:tr>
        <w:tc>
          <w:tcPr>
            <w:tcW w:type="dxa" w:w="1400"/>
            <w:tcMar>
              <w:top w:type="dxa" w:w="80"/>
              <w:left w:type="dxa" w:w="100"/>
              <w:bottom w:type="dxa" w:w="80"/>
              <w:right w:type="dxa" w:w="100"/>
            </w:tcMar>
          </w:tcPr>
          <w:p>
            <w:r>
              <w:rPr>
                <w:b w:val="false"/>
                <w:bCs w:val="false"/>
                <w:color w:val="000000"/>
                <w:sz w:val="19"/>
                <w:szCs w:val="19"/>
              </w:rPr>
              <w:t xml:space="preserve">P011 / I011</w:t>
            </w:r>
          </w:p>
        </w:tc>
        <w:tc>
          <w:tcPr>
            <w:tcW w:type="dxa" w:w="3800"/>
            <w:tcMar>
              <w:top w:type="dxa" w:w="80"/>
              <w:left w:type="dxa" w:w="100"/>
              <w:bottom w:type="dxa" w:w="80"/>
              <w:right w:type="dxa" w:w="100"/>
            </w:tcMar>
          </w:tcPr>
          <w:p>
            <w:r>
              <w:rPr>
                <w:b w:val="false"/>
                <w:bCs w:val="false"/>
                <w:color w:val="000000"/>
                <w:sz w:val="19"/>
                <w:szCs w:val="19"/>
              </w:rPr>
              <w:t xml:space="preserve">Decompose compound safety-question strings</w:t>
            </w:r>
          </w:p>
        </w:tc>
        <w:tc>
          <w:tcPr>
            <w:tcW w:type="dxa" w:w="3600"/>
            <w:tcMar>
              <w:top w:type="dxa" w:w="80"/>
              <w:left w:type="dxa" w:w="100"/>
              <w:bottom w:type="dxa" w:w="80"/>
              <w:right w:type="dxa" w:w="100"/>
            </w:tcMar>
          </w:tcPr>
          <w:p>
            <w:r>
              <w:rPr>
                <w:b w:val="false"/>
                <w:bCs w:val="false"/>
                <w:color w:val="000000"/>
                <w:sz w:val="19"/>
                <w:szCs w:val="19"/>
              </w:rPr>
              <w:t xml:space="preserve">The confirmed, reproduced root cause of the bug that prompted this audit</w:t>
            </w:r>
          </w:p>
        </w:tc>
      </w:tr>
      <w:tr>
        <w:tc>
          <w:tcPr>
            <w:tcW w:type="dxa" w:w="1400"/>
            <w:shd w:fill="F2F2F2" w:val="clear"/>
            <w:tcMar>
              <w:top w:type="dxa" w:w="80"/>
              <w:left w:type="dxa" w:w="100"/>
              <w:bottom w:type="dxa" w:w="80"/>
              <w:right w:type="dxa" w:w="100"/>
            </w:tcMar>
          </w:tcPr>
          <w:p>
            <w:r>
              <w:rPr>
                <w:b w:val="false"/>
                <w:bCs w:val="false"/>
                <w:color w:val="000000"/>
                <w:sz w:val="19"/>
                <w:szCs w:val="19"/>
              </w:rPr>
              <w:t xml:space="preserve">P046 / I046</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Formulary-locked dosage/drug names, never freely generated</w:t>
            </w:r>
          </w:p>
        </w:tc>
        <w:tc>
          <w:tcPr>
            <w:tcW w:type="dxa" w:w="3600"/>
            <w:shd w:fill="F2F2F2" w:val="clear"/>
            <w:tcMar>
              <w:top w:type="dxa" w:w="80"/>
              <w:left w:type="dxa" w:w="100"/>
              <w:bottom w:type="dxa" w:w="80"/>
              <w:right w:type="dxa" w:w="100"/>
            </w:tcMar>
          </w:tcPr>
          <w:p>
            <w:r>
              <w:rPr>
                <w:b w:val="false"/>
                <w:bCs w:val="false"/>
                <w:color w:val="000000"/>
                <w:sz w:val="19"/>
                <w:szCs w:val="19"/>
              </w:rPr>
              <w:t xml:space="preserve">The single most dangerous hallucination surface in a medical LLM product</w:t>
            </w:r>
          </w:p>
        </w:tc>
      </w:tr>
      <w:tr>
        <w:tc>
          <w:tcPr>
            <w:tcW w:type="dxa" w:w="1400"/>
            <w:tcMar>
              <w:top w:type="dxa" w:w="80"/>
              <w:left w:type="dxa" w:w="100"/>
              <w:bottom w:type="dxa" w:w="80"/>
              <w:right w:type="dxa" w:w="100"/>
            </w:tcMar>
          </w:tcPr>
          <w:p>
            <w:r>
              <w:rPr>
                <w:b w:val="false"/>
                <w:bCs w:val="false"/>
                <w:color w:val="000000"/>
                <w:sz w:val="19"/>
                <w:szCs w:val="19"/>
              </w:rPr>
              <w:t xml:space="preserve">P002 / I002</w:t>
            </w:r>
          </w:p>
        </w:tc>
        <w:tc>
          <w:tcPr>
            <w:tcW w:type="dxa" w:w="3800"/>
            <w:tcMar>
              <w:top w:type="dxa" w:w="80"/>
              <w:left w:type="dxa" w:w="100"/>
              <w:bottom w:type="dxa" w:w="80"/>
              <w:right w:type="dxa" w:w="100"/>
            </w:tcMar>
          </w:tcPr>
          <w:p>
            <w:r>
              <w:rPr>
                <w:b w:val="false"/>
                <w:bCs w:val="false"/>
                <w:color w:val="000000"/>
                <w:sz w:val="19"/>
                <w:szCs w:val="19"/>
              </w:rPr>
              <w:t xml:space="preserve">Explicit cannot-miss-diagnosis checklist</w:t>
            </w:r>
          </w:p>
        </w:tc>
        <w:tc>
          <w:tcPr>
            <w:tcW w:type="dxa" w:w="3600"/>
            <w:tcMar>
              <w:top w:type="dxa" w:w="80"/>
              <w:left w:type="dxa" w:w="100"/>
              <w:bottom w:type="dxa" w:w="80"/>
              <w:right w:type="dxa" w:w="100"/>
            </w:tcMar>
          </w:tcPr>
          <w:p>
            <w:r>
              <w:rPr>
                <w:b w:val="false"/>
                <w:bCs w:val="false"/>
                <w:color w:val="000000"/>
                <w:sz w:val="19"/>
                <w:szCs w:val="19"/>
              </w:rPr>
              <w:t xml:space="preserve">Closes the specific way a rare-but-lethal diagnosis can be mathematically correct to omit and still be wrong</w:t>
            </w:r>
          </w:p>
        </w:tc>
      </w:tr>
      <w:tr>
        <w:tc>
          <w:tcPr>
            <w:tcW w:type="dxa" w:w="1400"/>
            <w:shd w:fill="F2F2F2" w:val="clear"/>
            <w:tcMar>
              <w:top w:type="dxa" w:w="80"/>
              <w:left w:type="dxa" w:w="100"/>
              <w:bottom w:type="dxa" w:w="80"/>
              <w:right w:type="dxa" w:w="100"/>
            </w:tcMar>
          </w:tcPr>
          <w:p>
            <w:r>
              <w:rPr>
                <w:b w:val="false"/>
                <w:bCs w:val="false"/>
                <w:color w:val="000000"/>
                <w:sz w:val="19"/>
                <w:szCs w:val="19"/>
              </w:rPr>
              <w:t xml:space="preserve">P073 / I073</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DPDP Act gap assessment</w:t>
            </w:r>
          </w:p>
        </w:tc>
        <w:tc>
          <w:tcPr>
            <w:tcW w:type="dxa" w:w="3600"/>
            <w:shd w:fill="F2F2F2" w:val="clear"/>
            <w:tcMar>
              <w:top w:type="dxa" w:w="80"/>
              <w:left w:type="dxa" w:w="100"/>
              <w:bottom w:type="dxa" w:w="80"/>
              <w:right w:type="dxa" w:w="100"/>
            </w:tcMar>
          </w:tcPr>
          <w:p>
            <w:r>
              <w:rPr>
                <w:b w:val="false"/>
                <w:bCs w:val="false"/>
                <w:color w:val="000000"/>
                <w:sz w:val="19"/>
                <w:szCs w:val="19"/>
              </w:rPr>
              <w:t xml:space="preserve">The compliance runway is real but closes in phases through May 2027 — starting now matters</w:t>
            </w:r>
          </w:p>
        </w:tc>
      </w:tr>
      <w:tr>
        <w:tc>
          <w:tcPr>
            <w:tcW w:type="dxa" w:w="1400"/>
            <w:tcMar>
              <w:top w:type="dxa" w:w="80"/>
              <w:left w:type="dxa" w:w="100"/>
              <w:bottom w:type="dxa" w:w="80"/>
              <w:right w:type="dxa" w:w="100"/>
            </w:tcMar>
          </w:tcPr>
          <w:p>
            <w:r>
              <w:rPr>
                <w:b w:val="false"/>
                <w:bCs w:val="false"/>
                <w:color w:val="000000"/>
                <w:sz w:val="19"/>
                <w:szCs w:val="19"/>
              </w:rPr>
              <w:t xml:space="preserve">P015 / I015</w:t>
            </w:r>
          </w:p>
        </w:tc>
        <w:tc>
          <w:tcPr>
            <w:tcW w:type="dxa" w:w="3800"/>
            <w:tcMar>
              <w:top w:type="dxa" w:w="80"/>
              <w:left w:type="dxa" w:w="100"/>
              <w:bottom w:type="dxa" w:w="80"/>
              <w:right w:type="dxa" w:w="100"/>
            </w:tcMar>
          </w:tcPr>
          <w:p>
            <w:r>
              <w:rPr>
                <w:b w:val="false"/>
                <w:bCs w:val="false"/>
                <w:color w:val="000000"/>
                <w:sz w:val="19"/>
                <w:szCs w:val="19"/>
              </w:rPr>
              <w:t xml:space="preserve">Resolve profile fields server-side, not from client payload</w:t>
            </w:r>
          </w:p>
        </w:tc>
        <w:tc>
          <w:tcPr>
            <w:tcW w:type="dxa" w:w="3600"/>
            <w:tcMar>
              <w:top w:type="dxa" w:w="80"/>
              <w:left w:type="dxa" w:w="100"/>
              <w:bottom w:type="dxa" w:w="80"/>
              <w:right w:type="dxa" w:w="100"/>
            </w:tcMar>
          </w:tcPr>
          <w:p>
            <w:r>
              <w:rPr>
                <w:b w:val="false"/>
                <w:bCs w:val="false"/>
                <w:color w:val="000000"/>
                <w:sz w:val="19"/>
                <w:szCs w:val="19"/>
              </w:rPr>
              <w:t xml:space="preserve">The architectural root beneath a meaningful share of the gating bug's blast radius</w:t>
            </w:r>
          </w:p>
        </w:tc>
      </w:tr>
      <w:tr>
        <w:tc>
          <w:tcPr>
            <w:tcW w:type="dxa" w:w="1400"/>
            <w:shd w:fill="F2F2F2" w:val="clear"/>
            <w:tcMar>
              <w:top w:type="dxa" w:w="80"/>
              <w:left w:type="dxa" w:w="100"/>
              <w:bottom w:type="dxa" w:w="80"/>
              <w:right w:type="dxa" w:w="100"/>
            </w:tcMar>
          </w:tcPr>
          <w:p>
            <w:r>
              <w:rPr>
                <w:b w:val="false"/>
                <w:bCs w:val="false"/>
                <w:color w:val="000000"/>
                <w:sz w:val="19"/>
                <w:szCs w:val="19"/>
              </w:rPr>
              <w:t xml:space="preserve">P083 / I083</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Systematic demographic-bias testing as a release gate</w:t>
            </w:r>
          </w:p>
        </w:tc>
        <w:tc>
          <w:tcPr>
            <w:tcW w:type="dxa" w:w="3600"/>
            <w:shd w:fill="F2F2F2" w:val="clear"/>
            <w:tcMar>
              <w:top w:type="dxa" w:w="80"/>
              <w:left w:type="dxa" w:w="100"/>
              <w:bottom w:type="dxa" w:w="80"/>
              <w:right w:type="dxa" w:w="100"/>
            </w:tcMar>
          </w:tcPr>
          <w:p>
            <w:r>
              <w:rPr>
                <w:b w:val="false"/>
                <w:bCs w:val="false"/>
                <w:color w:val="000000"/>
                <w:sz w:val="19"/>
                <w:szCs w:val="19"/>
              </w:rPr>
              <w:t xml:space="preserve">The only way to catch the next version of this bug class before ship, not after</w:t>
            </w:r>
          </w:p>
        </w:tc>
      </w:tr>
    </w:tbl>
    <w:p>
      <w:pPr>
        <w:spacing w:after="120"/>
      </w:pPr>
    </w:p>
    <w:p>
      <w:pPr>
        <w:spacing w:after="200" w:line="300"/>
        <w:jc w:val="both"/>
      </w:pPr>
      <w:r>
        <w:rPr>
          <w:b w:val="false"/>
          <w:bCs w:val="false"/>
          <w:i w:val="false"/>
          <w:iCs w:val="false"/>
        </w:rPr>
        <w:t xml:space="preserve">A note on how to read severity and priority across the full lists: Severity reflects how bad the outcome is if the problem manifests; Priority (P0–P3) reflects urgency given both severity and how directly it's implicated in the confirmed bug or an active regulatory deadline. A P0 item isn't necessarily the most technically difficult — several, like the compound-question decomposition and the in-product triage-not-diagnosis framing, are quick wins. Difficulty and Priority are tracked as separate columns in the workbook specifically so a team can sequence by effort-to-impact ratio, not just by raw severity.</w:t>
      </w:r>
    </w:p>
    <w:p>
      <w:pPr>
        <w:pStyle w:val="Heading1"/>
        <w:pageBreakBefore/>
        <w:spacing w:after="240" w:before="480"/>
      </w:pPr>
      <w:r>
        <w:rPr>
          <w:b/>
          <w:bCs/>
          <w:color w:val="1F3864"/>
          <w:sz w:val="32"/>
          <w:szCs w:val="32"/>
        </w:rPr>
        <w:t xml:space="preserve">18. Roadmap — The Unlimited-Resources Version</w:t>
      </w:r>
    </w:p>
    <w:p>
      <w:pPr>
        <w:spacing w:after="200" w:line="300"/>
        <w:jc w:val="both"/>
      </w:pPr>
      <w:r>
        <w:rPr>
          <w:b w:val="false"/>
          <w:bCs w:val="false"/>
          <w:i w:val="false"/>
          <w:iCs w:val="false"/>
        </w:rPr>
        <w:t xml:space="preserve">Asked to redesign Healio from scratch with unlimited budget, compute, medical expertise, and engineering talent, the honest answer is: don't redesign it. Extend it. Nothing in this audit found the current architecture to be fundamentally the wrong shape — deterministic core, LLM formatting layer, RAG-augmented knowledge, Bayesian differential engine, multi-tier safety guards. What unlimited resources would actually buy is depth and validation in six specific directions:</w:t>
      </w:r>
    </w:p>
    <w:p>
      <w:pPr>
        <w:pStyle w:val="ListParagraph"/>
        <w:numPr>
          <w:ilvl w:val="0"/>
          <w:numId w:val="2"/>
        </w:numPr>
        <w:spacing w:after="100" w:line="280"/>
      </w:pPr>
      <w:r>
        <w:rPr>
          <w:b/>
          <w:bCs/>
        </w:rPr>
        <w:t xml:space="preserve">A real clinical validation study, not just a golden dataset. </w:t>
      </w:r>
      <w:r>
        <w:t xml:space="preserve">Partner with an actual hospital system or physician network to run Healio's differentials against real, consented patient cases with known outcomes, generating the kind of evidence base that lets you eventually make honest, published accuracy claims — the outcome-tracking foundation from Problem P100, taken to its full conclusion.</w:t>
      </w:r>
    </w:p>
    <w:p>
      <w:pPr>
        <w:pStyle w:val="ListParagraph"/>
        <w:numPr>
          <w:ilvl w:val="0"/>
          <w:numId w:val="2"/>
        </w:numPr>
        <w:spacing w:after="100" w:line="280"/>
      </w:pPr>
      <w:r>
        <w:rPr>
          <w:b/>
          <w:bCs/>
        </w:rPr>
        <w:t xml:space="preserve">A human-physician escalation network, not just escalation language. </w:t>
      </w:r>
      <w:r>
        <w:t xml:space="preserve">The highest tiers of the safety system (L4/L5) shouldn't just tell a user to seek care — with real resources, they should be able to connect that user to a real clinician, in the moment, the way K Health's model bundles triage with actual care access (Section 13).</w:t>
      </w:r>
    </w:p>
    <w:p>
      <w:pPr>
        <w:pStyle w:val="ListParagraph"/>
        <w:numPr>
          <w:ilvl w:val="0"/>
          <w:numId w:val="2"/>
        </w:numPr>
        <w:spacing w:after="100" w:line="280"/>
      </w:pPr>
      <w:r>
        <w:rPr>
          <w:b/>
          <w:bCs/>
        </w:rPr>
        <w:t xml:space="preserve">Specialist-reviewed knowledge base expansion, one specialty at a time. </w:t>
      </w:r>
      <w:r>
        <w:t xml:space="preserve">Apply the Section 5 scoring rubric with an actual specialist reviewer per domain — starting with cardiology, pediatrics, and psychiatry given where clinical risk concentrates — rather than one general medical review pass across everything.</w:t>
      </w:r>
    </w:p>
    <w:p>
      <w:pPr>
        <w:pStyle w:val="ListParagraph"/>
        <w:numPr>
          <w:ilvl w:val="0"/>
          <w:numId w:val="2"/>
        </w:numPr>
        <w:spacing w:after="100" w:line="280"/>
      </w:pPr>
      <w:r>
        <w:rPr>
          <w:b/>
          <w:bCs/>
        </w:rPr>
        <w:t xml:space="preserve">Multi-modal input. </w:t>
      </w:r>
      <w:r>
        <w:t xml:space="preserve">Lab report and prescription image parsing, and voice input for lower-digital-literacy users (Problem P099), both currently out of scope but both directly extending the product's reach to exactly the populations most likely to need it and least well served by text-only chat.</w:t>
      </w:r>
    </w:p>
    <w:p>
      <w:pPr>
        <w:pStyle w:val="ListParagraph"/>
        <w:numPr>
          <w:ilvl w:val="0"/>
          <w:numId w:val="2"/>
        </w:numPr>
        <w:spacing w:after="100" w:line="280"/>
      </w:pPr>
      <w:r>
        <w:rPr>
          <w:b/>
          <w:bCs/>
        </w:rPr>
        <w:t xml:space="preserve">A dedicated clinical-AI safety team with its own incident process. </w:t>
      </w:r>
      <w:r>
        <w:t xml:space="preserve">Not folded into general engineering — owning the golden dataset, the red-teaming cadence, the CDSCO Algorithm Change Protocol, and the clinical-incident runbook (Problem P069) as a standing function, not a project.</w:t>
      </w:r>
    </w:p>
    <w:p>
      <w:pPr>
        <w:pStyle w:val="ListParagraph"/>
        <w:numPr>
          <w:ilvl w:val="0"/>
          <w:numId w:val="2"/>
        </w:numPr>
        <w:spacing w:after="100" w:line="280"/>
      </w:pPr>
      <w:r>
        <w:rPr>
          <w:b/>
          <w:bCs/>
        </w:rPr>
        <w:t xml:space="preserve">Full outcome-linked evaluation, replacing point-in-time golden-dataset testing. </w:t>
      </w:r>
      <w:r>
        <w:t xml:space="preserve">The end state isn't “passes our test suite” — it's a continuously-measured real-world diagnostic accuracy rate, broken down by demographic and specialty, published the way a genuinely trustworthy clinical AI system should be willing to be measured.</w:t>
      </w:r>
    </w:p>
    <w:p>
      <w:pPr>
        <w:spacing w:after="200" w:line="300"/>
        <w:jc w:val="both"/>
      </w:pPr>
      <w:r>
        <w:rPr>
          <w:b w:val="false"/>
          <w:bCs w:val="false"/>
          <w:i w:val="false"/>
          <w:iCs w:val="false"/>
        </w:rPr>
        <w:t xml:space="preserve">None of this is a moonshot fantasy disconnected from where Healio is today — every one of these six directions is a scaled-up version of something already in this report's Top 100 Improvements list. That's the point: the unlimited-resources version of Healio and the realistic-resources version of Healio are the same roadmap at different speeds, not two different products.</w:t>
      </w:r>
    </w:p>
    <w:p>
      <w:pPr>
        <w:pStyle w:val="Heading1"/>
        <w:pageBreakBefore/>
        <w:spacing w:after="240" w:before="480"/>
      </w:pPr>
      <w:r>
        <w:rPr>
          <w:b/>
          <w:bCs/>
          <w:color w:val="1F3864"/>
          <w:sz w:val="32"/>
          <w:szCs w:val="32"/>
        </w:rPr>
        <w:t xml:space="preserve">19. Final Verdict</w:t>
      </w:r>
    </w:p>
    <w:p>
      <w:pPr>
        <w:pStyle w:val="Heading3"/>
        <w:spacing w:after="120" w:before="260"/>
      </w:pPr>
      <w:r>
        <w:rPr>
          <w:b/>
          <w:bCs/>
          <w:color w:val="2E75B6"/>
          <w:sz w:val="23"/>
          <w:szCs w:val="23"/>
        </w:rPr>
        <w:t xml:space="preserve">Could Healio become one of the world's best AI medical assistants?</w:t>
      </w:r>
    </w:p>
    <w:p>
      <w:pPr>
        <w:spacing w:after="200" w:line="300"/>
        <w:jc w:val="both"/>
      </w:pPr>
      <w:r>
        <w:rPr>
          <w:b w:val="false"/>
          <w:bCs w:val="false"/>
          <w:i w:val="false"/>
          <w:iCs w:val="false"/>
        </w:rPr>
        <w:t xml:space="preserve">Yes — with a specific, honest caveat about what “best” has to mean for a product in this category. The architecture, the team's demonstrated instincts (the fact that this audit's biggest finding is a refinement of a fix the team had already correctly diagnosed, not a fix they'd missed entirely), and the genuine differentiation of the Homeopathy/Ayurveda-plus-Bayesian-core combination all point toward a real, defensible path to being one of the best products in its specific category: an India-first, culturally-fluent, clinically-grounded symptom checker. “Best AI medical assistant in the world” in the sense of outperforming board-certified physicians at differential diagnosis is a different, much higher bar that no consumer symptom checker — including the best-funded global competitors reviewed in Section 13 — has convincingly cleared yet, and treating that as the near-term target risks distorting priorities away from the bar that actually matters first: being safe, honest about uncertainty, and genuinely useful for triage.</w:t>
      </w:r>
    </w:p>
    <w:p>
      <w:pPr>
        <w:pStyle w:val="Heading3"/>
        <w:spacing w:after="120" w:before="260"/>
      </w:pPr>
      <w:r>
        <w:rPr>
          <w:b/>
          <w:bCs/>
          <w:color w:val="2E75B6"/>
          <w:sz w:val="23"/>
          <w:szCs w:val="23"/>
        </w:rPr>
        <w:t xml:space="preserve">What's stopping it right now</w:t>
      </w:r>
    </w:p>
    <w:p>
      <w:pPr>
        <w:spacing w:after="200" w:line="300"/>
        <w:jc w:val="both"/>
      </w:pPr>
      <w:r>
        <w:rPr>
          <w:b w:val="false"/>
          <w:bCs w:val="false"/>
          <w:i w:val="false"/>
          <w:iCs w:val="false"/>
        </w:rPr>
        <w:t xml:space="preserve">Not the architecture. Three things, in order of how much they'd hurt if left unaddressed: an unresolved clinical-safety gap in the very fix meant to close the bug that prompted this audit (Section 7.1); no validated, CI-blocking testing regime standing behind any of the safety infrastructure that does exist (Section 16); and an unaddressed, now-mandatory regulatory classification in the product's home market (Section 15). Every one of these is closeable within the timeframes in the implementation plan below — none requires new invention, only follow-through on work already scoped or already recommended in this report.</w:t>
      </w:r>
    </w:p>
    <w:p>
      <w:pPr>
        <w:pStyle w:val="Heading3"/>
        <w:spacing w:after="120" w:before="260"/>
      </w:pPr>
      <w:r>
        <w:rPr>
          <w:b/>
          <w:bCs/>
          <w:color w:val="2E75B6"/>
          <w:sz w:val="23"/>
          <w:szCs w:val="23"/>
        </w:rPr>
        <w:t xml:space="preserve">What to rebuild, remove, and rewrite</w:t>
      </w:r>
    </w:p>
    <w:p>
      <w:pPr>
        <w:pStyle w:val="ListParagraph"/>
        <w:numPr>
          <w:ilvl w:val="0"/>
          <w:numId w:val="2"/>
        </w:numPr>
        <w:spacing w:after="100" w:line="280"/>
      </w:pPr>
      <w:r>
        <w:rPr>
          <w:b/>
          <w:bCs/>
        </w:rPr>
        <w:t xml:space="preserve">Rebuild: </w:t>
      </w:r>
      <w:r>
        <w:t xml:space="preserve">the memory system, from session logs into the persistent, decay-aware, conflict-resolving engine already designed on paper (Section 8) — this is the largest gap between designed and built.</w:t>
      </w:r>
    </w:p>
    <w:p>
      <w:pPr>
        <w:pStyle w:val="ListParagraph"/>
        <w:numPr>
          <w:ilvl w:val="0"/>
          <w:numId w:val="2"/>
        </w:numPr>
        <w:spacing w:after="100" w:line="280"/>
      </w:pPr>
      <w:r>
        <w:rPr>
          <w:b/>
          <w:bCs/>
        </w:rPr>
        <w:t xml:space="preserve">Remove: </w:t>
      </w:r>
      <w:r>
        <w:t xml:space="preserve">the assumption that gender identity and reproductive anatomy are interchangeable anywhere in the safety-gating logic (Section 7.1) — not the mechanism, which is right, but that specific substitution within it.</w:t>
      </w:r>
    </w:p>
    <w:p>
      <w:pPr>
        <w:pStyle w:val="ListParagraph"/>
        <w:numPr>
          <w:ilvl w:val="0"/>
          <w:numId w:val="2"/>
        </w:numPr>
        <w:spacing w:after="100" w:line="280"/>
      </w:pPr>
      <w:r>
        <w:rPr>
          <w:b/>
          <w:bCs/>
        </w:rPr>
        <w:t xml:space="preserve">Rewrite: </w:t>
      </w:r>
      <w:r>
        <w:t xml:space="preserve">the compound safety-question schemas, not as a one-off patch for the pregnancy clause but as a systematic decomposition of every bundled red-flag string in the file (Section 6) — and the output validator, from a two-check point-fix into the general rule-table framework it's already halfway to being (Section 10).</w:t>
      </w:r>
    </w:p>
    <w:p>
      <w:pPr>
        <w:spacing w:after="200" w:line="300"/>
        <w:jc w:val="both"/>
      </w:pPr>
      <w:r>
        <w:rPr>
          <w:b w:val="false"/>
          <w:bCs w:val="false"/>
          <w:i w:val="false"/>
          <w:iCs w:val="false"/>
        </w:rPr>
        <w:t xml:space="preserve">Nothing on this list is “start over.” That's the actual headline finding of this entire audit, worth restating plainly: Healio's foundation is sound enough that the work from here is extension, validation, and hardening — not a rebuild. That's a genuinely good position to be auditing from at this stage.</w:t>
      </w:r>
    </w:p>
    <w:p>
      <w:pPr>
        <w:pStyle w:val="Heading1"/>
        <w:pageBreakBefore/>
        <w:spacing w:after="240" w:before="480"/>
      </w:pPr>
      <w:r>
        <w:rPr>
          <w:b/>
          <w:bCs/>
          <w:color w:val="1F3864"/>
          <w:sz w:val="32"/>
          <w:szCs w:val="32"/>
        </w:rPr>
        <w:t xml:space="preserve">20. Prioritized Implementation Plan</w:t>
      </w:r>
    </w:p>
    <w:p>
      <w:pPr>
        <w:pStyle w:val="Heading3"/>
        <w:spacing w:after="120" w:before="260"/>
      </w:pPr>
      <w:r>
        <w:rPr>
          <w:b/>
          <w:bCs/>
          <w:color w:val="2E75B6"/>
          <w:sz w:val="23"/>
          <w:szCs w:val="23"/>
        </w:rPr>
        <w:t xml:space="preserve">Week 1</w:t>
      </w:r>
    </w:p>
    <w:p>
      <w:pPr>
        <w:pStyle w:val="ListParagraph"/>
        <w:numPr>
          <w:ilvl w:val="0"/>
          <w:numId w:val="2"/>
        </w:numPr>
        <w:spacing w:after="100" w:line="280"/>
      </w:pPr>
      <w:r>
        <w:t xml:space="preserve">Ship the compound-question decomposition and server-side gender resolution (P011, P015) — the confirmed bug's direct fix.</w:t>
      </w:r>
    </w:p>
    <w:p>
      <w:pPr>
        <w:pStyle w:val="ListParagraph"/>
        <w:numPr>
          <w:ilvl w:val="0"/>
          <w:numId w:val="2"/>
        </w:numPr>
        <w:spacing w:after="100" w:line="280"/>
      </w:pPr>
      <w:r>
        <w:t xml:space="preserve">Ship the remedy-layer emergency-tier suppression rule (P006) and the fail-safe response for total inference failure (P003).</w:t>
      </w:r>
    </w:p>
    <w:p>
      <w:pPr>
        <w:pStyle w:val="ListParagraph"/>
        <w:numPr>
          <w:ilvl w:val="0"/>
          <w:numId w:val="2"/>
        </w:numPr>
        <w:spacing w:after="100" w:line="280"/>
      </w:pPr>
      <w:r>
        <w:t xml:space="preserve">Write and land test T-R01 (the original bug, as a permanent CI-blocking regression test) before anything else in the suite.</w:t>
      </w:r>
    </w:p>
    <w:p>
      <w:pPr>
        <w:pStyle w:val="ListParagraph"/>
        <w:numPr>
          <w:ilvl w:val="0"/>
          <w:numId w:val="2"/>
        </w:numPr>
        <w:spacing w:after="100" w:line="280"/>
      </w:pPr>
      <w:r>
        <w:t xml:space="preserve">Escalate the anatomy-vs-identity gating decision (P013) to your clinical advisors explicitly — this needs a real decision this week, even if the engineering work to implement it takes longer.</w:t>
      </w:r>
    </w:p>
    <w:p>
      <w:pPr>
        <w:pStyle w:val="Heading3"/>
        <w:spacing w:after="120" w:before="260"/>
      </w:pPr>
      <w:r>
        <w:rPr>
          <w:b/>
          <w:bCs/>
          <w:color w:val="2E75B6"/>
          <w:sz w:val="23"/>
          <w:szCs w:val="23"/>
        </w:rPr>
        <w:t xml:space="preserve">Month 1</w:t>
      </w:r>
    </w:p>
    <w:p>
      <w:pPr>
        <w:pStyle w:val="ListParagraph"/>
        <w:numPr>
          <w:ilvl w:val="0"/>
          <w:numId w:val="2"/>
        </w:numPr>
        <w:spacing w:after="100" w:line="280"/>
      </w:pPr>
      <w:r>
        <w:t xml:space="preserve">Stand up the Clinical Safety and Demographic Bias test categories from the workbook as CI-blocking gates (P081, P083).</w:t>
      </w:r>
    </w:p>
    <w:p>
      <w:pPr>
        <w:pStyle w:val="ListParagraph"/>
        <w:numPr>
          <w:ilvl w:val="0"/>
          <w:numId w:val="2"/>
        </w:numPr>
        <w:spacing w:after="100" w:line="280"/>
      </w:pPr>
      <w:r>
        <w:t xml:space="preserve">Generalize the output validator into the rule-table framework (P051) and define its remediation path (P052).</w:t>
      </w:r>
    </w:p>
    <w:p>
      <w:pPr>
        <w:pStyle w:val="ListParagraph"/>
        <w:numPr>
          <w:ilvl w:val="0"/>
          <w:numId w:val="2"/>
        </w:numPr>
        <w:spacing w:after="100" w:line="280"/>
      </w:pPr>
      <w:r>
        <w:t xml:space="preserve">Commission the CDSCO SaMD classification determination and the DPDP gap assessment in parallel (P071, P073) — both are engagements that take calendar time to complete, so starting them in month one matters more than finishing them in month one.</w:t>
      </w:r>
    </w:p>
    <w:p>
      <w:pPr>
        <w:pStyle w:val="ListParagraph"/>
        <w:numPr>
          <w:ilvl w:val="0"/>
          <w:numId w:val="2"/>
        </w:numPr>
        <w:spacing w:after="100" w:line="280"/>
      </w:pPr>
      <w:r>
        <w:t xml:space="preserve">Lock down the dosage/drug-name hallucination guard (P046) and the cannot-miss-diagnosis checklist (P002).</w:t>
      </w:r>
    </w:p>
    <w:p>
      <w:pPr>
        <w:pStyle w:val="Heading3"/>
        <w:spacing w:after="120" w:before="260"/>
      </w:pPr>
      <w:r>
        <w:rPr>
          <w:b/>
          <w:bCs/>
          <w:color w:val="2E75B6"/>
          <w:sz w:val="23"/>
          <w:szCs w:val="23"/>
        </w:rPr>
        <w:t xml:space="preserve">3 Months</w:t>
      </w:r>
    </w:p>
    <w:p>
      <w:pPr>
        <w:pStyle w:val="ListParagraph"/>
        <w:numPr>
          <w:ilvl w:val="0"/>
          <w:numId w:val="2"/>
        </w:numPr>
        <w:spacing w:after="100" w:line="280"/>
      </w:pPr>
      <w:r>
        <w:t xml:space="preserve">Ship the persistent, decay-aware memory engine (P031, P032) — this is the largest build item in the plan and should start as soon as the month-one safety work frees up engineering capacity.</w:t>
      </w:r>
    </w:p>
    <w:p>
      <w:pPr>
        <w:pStyle w:val="ListParagraph"/>
        <w:numPr>
          <w:ilvl w:val="0"/>
          <w:numId w:val="2"/>
        </w:numPr>
        <w:spacing w:after="100" w:line="280"/>
      </w:pPr>
      <w:r>
        <w:t xml:space="preserve">Complete counsel review of the remedy layer against the Drugs and Magic Remedies Act and get a written AYUSH telemedicine position (P075, P076).</w:t>
      </w:r>
    </w:p>
    <w:p>
      <w:pPr>
        <w:pStyle w:val="ListParagraph"/>
        <w:numPr>
          <w:ilvl w:val="0"/>
          <w:numId w:val="2"/>
        </w:numPr>
        <w:spacing w:after="100" w:line="280"/>
      </w:pPr>
      <w:r>
        <w:t xml:space="preserve">Build the clinician-validated golden dataset with your clinical advisors (P082) and re-source prevalence priors against Indian epidemiological data (P022).</w:t>
      </w:r>
    </w:p>
    <w:p>
      <w:pPr>
        <w:pStyle w:val="ListParagraph"/>
        <w:numPr>
          <w:ilvl w:val="0"/>
          <w:numId w:val="2"/>
        </w:numPr>
        <w:spacing w:after="100" w:line="280"/>
      </w:pPr>
      <w:r>
        <w:t xml:space="preserve">Commission the independent Supabase RLS security review (P062).</w:t>
      </w:r>
    </w:p>
    <w:p>
      <w:pPr>
        <w:pStyle w:val="Heading3"/>
        <w:spacing w:after="120" w:before="260"/>
      </w:pPr>
      <w:r>
        <w:rPr>
          <w:b/>
          <w:bCs/>
          <w:color w:val="2E75B6"/>
          <w:sz w:val="23"/>
          <w:szCs w:val="23"/>
        </w:rPr>
        <w:t xml:space="preserve">6 Months</w:t>
      </w:r>
    </w:p>
    <w:p>
      <w:pPr>
        <w:pStyle w:val="ListParagraph"/>
        <w:numPr>
          <w:ilvl w:val="0"/>
          <w:numId w:val="2"/>
        </w:numPr>
        <w:spacing w:after="100" w:line="280"/>
      </w:pPr>
      <w:r>
        <w:t xml:space="preserve">Complete the atypical-presentation rule layer (P028) and the likelihood-ratio provenance tagging across the knowledge base (P024).</w:t>
      </w:r>
    </w:p>
    <w:p>
      <w:pPr>
        <w:pStyle w:val="ListParagraph"/>
        <w:numPr>
          <w:ilvl w:val="0"/>
          <w:numId w:val="2"/>
        </w:numPr>
        <w:spacing w:after="100" w:line="280"/>
      </w:pPr>
      <w:r>
        <w:t xml:space="preserve">Run the independent clinical-AI red-team exercise (P090).</w:t>
      </w:r>
    </w:p>
    <w:p>
      <w:pPr>
        <w:pStyle w:val="ListParagraph"/>
        <w:numPr>
          <w:ilvl w:val="0"/>
          <w:numId w:val="2"/>
        </w:numPr>
        <w:spacing w:after="100" w:line="280"/>
      </w:pPr>
      <w:r>
        <w:t xml:space="preserve">Have the CDSCO classification and licensing process (if Class C is confirmed) underway with a defined completion target.</w:t>
      </w:r>
    </w:p>
    <w:p>
      <w:pPr>
        <w:pStyle w:val="ListParagraph"/>
        <w:numPr>
          <w:ilvl w:val="0"/>
          <w:numId w:val="2"/>
        </w:numPr>
        <w:spacing w:after="100" w:line="280"/>
      </w:pPr>
      <w:r>
        <w:t xml:space="preserve">Extend the testing suite toward the brief's original full volume using the workbook's cases as the template, now that CI infrastructure and fixtures exist to support it.</w:t>
      </w:r>
    </w:p>
    <w:p>
      <w:pPr>
        <w:pStyle w:val="Heading3"/>
        <w:spacing w:after="120" w:before="260"/>
      </w:pPr>
      <w:r>
        <w:rPr>
          <w:b/>
          <w:bCs/>
          <w:color w:val="2E75B6"/>
          <w:sz w:val="23"/>
          <w:szCs w:val="23"/>
        </w:rPr>
        <w:t xml:space="preserve">1 Year</w:t>
      </w:r>
    </w:p>
    <w:p>
      <w:pPr>
        <w:pStyle w:val="ListParagraph"/>
        <w:numPr>
          <w:ilvl w:val="0"/>
          <w:numId w:val="2"/>
        </w:numPr>
        <w:spacing w:after="100" w:line="280"/>
      </w:pPr>
      <w:r>
        <w:t xml:space="preserve">Specialist-reviewed knowledge base expansion across the highest-risk specialties (cardiology, pediatrics, psychiatry) using the Section 5 rubric.</w:t>
      </w:r>
    </w:p>
    <w:p>
      <w:pPr>
        <w:pStyle w:val="ListParagraph"/>
        <w:numPr>
          <w:ilvl w:val="0"/>
          <w:numId w:val="2"/>
        </w:numPr>
        <w:spacing w:after="100" w:line="280"/>
      </w:pPr>
      <w:r>
        <w:t xml:space="preserve">Outcome-linked evaluation pipeline live (Section 18), generating the real-world evidence base that eventually supports published accuracy claims.</w:t>
      </w:r>
    </w:p>
    <w:p>
      <w:pPr>
        <w:pStyle w:val="ListParagraph"/>
        <w:numPr>
          <w:ilvl w:val="0"/>
          <w:numId w:val="2"/>
        </w:numPr>
        <w:spacing w:after="100" w:line="280"/>
      </w:pPr>
      <w:r>
        <w:t xml:space="preserve">A dedicated clinical-AI safety function established as a standing team, not a project.</w:t>
      </w:r>
    </w:p>
    <w:p>
      <w:pPr>
        <w:pStyle w:val="ListParagraph"/>
        <w:numPr>
          <w:ilvl w:val="0"/>
          <w:numId w:val="2"/>
        </w:numPr>
        <w:spacing w:after="100" w:line="280"/>
      </w:pPr>
      <w:r>
        <w:t xml:space="preserve">Revisit this entire report against your actual repository — ideally via a tool with direct code access — to confirm which “Framework”-tier findings from Section 2 turned out to be real gaps versus already-handled, and update the workbook accordingly.</w:t>
      </w:r>
    </w:p>
    <w:p>
      <w:pPr>
        <w:pStyle w:val="Heading1"/>
        <w:pageBreakBefore/>
        <w:spacing w:after="240" w:before="480"/>
      </w:pPr>
      <w:r>
        <w:rPr>
          <w:b/>
          <w:bCs/>
          <w:color w:val="1F3864"/>
          <w:sz w:val="32"/>
          <w:szCs w:val="32"/>
        </w:rPr>
        <w:t xml:space="preserve">Appendix: Sources for Researched Claims</w:t>
      </w:r>
    </w:p>
    <w:p>
      <w:pPr>
        <w:spacing w:after="200" w:line="300"/>
        <w:jc w:val="both"/>
      </w:pPr>
      <w:r>
        <w:rPr>
          <w:b w:val="false"/>
          <w:bCs w:val="false"/>
          <w:i w:val="false"/>
          <w:iCs w:val="false"/>
        </w:rPr>
        <w:t xml:space="preserve">Section 13 (Competitive Benchmark) and Section 15 (Regulatory Reality Check) draw on live web research conducted during this audit in August 2026, rather than on training data alone, specifically because both areas move fast enough that stale knowledge would mislead. Claims in those two sections are drawn from: company websites and published terms of service for Ada Health, Infermedica, K Health, Buoy Health, and OpenEvidence; recent news coverage of Babylon Health's 2023 insolvency and the acquisition of its UK operations by eMed Healthcare UK; a published BMJ Open study on symptom-checker diagnostic accuracy relative to physicians; India's CDSCO Medical Device Software guidance and subsequent legal and industry commentary on its 2026 implementation; and coverage of the Digital Personal Data Protection Act's phased rollout, including its Data Protection Board notification, Consent Manager provisions, and substantive-enforcement timeline. Every claim in those two sections should be treated as current as of August 2026 and reverified before being relied on for a specific regulatory filing or public competitive claim, given how quickly both areas are moving.</w:t>
      </w:r>
    </w:p>
    <w:sectPr>
      <w:footerReference w:type="default" r:id="rId7"/>
      <w:type w:val="continuous"/>
      <w:pgSz w:w="11908" w:h="16833"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Healio.AI Comprehensive Audit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2026-08-04T02:41:51.217Z</dcterms:created>
  <dcterms:modified xsi:type="dcterms:W3CDTF">2026-08-04T02:41:51.217Z</dcterms:modified>
</cp:coreProperties>
</file>

<file path=docProps/custom.xml><?xml version="1.0" encoding="utf-8"?>
<Properties xmlns="http://schemas.openxmlformats.org/officeDocument/2006/custom-properties" xmlns:vt="http://schemas.openxmlformats.org/officeDocument/2006/docPropsVTypes"/>
</file>