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Insights &amp; Recommendations — Rossmann Sales Forecasting</w:t>
      </w:r>
    </w:p>
    <w:p>
      <w:pPr>
        <w:pStyle w:val="Heading2"/>
      </w:pPr>
      <w:r>
        <w:t>1. Sales Patterns Observed</w:t>
      </w:r>
    </w:p>
    <w:p>
      <w:r>
        <w:t>• Sales exhibit clear seasonal movement, with repeated year-end peaks and early-year declines.</w:t>
        <w:br/>
        <w:t>• November–December consistently show higher sales activity.</w:t>
        <w:br/>
        <w:t>• January–February demonstrate the lowest demand, indicating potential operational slack.</w:t>
        <w:br/>
        <w:t>• Forecast uncertainty increases in future months, which is typical for time‑series projections.</w:t>
      </w:r>
    </w:p>
    <w:p>
      <w:pPr>
        <w:pStyle w:val="Heading2"/>
      </w:pPr>
      <w:r>
        <w:t>2. Forecast Summary (Next 6–12 Months)</w:t>
      </w:r>
    </w:p>
    <w:p>
      <w:r>
        <w:t>Short-term (1–3 months):</w:t>
        <w:br/>
        <w:t>• Moderate increase expected relative to the latest observed period.</w:t>
        <w:br/>
        <w:br/>
        <w:t>Mid-term (3–6 months):</w:t>
        <w:br/>
        <w:t>• Stabilizing trend with no major predicted shocks.</w:t>
        <w:br/>
        <w:br/>
        <w:t>Long-term (6–12 months):</w:t>
        <w:br/>
        <w:t>• Gradual upward movement, contingent on season repetition.</w:t>
        <w:br/>
        <w:br/>
        <w:t>These insights reflect the Prophet model’s output patterns. Real market projections depend on how external factors evolve during the forecast window.</w:t>
      </w:r>
    </w:p>
    <w:p>
      <w:pPr>
        <w:pStyle w:val="Heading2"/>
      </w:pPr>
      <w:r>
        <w:t>3. Operationally Significant Patterns</w:t>
      </w:r>
    </w:p>
    <w:p>
      <w:r>
        <w:t>• Holiday periods create predictable demand surges.</w:t>
        <w:br/>
        <w:t>• Promotional months amplify variability.</w:t>
        <w:br/>
        <w:t>• Monthly demand variation can be incorporated into staffing and procurement cycles.</w:t>
        <w:br/>
      </w:r>
    </w:p>
    <w:p>
      <w:pPr>
        <w:pStyle w:val="Heading2"/>
      </w:pPr>
      <w:r>
        <w:t>4. Actionable Recommendations</w:t>
      </w:r>
    </w:p>
    <w:p>
      <w:r>
        <w:t>Inventory Planning:</w:t>
        <w:br/>
        <w:t>• Increase stock levels before November–December.</w:t>
        <w:br/>
        <w:t>• Reduce procurement volumes during January–February.</w:t>
        <w:br/>
        <w:br/>
        <w:t>Marketing Strategy:</w:t>
        <w:br/>
        <w:t>• Allocate higher budgets to months with historically strong demand.</w:t>
        <w:br/>
        <w:t>• Expand retention and loyalty campaigns during slower months.</w:t>
        <w:br/>
        <w:br/>
        <w:t>Store Operations:</w:t>
        <w:br/>
        <w:t>• Adjust staffing to align with expected demand cycles.</w:t>
        <w:br/>
        <w:t>• Introduce flexible scheduling near promotional peaks.</w:t>
        <w:br/>
        <w:br/>
        <w:t>Risk Management:</w:t>
        <w:br/>
        <w:t>• Monitor forecast deviations closely.</w:t>
        <w:br/>
        <w:t>• Use model uncertainty intervals to prepare for possible dips.</w:t>
        <w:br/>
      </w:r>
    </w:p>
    <w:p>
      <w:pPr>
        <w:pStyle w:val="Heading2"/>
      </w:pPr>
      <w:r>
        <w:t>5. Business Utility of the Forecast</w:t>
      </w:r>
    </w:p>
    <w:p>
      <w:r>
        <w:t>• Management can align revenue expectations with seasonal patterns.</w:t>
        <w:br/>
        <w:t>• Supply-chain teams can optimize reorder points and reduce excess stock.</w:t>
        <w:br/>
        <w:t>• Finance teams can improve cash‑flow planning using predictable demand rises.</w:t>
        <w:br/>
        <w:t>• The model provides a practical, operations-ready view of expected sales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