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MASTER SERVICES AGREEMENT</w:t>
      </w:r>
    </w:p>
    <w:p>
      <w:pPr>
        <w:jc w:val="center"/>
      </w:pPr>
      <w:r>
        <w:rPr>
          <w:i/>
        </w:rPr>
        <w:t>Sample Contract for Legal Document Analysis Testing</w:t>
      </w:r>
    </w:p>
    <w:p>
      <w:r>
        <w:rPr>
          <w:b/>
          <w:sz w:val="24"/>
        </w:rPr>
        <w:t>1. Parties</w:t>
      </w:r>
    </w:p>
    <w:p>
      <w:r>
        <w:t>This Master Services Agreement (the “Agreement”) is entered into between Northstar Technologies Pvt. Ltd., a company incorporated under the laws of India (“Client”), and BluePeak Consulting LLP (“Service Provider”). The Client and Service Provider are individually a “Party” and together the “Parties.”</w:t>
      </w:r>
    </w:p>
    <w:p>
      <w:r>
        <w:rPr>
          <w:b/>
          <w:sz w:val="24"/>
        </w:rPr>
        <w:t>2. Effective Date and Term</w:t>
      </w:r>
    </w:p>
    <w:p>
      <w:r>
        <w:t>This Agreement becomes effective on 1 January 2027 (the “Effective Date”) and will continue for an initial term of twenty-four (24) months unless terminated earlier in accordance with this Agreement. After the initial term, the Agreement will automatically renew for successive twelve (12) month periods unless either Party gives written notice of non-renewal at least sixty (60) days before the end of the then-current term.</w:t>
      </w:r>
    </w:p>
    <w:p>
      <w:r>
        <w:rPr>
          <w:b/>
          <w:sz w:val="24"/>
        </w:rPr>
        <w:t>3. Scope of Services</w:t>
      </w:r>
    </w:p>
    <w:p>
      <w:r>
        <w:t>The Service Provider shall provide software development, technical consulting, application maintenance, and related professional services described in individual Statements of Work (“SOWs”). Each SOW will identify the applicable deliverables, milestones, fees, assumptions, and acceptance criteria.</w:t>
      </w:r>
    </w:p>
    <w:p>
      <w:r>
        <w:rPr>
          <w:b/>
          <w:sz w:val="24"/>
        </w:rPr>
        <w:t>4. Order of Precedence</w:t>
      </w:r>
    </w:p>
    <w:p>
      <w:r>
        <w:t>If there is a conflict between this Agreement and an SOW, this Agreement controls unless the SOW expressly identifies the provision of this Agreement that it overrides. A purchase order does not amend this Agreement and will have no effect to the extent it conflicts with this Agreement.</w:t>
      </w:r>
    </w:p>
    <w:p>
      <w:r>
        <w:br w:type="page"/>
      </w:r>
    </w:p>
    <w:p>
      <w:pPr>
        <w:jc w:val="center"/>
      </w:pPr>
      <w:r>
        <w:rPr>
          <w:b/>
          <w:sz w:val="32"/>
        </w:rPr>
        <w:t>MASTER SERVICES AGREEMENT — COMMERCIAL TERMS</w:t>
      </w:r>
    </w:p>
    <w:p>
      <w:r>
        <w:rPr>
          <w:b/>
          <w:sz w:val="24"/>
        </w:rPr>
        <w:t>5. Fees and Payment</w:t>
      </w:r>
    </w:p>
    <w:p>
      <w:r>
        <w:t>The Client shall pay the fees specified in each applicable SOW. Unless an SOW states otherwise, invoices are payable within thirty (30) calendar days after the invoice date. The Service Provider may suspend non-critical services if an undisputed invoice remains unpaid for more than fifteen (15) days after written notice of overdue payment.</w:t>
      </w:r>
    </w:p>
    <w:p>
      <w:r>
        <w:rPr>
          <w:b/>
          <w:sz w:val="24"/>
        </w:rPr>
        <w:t>6. Taxes</w:t>
      </w:r>
    </w:p>
    <w:p>
      <w:r>
        <w:t>Fees are exclusive of applicable goods and services taxes, value-added taxes, and similar indirect taxes. The Client shall be responsible for such taxes except taxes imposed on the Service Provider’s net income, payroll, or property.</w:t>
      </w:r>
    </w:p>
    <w:p>
      <w:r>
        <w:rPr>
          <w:b/>
          <w:sz w:val="24"/>
        </w:rPr>
        <w:t>7. Confidentiality</w:t>
      </w:r>
    </w:p>
    <w:p>
      <w:r>
        <w:t>Each Party may receive confidential business, technical, financial, or commercial information of the other Party. The receiving Party shall use such information only to perform or receive services under this Agreement and shall protect it using at least reasonable security measures. Confidentiality obligations do not apply to information that is publicly available without breach, was lawfully known before disclosure, is independently developed without use of confidential information, or must be disclosed by law.</w:t>
      </w:r>
    </w:p>
    <w:p>
      <w:r>
        <w:rPr>
          <w:b/>
          <w:sz w:val="24"/>
        </w:rPr>
        <w:t>8. Data Protection and Security</w:t>
      </w:r>
    </w:p>
    <w:p>
      <w:r>
        <w:t>The Service Provider shall implement reasonable administrative, technical, and organizational safeguards appropriate to the nature of the information processed. Where personal data is processed on behalf of the Client, the Parties shall comply with applicable data protection laws and any applicable data processing addendum agreed in writing.</w:t>
      </w:r>
    </w:p>
    <w:p>
      <w:r>
        <w:rPr>
          <w:b/>
          <w:sz w:val="24"/>
        </w:rPr>
        <w:t>9. Intellectual Property</w:t>
      </w:r>
    </w:p>
    <w:p>
      <w:r>
        <w:t>Each Party retains ownership of intellectual property that it owned before the Effective Date. Subject to payment of all applicable fees, the Client will own the final custom software deliverables specifically created for the Client under an SOW. The Service Provider retains ownership of its pre-existing tools, libraries, frameworks, templates, know-how, and generic development components.</w:t>
      </w:r>
    </w:p>
    <w:p>
      <w:r>
        <w:br w:type="page"/>
      </w:r>
    </w:p>
    <w:p>
      <w:pPr>
        <w:jc w:val="center"/>
      </w:pPr>
      <w:r>
        <w:rPr>
          <w:b/>
          <w:sz w:val="32"/>
        </w:rPr>
        <w:t>MASTER SERVICES AGREEMENT — LIABILITY &amp; TERMINATION</w:t>
      </w:r>
    </w:p>
    <w:p>
      <w:r>
        <w:rPr>
          <w:b/>
          <w:sz w:val="24"/>
        </w:rPr>
        <w:t>10. Warranties</w:t>
      </w:r>
    </w:p>
    <w:p>
      <w:r>
        <w:t>The Service Provider warrants that it will perform the services in a professional and workmanlike manner consistent with generally accepted industry standards. Except as expressly stated in this Agreement, the services are provided without additional warranties, whether express or implied.</w:t>
      </w:r>
    </w:p>
    <w:p>
      <w:r>
        <w:rPr>
          <w:b/>
          <w:sz w:val="24"/>
        </w:rPr>
        <w:t>11. Limitation of Liability</w:t>
      </w:r>
    </w:p>
    <w:p>
      <w:r>
        <w:t>Except for liability arising from a Party’s fraud, wilful misconduct, or breach of confidentiality, neither Party will be liable to the other for any indirect, incidental, special, consequential, or punitive damages, including loss of profits or loss of business opportunity.</w:t>
      </w:r>
    </w:p>
    <w:p>
      <w:r>
        <w:t>Subject to the exclusions above, each Party’s aggregate liability arising out of or relating to this Agreement will not exceed AED 100,000. The liability cap applies to all claims arising under contract, tort, negligence, or any other legal theory, except to the extent prohibited by applicable law.</w:t>
      </w:r>
    </w:p>
    <w:p>
      <w:r>
        <w:rPr>
          <w:b/>
          <w:sz w:val="24"/>
        </w:rPr>
        <w:t>12. Indemnification</w:t>
      </w:r>
    </w:p>
    <w:p>
      <w:r>
        <w:t>The Service Provider shall defend and indemnify the Client against third-party claims alleging that the Client’s authorized use of a custom deliverable infringes a third party’s intellectual property rights, provided that the Client promptly notifies the Service Provider and reasonably cooperates in the defense.</w:t>
      </w:r>
    </w:p>
    <w:p>
      <w:r>
        <w:rPr>
          <w:b/>
          <w:sz w:val="24"/>
        </w:rPr>
        <w:t>13. Termination for Cause</w:t>
      </w:r>
    </w:p>
    <w:p>
      <w:r>
        <w:t>Either Party may terminate this Agreement by written notice if the other Party materially breaches this Agreement and fails to cure the breach within thirty (30) days after receiving written notice describing the breach.</w:t>
      </w:r>
    </w:p>
    <w:p>
      <w:r>
        <w:rPr>
          <w:b/>
          <w:sz w:val="24"/>
        </w:rPr>
        <w:t>14. Termination for Convenience</w:t>
      </w:r>
    </w:p>
    <w:p>
      <w:r>
        <w:t>The Client may terminate this Agreement for convenience upon ninety (90) days’ prior written notice. The Service Provider may not terminate this Agreement for convenience during the initial term.</w:t>
      </w:r>
    </w:p>
    <w:p>
      <w:r>
        <w:br w:type="page"/>
      </w:r>
    </w:p>
    <w:p>
      <w:pPr>
        <w:jc w:val="center"/>
      </w:pPr>
      <w:r>
        <w:rPr>
          <w:b/>
          <w:sz w:val="32"/>
        </w:rPr>
        <w:t>MASTER SERVICES AGREEMENT — EFFECT OF TERMINATION</w:t>
      </w:r>
    </w:p>
    <w:p>
      <w:r>
        <w:rPr>
          <w:b/>
          <w:sz w:val="24"/>
        </w:rPr>
        <w:t>15. Effect of Termination</w:t>
      </w:r>
    </w:p>
    <w:p>
      <w:r>
        <w:t>Upon termination or expiration, the Client shall pay all undisputed amounts accrued through the effective date of termination. The Service Provider shall reasonably cooperate in transitioning active services to the Client or its designated replacement provider for up to thirty (30) days, subject to payment of the applicable transition fees.</w:t>
      </w:r>
    </w:p>
    <w:p>
      <w:r>
        <w:rPr>
          <w:b/>
          <w:sz w:val="24"/>
        </w:rPr>
        <w:t>16. Return and Deletion of Information</w:t>
      </w:r>
    </w:p>
    <w:p>
      <w:r>
        <w:t>Upon written request following termination, each Party shall return or securely delete the other Party’s Confidential Information, except that one archival copy may be retained where required by law or legitimate internal compliance requirements. Retained information remains subject to the confidentiality obligations of this Agreement.</w:t>
      </w:r>
    </w:p>
    <w:p>
      <w:r>
        <w:rPr>
          <w:b/>
          <w:sz w:val="24"/>
        </w:rPr>
        <w:t>17. Non-Solicitation</w:t>
      </w:r>
    </w:p>
    <w:p>
      <w:r>
        <w:t>During the term of this Agreement and for twelve (12) months thereafter, neither Party shall knowingly solicit for employment an employee of the other Party who was materially involved in providing or receiving services under an SOW. This restriction does not prohibit general advertisements or recruitment campaigns not specifically targeted at the other Party’s personnel.</w:t>
      </w:r>
    </w:p>
    <w:p>
      <w:r>
        <w:rPr>
          <w:b/>
          <w:sz w:val="24"/>
        </w:rPr>
        <w:t>18. Dispute Resolution</w:t>
      </w:r>
    </w:p>
    <w:p>
      <w:r>
        <w:t>The Parties shall first attempt in good faith to resolve any dispute through discussions between senior representatives. If the dispute is not resolved within thirty (30) days after written escalation, either Party may commence proceedings in the courts specified in Section 19.</w:t>
      </w:r>
    </w:p>
    <w:p>
      <w:r>
        <w:rPr>
          <w:b/>
          <w:sz w:val="24"/>
        </w:rPr>
        <w:t>19. Governing Law and Jurisdiction</w:t>
      </w:r>
    </w:p>
    <w:p>
      <w:r>
        <w:t>This Agreement shall be governed by the laws of the United Arab Emirates. The courts of Dubai, United Arab Emirates, shall have exclusive jurisdiction over disputes arising out of or relating to this Agreement.</w:t>
      </w:r>
    </w:p>
    <w:p>
      <w:r>
        <w:br w:type="page"/>
      </w:r>
    </w:p>
    <w:p>
      <w:pPr>
        <w:jc w:val="center"/>
      </w:pPr>
      <w:r>
        <w:rPr>
          <w:b/>
          <w:sz w:val="32"/>
        </w:rPr>
        <w:t>MASTER SERVICES AGREEMENT — GENERAL TERMS</w:t>
      </w:r>
    </w:p>
    <w:p>
      <w:r>
        <w:rPr>
          <w:b/>
          <w:sz w:val="24"/>
        </w:rPr>
        <w:t>20. Force Majeure</w:t>
      </w:r>
    </w:p>
    <w:p>
      <w:r>
        <w:t>Neither Party shall be liable for delay or failure to perform caused by events beyond its reasonable control, including natural disasters, war, terrorism, widespread telecommunications failures, governmental actions, or major infrastructure outages, provided that the affected Party promptly notifies the other Party and uses reasonable efforts to mitigate the impact.</w:t>
      </w:r>
    </w:p>
    <w:p>
      <w:r>
        <w:rPr>
          <w:b/>
          <w:sz w:val="24"/>
        </w:rPr>
        <w:t>21. Assignment</w:t>
      </w:r>
    </w:p>
    <w:p>
      <w:r>
        <w:t>Neither Party may assign this Agreement without the prior written consent of the other Party, except that either Party may assign the Agreement to an affiliate or in connection with a merger, reorganization, or sale of substantially all of its assets, provided the assignee assumes the assigning Party’s obligations.</w:t>
      </w:r>
    </w:p>
    <w:p>
      <w:r>
        <w:rPr>
          <w:b/>
          <w:sz w:val="24"/>
        </w:rPr>
        <w:t>22. Notices</w:t>
      </w:r>
    </w:p>
    <w:p>
      <w:r>
        <w:t>All notices under this Agreement must be in writing and delivered by recognized courier, registered mail, or email to the contact details specified in the applicable SOW. Notices by email are effective when the recipient acknowledges receipt.</w:t>
      </w:r>
    </w:p>
    <w:p>
      <w:r>
        <w:rPr>
          <w:b/>
          <w:sz w:val="24"/>
        </w:rPr>
        <w:t>23. Entire Agreement</w:t>
      </w:r>
    </w:p>
    <w:p>
      <w:r>
        <w:t>This Agreement, together with all executed SOWs and written amendments, constitutes the entire agreement between the Parties concerning its subject matter and supersedes prior discussions and agreements relating to that subject matter.</w:t>
      </w:r>
    </w:p>
    <w:p>
      <w:r>
        <w:rPr>
          <w:b/>
          <w:sz w:val="24"/>
        </w:rPr>
        <w:t>24. Amendments and Waiver</w:t>
      </w:r>
    </w:p>
    <w:p>
      <w:r>
        <w:t>Any amendment to this Agreement must be in writing and signed by authorized representatives of both Parties. A waiver of any provision is effective only if made in writing and signed by the Party granting the waiver.</w:t>
      </w:r>
    </w:p>
    <w:p>
      <w:r>
        <w:rPr>
          <w:b/>
          <w:sz w:val="24"/>
        </w:rPr>
        <w:t>25. Severability</w:t>
      </w:r>
    </w:p>
    <w:p>
      <w:r>
        <w:t>If any provision of this Agreement is held invalid or unenforceable, the remaining provisions will remain in effect. The Parties shall negotiate in good faith a valid replacement provision that most closely reflects the original commercial intent.</w:t>
      </w:r>
    </w:p>
    <w:p>
      <w:r>
        <w:rPr>
          <w:b/>
          <w:sz w:val="24"/>
        </w:rPr>
        <w:t>Signature</w:t>
      </w:r>
    </w:p>
    <w:p>
      <w:r>
        <w:t>For Northstar Technologies Pvt. Ltd.</w:t>
        <w:br/>
        <w:t>Name: ____________________</w:t>
        <w:br/>
        <w:t>Title: _____________________</w:t>
        <w:br/>
        <w:t>Date: _____________________</w:t>
      </w:r>
    </w:p>
    <w:p>
      <w:r>
        <w:t>For BluePeak Consulting LLP</w:t>
        <w:br/>
        <w:t>Name: ____________________</w:t>
        <w:br/>
        <w:t>Title: _____________________</w:t>
        <w:br/>
        <w:t>Date: 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