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5324B"/>
          <w:sz w:val="50"/>
        </w:rPr>
        <w:t>CONTRACT COMPARISON</w:t>
        <w:br/>
        <w:t>MODEL IMPROVEMENT REPORT</w:t>
      </w:r>
    </w:p>
    <w:p>
      <w:pPr>
        <w:jc w:val="center"/>
      </w:pPr>
      <w:r>
        <w:rPr>
          <w:i/>
          <w:sz w:val="24"/>
        </w:rPr>
        <w:t>Diagnosis, engineering changes, expected outputs, and validation plan</w:t>
      </w:r>
    </w:p>
    <w:p/>
    <w:p>
      <w:pPr>
        <w:jc w:val="center"/>
      </w:pPr>
      <w:r>
        <w:t>Prepared for the legal document analysis application</w:t>
        <w:br/>
      </w:r>
      <w:r>
        <w:t>Scope: document-to-document comparison for DOCX/PDF contracts</w:t>
        <w:br/>
      </w:r>
      <w:r>
        <w:t>Status: Engineering recommendations based on the observed comparison output</w:t>
      </w:r>
    </w:p>
    <w:p>
      <w:r>
        <w:br w:type="page"/>
      </w:r>
    </w:p>
    <w:p>
      <w:pPr>
        <w:pStyle w:val="Heading1"/>
      </w:pPr>
      <w:r>
        <w:t>1. Executive Summary</w:t>
      </w:r>
    </w:p>
    <w:p>
      <w:r>
        <w:t>The current comparison output is not reliable enough for legal-contract review. When the application compared the supplied Northstar–Meridian original and revised contracts, it returned a single item under “General Provisions” with “modifiedmedium Risk”. The quoted text was from the title/cover area and differed only slightly (“Fictional agreement create” versus “Fictional agreement created”). It did not surface the known material changes between the two test versions, including fees, payment terms, service availability, security obligations, liability, recovery objectives, contract term, and termination notice.</w:t>
      </w:r>
    </w:p>
    <w:p>
      <w:r>
        <w:t>The key recommendation is not to simply change the model or increase its temperature/context size. Treat this as an end-to-end comparison-pipeline issue until evidence shows otherwise. The system must reliably extract both documents, align corresponding clauses, identify changed/added/deleted clauses, compare legal and numeric terms, verify evidence against source text, and only then ask a language model to explain the significance of the verified differences.</w:t>
      </w:r>
    </w:p>
    <w:tbl>
      <w:tblPr>
        <w:tblStyle w:val="TableGrid"/>
        <w:tblW w:type="auto" w:w="0"/>
        <w:tblLook w:firstColumn="1" w:firstRow="1" w:lastColumn="0" w:lastRow="0" w:noHBand="0" w:noVBand="1" w:val="04A0"/>
      </w:tblPr>
      <w:tblGrid>
        <w:gridCol w:w="3360"/>
        <w:gridCol w:w="3360"/>
        <w:gridCol w:w="3360"/>
      </w:tblGrid>
      <w:tr>
        <w:tc>
          <w:tcPr>
            <w:tcW w:type="dxa" w:w="3360"/>
            <w:shd w:fill="D7E6EF"/>
          </w:tcPr>
          <w:p>
            <w:r/>
            <w:r>
              <w:rPr>
                <w:b/>
                <w:sz w:val="17"/>
              </w:rPr>
              <w:t>Priority</w:t>
            </w:r>
          </w:p>
        </w:tc>
        <w:tc>
          <w:tcPr>
            <w:tcW w:type="dxa" w:w="3360"/>
            <w:shd w:fill="D7E6EF"/>
          </w:tcPr>
          <w:p>
            <w:r/>
            <w:r>
              <w:rPr>
                <w:b/>
                <w:sz w:val="17"/>
              </w:rPr>
              <w:t>Required action</w:t>
            </w:r>
          </w:p>
        </w:tc>
        <w:tc>
          <w:tcPr>
            <w:tcW w:type="dxa" w:w="3360"/>
            <w:shd w:fill="D7E6EF"/>
          </w:tcPr>
          <w:p>
            <w:r/>
            <w:r>
              <w:rPr>
                <w:b/>
                <w:sz w:val="17"/>
              </w:rPr>
              <w:t>Why it matters</w:t>
            </w:r>
          </w:p>
        </w:tc>
      </w:tr>
      <w:tr>
        <w:tc>
          <w:tcPr>
            <w:tcW w:type="dxa" w:w="3360"/>
          </w:tcPr>
          <w:p>
            <w:r/>
            <w:r>
              <w:rPr>
                <w:b w:val="0"/>
                <w:sz w:val="17"/>
              </w:rPr>
              <w:t>P0 — Critical</w:t>
            </w:r>
          </w:p>
        </w:tc>
        <w:tc>
          <w:tcPr>
            <w:tcW w:type="dxa" w:w="3360"/>
          </w:tcPr>
          <w:p>
            <w:r/>
            <w:r>
              <w:rPr>
                <w:b w:val="0"/>
                <w:sz w:val="17"/>
              </w:rPr>
              <w:t>Inspect extraction, truncation, and exact model input</w:t>
            </w:r>
          </w:p>
        </w:tc>
        <w:tc>
          <w:tcPr>
            <w:tcW w:type="dxa" w:w="3360"/>
          </w:tcPr>
          <w:p>
            <w:r/>
            <w:r>
              <w:rPr>
                <w:b w:val="0"/>
                <w:sz w:val="17"/>
              </w:rPr>
              <w:t>The output suggests the system may have compared only the cover page or first text block.</w:t>
            </w:r>
          </w:p>
        </w:tc>
      </w:tr>
      <w:tr>
        <w:tc>
          <w:tcPr>
            <w:tcW w:type="dxa" w:w="3360"/>
          </w:tcPr>
          <w:p>
            <w:r/>
            <w:r>
              <w:rPr>
                <w:b w:val="0"/>
                <w:sz w:val="17"/>
              </w:rPr>
              <w:t>P0 — Critical</w:t>
            </w:r>
          </w:p>
        </w:tc>
        <w:tc>
          <w:tcPr>
            <w:tcW w:type="dxa" w:w="3360"/>
          </w:tcPr>
          <w:p>
            <w:r/>
            <w:r>
              <w:rPr>
                <w:b w:val="0"/>
                <w:sz w:val="17"/>
              </w:rPr>
              <w:t>Build clause-level alignment and deterministic difference detection</w:t>
            </w:r>
          </w:p>
        </w:tc>
        <w:tc>
          <w:tcPr>
            <w:tcW w:type="dxa" w:w="3360"/>
          </w:tcPr>
          <w:p>
            <w:r/>
            <w:r>
              <w:rPr>
                <w:b w:val="0"/>
                <w:sz w:val="17"/>
              </w:rPr>
              <w:t>Material changes must not be missed because clause positions or wording changed.</w:t>
            </w:r>
          </w:p>
        </w:tc>
      </w:tr>
      <w:tr>
        <w:tc>
          <w:tcPr>
            <w:tcW w:type="dxa" w:w="3360"/>
          </w:tcPr>
          <w:p>
            <w:r/>
            <w:r>
              <w:rPr>
                <w:b w:val="0"/>
                <w:sz w:val="17"/>
              </w:rPr>
              <w:t>P0 — Critical</w:t>
            </w:r>
          </w:p>
        </w:tc>
        <w:tc>
          <w:tcPr>
            <w:tcW w:type="dxa" w:w="3360"/>
          </w:tcPr>
          <w:p>
            <w:r/>
            <w:r>
              <w:rPr>
                <w:b w:val="0"/>
                <w:sz w:val="17"/>
              </w:rPr>
              <w:t>Add explicit numeric/obligation comparison and evidence validation</w:t>
            </w:r>
          </w:p>
        </w:tc>
        <w:tc>
          <w:tcPr>
            <w:tcW w:type="dxa" w:w="3360"/>
          </w:tcPr>
          <w:p>
            <w:r/>
            <w:r>
              <w:rPr>
                <w:b w:val="0"/>
                <w:sz w:val="17"/>
              </w:rPr>
              <w:t>Fees, deadlines, liability caps, SLAs, and security periods are high-impact terms.</w:t>
            </w:r>
          </w:p>
        </w:tc>
      </w:tr>
      <w:tr>
        <w:tc>
          <w:tcPr>
            <w:tcW w:type="dxa" w:w="3360"/>
          </w:tcPr>
          <w:p>
            <w:r/>
            <w:r>
              <w:rPr>
                <w:b w:val="0"/>
                <w:sz w:val="17"/>
              </w:rPr>
              <w:t>P1 — High</w:t>
            </w:r>
          </w:p>
        </w:tc>
        <w:tc>
          <w:tcPr>
            <w:tcW w:type="dxa" w:w="3360"/>
          </w:tcPr>
          <w:p>
            <w:r/>
            <w:r>
              <w:rPr>
                <w:b w:val="0"/>
                <w:sz w:val="17"/>
              </w:rPr>
              <w:t>Use a strict structured output schema and validate UI labels</w:t>
            </w:r>
          </w:p>
        </w:tc>
        <w:tc>
          <w:tcPr>
            <w:tcW w:type="dxa" w:w="3360"/>
          </w:tcPr>
          <w:p>
            <w:r/>
            <w:r>
              <w:rPr>
                <w:b w:val="0"/>
                <w:sz w:val="17"/>
              </w:rPr>
              <w:t>Prevents “modifiedmedium Risk” and invalid category/severity values.</w:t>
            </w:r>
          </w:p>
        </w:tc>
      </w:tr>
      <w:tr>
        <w:tc>
          <w:tcPr>
            <w:tcW w:type="dxa" w:w="3360"/>
          </w:tcPr>
          <w:p>
            <w:r/>
            <w:r>
              <w:rPr>
                <w:b w:val="0"/>
                <w:sz w:val="17"/>
              </w:rPr>
              <w:t>P1 — High</w:t>
            </w:r>
          </w:p>
        </w:tc>
        <w:tc>
          <w:tcPr>
            <w:tcW w:type="dxa" w:w="3360"/>
          </w:tcPr>
          <w:p>
            <w:r/>
            <w:r>
              <w:rPr>
                <w:b w:val="0"/>
                <w:sz w:val="17"/>
              </w:rPr>
              <w:t>Create a regression suite using known changes and unchanged clauses</w:t>
            </w:r>
          </w:p>
        </w:tc>
        <w:tc>
          <w:tcPr>
            <w:tcW w:type="dxa" w:w="3360"/>
          </w:tcPr>
          <w:p>
            <w:r/>
            <w:r>
              <w:rPr>
                <w:b w:val="0"/>
                <w:sz w:val="17"/>
              </w:rPr>
              <w:t>Makes quality measurable and prevents future regressions.</w:t>
            </w:r>
          </w:p>
        </w:tc>
      </w:tr>
    </w:tbl>
    <w:p/>
    <w:p>
      <w:pPr>
        <w:pStyle w:val="Heading1"/>
      </w:pPr>
      <w:r>
        <w:t>2. Observed Failure and Its Meaning</w:t>
      </w:r>
    </w:p>
    <w:p>
      <w:pPr>
        <w:pStyle w:val="Heading2"/>
      </w:pPr>
      <w:r>
        <w:t>2.1 What the application returned</w:t>
      </w:r>
    </w:p>
    <w:p>
      <w:pPr>
        <w:pStyle w:val="ListBullet"/>
      </w:pPr>
      <w:r>
        <w:t>Heading/category: “General Provisions”.</w:t>
      </w:r>
    </w:p>
    <w:p>
      <w:pPr>
        <w:pStyle w:val="ListBullet"/>
      </w:pPr>
      <w:r>
        <w:t>Displayed type and severity: “modifiedmedium Risk”, likely a formatting/schema mapping defect where “modified” and “medium Risk” were concatenated.</w:t>
      </w:r>
    </w:p>
    <w:p>
      <w:pPr>
        <w:pStyle w:val="ListBullet"/>
      </w:pPr>
      <w:r>
        <w:t>Version 1 and Version 2 excerpts: title/cover-page text, not the clauses where the seeded substantive changes occur.</w:t>
      </w:r>
    </w:p>
    <w:p>
      <w:pPr>
        <w:pStyle w:val="ListBullet"/>
      </w:pPr>
      <w:r>
        <w:t>The actual excerpt difference was minor wording around the fictional-document disclaimer; it does not justify a medium-risk legal finding on its own.</w:t>
      </w:r>
    </w:p>
    <w:p>
      <w:pPr>
        <w:pStyle w:val="Heading2"/>
      </w:pPr>
      <w:r>
        <w:t>2.2 What this indicates—and what it does not prove</w:t>
      </w:r>
    </w:p>
    <w:p>
      <w:r>
        <w:t>It proves that the result shown to the user is inadequate for the comparison task. It does not, by itself, prove that the language model is the sole cause. Likely causes include extraction failures, an accidental first-chunk-only prompt, context-window truncation, incorrect document pairing, poor clause matching, an overly broad prompt, output parsing errors, or a front-end rendering bug. Diagnose the pipeline before changing the model.</w:t>
      </w:r>
    </w:p>
    <w:tbl>
      <w:tblPr>
        <w:tblStyle w:val="TableGrid"/>
        <w:tblW w:type="auto" w:w="0"/>
        <w:tblLook w:firstColumn="1" w:firstRow="1" w:lastColumn="0" w:lastRow="0" w:noHBand="0" w:noVBand="1" w:val="04A0"/>
      </w:tblPr>
      <w:tblGrid>
        <w:gridCol w:w="3360"/>
        <w:gridCol w:w="3360"/>
        <w:gridCol w:w="3360"/>
      </w:tblGrid>
      <w:tr>
        <w:tc>
          <w:tcPr>
            <w:tcW w:type="dxa" w:w="3360"/>
            <w:shd w:fill="D7E6EF"/>
          </w:tcPr>
          <w:p>
            <w:r/>
            <w:r>
              <w:rPr>
                <w:b/>
                <w:sz w:val="17"/>
              </w:rPr>
              <w:t>Possible cause</w:t>
            </w:r>
          </w:p>
        </w:tc>
        <w:tc>
          <w:tcPr>
            <w:tcW w:type="dxa" w:w="3360"/>
            <w:shd w:fill="D7E6EF"/>
          </w:tcPr>
          <w:p>
            <w:r/>
            <w:r>
              <w:rPr>
                <w:b/>
                <w:sz w:val="17"/>
              </w:rPr>
              <w:t>Evidence to collect</w:t>
            </w:r>
          </w:p>
        </w:tc>
        <w:tc>
          <w:tcPr>
            <w:tcW w:type="dxa" w:w="3360"/>
            <w:shd w:fill="D7E6EF"/>
          </w:tcPr>
          <w:p>
            <w:r/>
            <w:r>
              <w:rPr>
                <w:b/>
                <w:sz w:val="17"/>
              </w:rPr>
              <w:t>How to interpret it</w:t>
            </w:r>
          </w:p>
        </w:tc>
      </w:tr>
      <w:tr>
        <w:tc>
          <w:tcPr>
            <w:tcW w:type="dxa" w:w="3360"/>
          </w:tcPr>
          <w:p>
            <w:r/>
            <w:r>
              <w:rPr>
                <w:b w:val="0"/>
                <w:sz w:val="17"/>
              </w:rPr>
              <w:t>Extraction failure</w:t>
            </w:r>
          </w:p>
        </w:tc>
        <w:tc>
          <w:tcPr>
            <w:tcW w:type="dxa" w:w="3360"/>
          </w:tcPr>
          <w:p>
            <w:r/>
            <w:r>
              <w:rPr>
                <w:b w:val="0"/>
                <w:sz w:val="17"/>
              </w:rPr>
              <w:t>Extracted character count, paragraph count, headings, page count, first/last 500 characters for each file</w:t>
            </w:r>
          </w:p>
        </w:tc>
        <w:tc>
          <w:tcPr>
            <w:tcW w:type="dxa" w:w="3360"/>
          </w:tcPr>
          <w:p>
            <w:r/>
            <w:r>
              <w:rPr>
                <w:b w:val="0"/>
                <w:sz w:val="17"/>
              </w:rPr>
              <w:t>If one document is mostly empty or missing later clauses, fix the parser first.</w:t>
            </w:r>
          </w:p>
        </w:tc>
      </w:tr>
      <w:tr>
        <w:tc>
          <w:tcPr>
            <w:tcW w:type="dxa" w:w="3360"/>
          </w:tcPr>
          <w:p>
            <w:r/>
            <w:r>
              <w:rPr>
                <w:b w:val="0"/>
                <w:sz w:val="17"/>
              </w:rPr>
              <w:t>Truncation or wrong input selection</w:t>
            </w:r>
          </w:p>
        </w:tc>
        <w:tc>
          <w:tcPr>
            <w:tcW w:type="dxa" w:w="3360"/>
          </w:tcPr>
          <w:p>
            <w:r/>
            <w:r>
              <w:rPr>
                <w:b w:val="0"/>
                <w:sz w:val="17"/>
              </w:rPr>
              <w:t>Exact request payload and exact text/chunks passed to the model</w:t>
            </w:r>
          </w:p>
        </w:tc>
        <w:tc>
          <w:tcPr>
            <w:tcW w:type="dxa" w:w="3360"/>
          </w:tcPr>
          <w:p>
            <w:r/>
            <w:r>
              <w:rPr>
                <w:b w:val="0"/>
                <w:sz w:val="17"/>
              </w:rPr>
              <w:t>If the model receives only the first page/chunk, prompt changes will not solve the root cause.</w:t>
            </w:r>
          </w:p>
        </w:tc>
      </w:tr>
      <w:tr>
        <w:tc>
          <w:tcPr>
            <w:tcW w:type="dxa" w:w="3360"/>
          </w:tcPr>
          <w:p>
            <w:r/>
            <w:r>
              <w:rPr>
                <w:b w:val="0"/>
                <w:sz w:val="17"/>
              </w:rPr>
              <w:t>Clause-alignment failure</w:t>
            </w:r>
          </w:p>
        </w:tc>
        <w:tc>
          <w:tcPr>
            <w:tcW w:type="dxa" w:w="3360"/>
          </w:tcPr>
          <w:p>
            <w:r/>
            <w:r>
              <w:rPr>
                <w:b w:val="0"/>
                <w:sz w:val="17"/>
              </w:rPr>
              <w:t>List of clause IDs/headings paired between versions</w:t>
            </w:r>
          </w:p>
        </w:tc>
        <w:tc>
          <w:tcPr>
            <w:tcW w:type="dxa" w:w="3360"/>
          </w:tcPr>
          <w:p>
            <w:r/>
            <w:r>
              <w:rPr>
                <w:b w:val="0"/>
                <w:sz w:val="17"/>
              </w:rPr>
              <w:t>If corresponding clauses are not paired, the comparison logic needs redesign.</w:t>
            </w:r>
          </w:p>
        </w:tc>
      </w:tr>
      <w:tr>
        <w:tc>
          <w:tcPr>
            <w:tcW w:type="dxa" w:w="3360"/>
          </w:tcPr>
          <w:p>
            <w:r/>
            <w:r>
              <w:rPr>
                <w:b w:val="0"/>
                <w:sz w:val="17"/>
              </w:rPr>
              <w:t>Model instruction/output issue</w:t>
            </w:r>
          </w:p>
        </w:tc>
        <w:tc>
          <w:tcPr>
            <w:tcW w:type="dxa" w:w="3360"/>
          </w:tcPr>
          <w:p>
            <w:r/>
            <w:r>
              <w:rPr>
                <w:b w:val="0"/>
                <w:sz w:val="17"/>
              </w:rPr>
              <w:t>Full prompt, raw model response, parsed JSON, validation errors</w:t>
            </w:r>
          </w:p>
        </w:tc>
        <w:tc>
          <w:tcPr>
            <w:tcW w:type="dxa" w:w="3360"/>
          </w:tcPr>
          <w:p>
            <w:r/>
            <w:r>
              <w:rPr>
                <w:b w:val="0"/>
                <w:sz w:val="17"/>
              </w:rPr>
              <w:t>If full aligned clauses are provided but changes are omitted, improve the model task and schema.</w:t>
            </w:r>
          </w:p>
        </w:tc>
      </w:tr>
      <w:tr>
        <w:tc>
          <w:tcPr>
            <w:tcW w:type="dxa" w:w="3360"/>
          </w:tcPr>
          <w:p>
            <w:r/>
            <w:r>
              <w:rPr>
                <w:b w:val="0"/>
                <w:sz w:val="17"/>
              </w:rPr>
              <w:t>UI/schema defect</w:t>
            </w:r>
          </w:p>
        </w:tc>
        <w:tc>
          <w:tcPr>
            <w:tcW w:type="dxa" w:w="3360"/>
          </w:tcPr>
          <w:p>
            <w:r/>
            <w:r>
              <w:rPr>
                <w:b w:val="0"/>
                <w:sz w:val="17"/>
              </w:rPr>
              <w:t>Raw JSON plus rendered labels and risk/type fields</w:t>
            </w:r>
          </w:p>
        </w:tc>
        <w:tc>
          <w:tcPr>
            <w:tcW w:type="dxa" w:w="3360"/>
          </w:tcPr>
          <w:p>
            <w:r/>
            <w:r>
              <w:rPr>
                <w:b w:val="0"/>
                <w:sz w:val="17"/>
              </w:rPr>
              <w:t>If JSON is correct but the UI says “modifiedmedium Risk”, fix the display mapping.</w:t>
            </w:r>
          </w:p>
        </w:tc>
      </w:tr>
    </w:tbl>
    <w:p/>
    <w:p>
      <w:pPr>
        <w:pStyle w:val="Heading1"/>
      </w:pPr>
      <w:r>
        <w:t>3. Target Architecture</w:t>
      </w:r>
    </w:p>
    <w:p>
      <w:r>
        <w:t>Use a staged pipeline. The model should not be responsible for reading two large files from scratch, discovering every difference, inventing source locations, deciding whether its own quotations are verified, and formatting the final UI all in one step.</w:t>
      </w:r>
    </w:p>
    <w:p>
      <w:pPr>
        <w:pStyle w:val="ListNumber"/>
      </w:pPr>
      <w:r>
        <w:t>Ingestion: accept both files, identify format, validate file size/type, assign stable document IDs and versions.</w:t>
      </w:r>
    </w:p>
    <w:p>
      <w:pPr>
        <w:pStyle w:val="ListNumber"/>
      </w:pPr>
      <w:r>
        <w:t>Text extraction: extract paragraphs, tables, headings, numbering, and page references where available. Preserve original text and structure.</w:t>
      </w:r>
    </w:p>
    <w:p>
      <w:pPr>
        <w:pStyle w:val="ListNumber"/>
      </w:pPr>
      <w:r>
        <w:t>Normalization: create a comparison copy with normalized whitespace and Unicode for matching, while retaining original text for display. Do not erase meaningful punctuation, currency symbols, percentages, negative signs, or clause numbering.</w:t>
      </w:r>
    </w:p>
    <w:p>
      <w:pPr>
        <w:pStyle w:val="ListNumber"/>
      </w:pPr>
      <w:r>
        <w:t>Segmentation: divide documents into sections and clauses using headings, numbering patterns, paragraph structure, and table boundaries.</w:t>
      </w:r>
    </w:p>
    <w:p>
      <w:pPr>
        <w:pStyle w:val="ListNumber"/>
      </w:pPr>
      <w:r>
        <w:t>Clause alignment: match clauses by heading/number, then semantic/text similarity; allow renumbered or moved clauses to be matched without requiring identical positions.</w:t>
      </w:r>
    </w:p>
    <w:p>
      <w:pPr>
        <w:pStyle w:val="ListNumber"/>
      </w:pPr>
      <w:r>
        <w:t>Deterministic diff: detect exact textual edits, additions, deletions, and changes to dates, amounts, percentages, deadlines, party names, and defined terms.</w:t>
      </w:r>
    </w:p>
    <w:p>
      <w:pPr>
        <w:pStyle w:val="ListNumber"/>
      </w:pPr>
      <w:r>
        <w:t>Legal-term extraction: compare structured fields for payment, fees, term/renewal, termination, liability, indemnity, insurance, SLA, security, privacy, audit, confidentiality, governing law, and disaster recovery.</w:t>
      </w:r>
    </w:p>
    <w:p>
      <w:pPr>
        <w:pStyle w:val="ListNumber"/>
      </w:pPr>
      <w:r>
        <w:t>LLM analysis: explain the difference and potential business/legal effect using only the aligned source clauses and extracted facts.</w:t>
      </w:r>
    </w:p>
    <w:p>
      <w:pPr>
        <w:pStyle w:val="ListNumber"/>
      </w:pPr>
      <w:r>
        <w:t>Evidence verification: verify every quoted excerpt against the relevant source document; compute source offsets and page/paragraph references in the backend.</w:t>
      </w:r>
    </w:p>
    <w:p>
      <w:pPr>
        <w:pStyle w:val="ListNumber"/>
      </w:pPr>
      <w:r>
        <w:t>Validation and rendering: validate the response against a schema, calculate or calibrate risk labels, and render change type and risk in separate UI fields.</w:t>
      </w:r>
    </w:p>
    <w:p>
      <w:pPr>
        <w:pStyle w:val="Heading1"/>
      </w:pPr>
      <w:r>
        <w:t>4. Detailed Engineering Changes</w:t>
      </w:r>
    </w:p>
    <w:p>
      <w:pPr>
        <w:pStyle w:val="Heading2"/>
      </w:pPr>
      <w:r>
        <w:t>4.1 Extraction and completeness checks</w:t>
      </w:r>
    </w:p>
    <w:p>
      <w:pPr>
        <w:pStyle w:val="ListBullet"/>
      </w:pPr>
      <w:r>
        <w:t>Record per file: extracted character count, word count, paragraph count, table count, heading count, page count (if supported), and extraction warnings.</w:t>
      </w:r>
    </w:p>
    <w:p>
      <w:pPr>
        <w:pStyle w:val="ListBullet"/>
      </w:pPr>
      <w:r>
        <w:t>Log the exact document IDs and text/chunk IDs included in each model request. Do not log sensitive full contract text in production logs; use secure debug mode or hashes/limited excerpts.</w:t>
      </w:r>
    </w:p>
    <w:p>
      <w:pPr>
        <w:pStyle w:val="ListBullet"/>
      </w:pPr>
      <w:r>
        <w:t>Compare first, middle, and last portions of extracted text to confirm later clauses are present.</w:t>
      </w:r>
    </w:p>
    <w:p>
      <w:pPr>
        <w:pStyle w:val="ListBullet"/>
      </w:pPr>
      <w:r>
        <w:t>Preserve table content. Commercial schedules and fee tables may contain the most important changes.</w:t>
      </w:r>
    </w:p>
    <w:p>
      <w:pPr>
        <w:pStyle w:val="ListBullet"/>
      </w:pPr>
      <w:r>
        <w:t>Detect empty or suspiciously short extraction and stop the comparison with a clear error rather than returning a misleading result.</w:t>
      </w:r>
    </w:p>
    <w:p>
      <w:pPr>
        <w:pStyle w:val="ListBullet"/>
      </w:pPr>
      <w:r>
        <w:t>If PDF extraction is poor because the file is scanned, route to OCR and label OCR confidence. Never silently treat missing OCR text as unchanged content.</w:t>
      </w:r>
    </w:p>
    <w:p>
      <w:pPr>
        <w:pStyle w:val="Heading2"/>
      </w:pPr>
      <w:r>
        <w:t>4.2 Clause segmentation and alignment</w:t>
      </w:r>
    </w:p>
    <w:p>
      <w:pPr>
        <w:pStyle w:val="ListBullet"/>
      </w:pPr>
      <w:r>
        <w:t>Represent each clause as a record with document_id, clause_id, heading, numbering, text, page/paragraph references, and optional parent section.</w:t>
      </w:r>
    </w:p>
    <w:p>
      <w:pPr>
        <w:pStyle w:val="ListBullet"/>
      </w:pPr>
      <w:r>
        <w:t>Use a matching hierarchy: stable clause number and heading first; normalized text similarity second; semantic similarity as a fallback.</w:t>
      </w:r>
    </w:p>
    <w:p>
      <w:pPr>
        <w:pStyle w:val="ListBullet"/>
      </w:pPr>
      <w:r>
        <w:t>Support one-to-one, one-to-many, and many-to-one matches because clauses can be split, merged, moved, or renumbered.</w:t>
      </w:r>
    </w:p>
    <w:p>
      <w:pPr>
        <w:pStyle w:val="ListBullet"/>
      </w:pPr>
      <w:r>
        <w:t>Mark clauses as unchanged, modified, added, deleted, moved, or uncertain. Do not classify a clause as deleted merely because it failed to align.</w:t>
      </w:r>
    </w:p>
    <w:p>
      <w:pPr>
        <w:pStyle w:val="ListBullet"/>
      </w:pPr>
      <w:r>
        <w:t>Keep an “unmatched clauses” review queue. Low-confidence alignment should be surfaced rather than hidden.</w:t>
      </w:r>
    </w:p>
    <w:p>
      <w:pPr>
        <w:pStyle w:val="ListBullet"/>
      </w:pPr>
      <w:r>
        <w:t>Avoid aligning solely by array index; insertions near the beginning would shift all later positions and create false differences.</w:t>
      </w:r>
    </w:p>
    <w:p>
      <w:pPr>
        <w:pStyle w:val="Heading2"/>
      </w:pPr>
      <w:r>
        <w:t>4.3 Deterministic diff before LLM interpretation</w:t>
      </w:r>
    </w:p>
    <w:p>
      <w:pPr>
        <w:pStyle w:val="ListBullet"/>
      </w:pPr>
      <w:r>
        <w:t>Run a text diff on each aligned clause to identify added and removed spans.</w:t>
      </w:r>
    </w:p>
    <w:p>
      <w:pPr>
        <w:pStyle w:val="ListBullet"/>
      </w:pPr>
      <w:r>
        <w:t>Extract and compare numeric tokens with their surrounding labels: currency, amount, percentage, number of days/hours, term length, retention duration, RTO/RPO, insurance limit, and SLA target.</w:t>
      </w:r>
    </w:p>
    <w:p>
      <w:pPr>
        <w:pStyle w:val="ListBullet"/>
      </w:pPr>
      <w:r>
        <w:t>Compare obligation language and modal verbs: “must”, “shall”, “may”, “will”, “is entitled to”, “is not required to”, “only if”, “unless”, and negations such as “not” or “except”.</w:t>
      </w:r>
    </w:p>
    <w:p>
      <w:pPr>
        <w:pStyle w:val="ListBullet"/>
      </w:pPr>
      <w:r>
        <w:t>Flag changes to exceptions, conditions, scope, responsible party, timing, and remedy—not just changed nouns or numbers.</w:t>
      </w:r>
    </w:p>
    <w:p>
      <w:pPr>
        <w:pStyle w:val="ListBullet"/>
      </w:pPr>
      <w:r>
        <w:t>Treat a clause with a changed number or negation as requiring review even if the overall text similarity is very high.</w:t>
      </w:r>
    </w:p>
    <w:p>
      <w:pPr>
        <w:pStyle w:val="ListBullet"/>
      </w:pPr>
      <w:r>
        <w:t>Use the LLM to explain and contextualize detected differences, not as the only mechanism for discovering whether text changed.</w:t>
      </w:r>
    </w:p>
    <w:p>
      <w:pPr>
        <w:pStyle w:val="Heading2"/>
      </w:pPr>
      <w:r>
        <w:t>4.4 Legal-domain comparison categories</w:t>
      </w:r>
    </w:p>
    <w:tbl>
      <w:tblPr>
        <w:tblStyle w:val="TableGrid"/>
        <w:tblW w:type="auto" w:w="0"/>
        <w:tblLook w:firstColumn="1" w:firstRow="1" w:lastColumn="0" w:lastRow="0" w:noHBand="0" w:noVBand="1" w:val="04A0"/>
      </w:tblPr>
      <w:tblGrid>
        <w:gridCol w:w="3360"/>
        <w:gridCol w:w="3360"/>
        <w:gridCol w:w="3360"/>
      </w:tblGrid>
      <w:tr>
        <w:tc>
          <w:tcPr>
            <w:tcW w:type="dxa" w:w="3360"/>
            <w:shd w:fill="D7E6EF"/>
          </w:tcPr>
          <w:p>
            <w:r/>
            <w:r>
              <w:rPr>
                <w:b/>
                <w:sz w:val="17"/>
              </w:rPr>
              <w:t>Category</w:t>
            </w:r>
          </w:p>
        </w:tc>
        <w:tc>
          <w:tcPr>
            <w:tcW w:type="dxa" w:w="3360"/>
            <w:shd w:fill="D7E6EF"/>
          </w:tcPr>
          <w:p>
            <w:r/>
            <w:r>
              <w:rPr>
                <w:b/>
                <w:sz w:val="17"/>
              </w:rPr>
              <w:t>Fields/rules to compare</w:t>
            </w:r>
          </w:p>
        </w:tc>
        <w:tc>
          <w:tcPr>
            <w:tcW w:type="dxa" w:w="3360"/>
            <w:shd w:fill="D7E6EF"/>
          </w:tcPr>
          <w:p>
            <w:r/>
            <w:r>
              <w:rPr>
                <w:b/>
                <w:sz w:val="17"/>
              </w:rPr>
              <w:t>Examples of material changes</w:t>
            </w:r>
          </w:p>
        </w:tc>
      </w:tr>
      <w:tr>
        <w:tc>
          <w:tcPr>
            <w:tcW w:type="dxa" w:w="3360"/>
          </w:tcPr>
          <w:p>
            <w:r/>
            <w:r>
              <w:rPr>
                <w:b w:val="0"/>
                <w:sz w:val="17"/>
              </w:rPr>
              <w:t>Commercial</w:t>
            </w:r>
          </w:p>
        </w:tc>
        <w:tc>
          <w:tcPr>
            <w:tcW w:type="dxa" w:w="3360"/>
          </w:tcPr>
          <w:p>
            <w:r/>
            <w:r>
              <w:rPr>
                <w:b w:val="0"/>
                <w:sz w:val="17"/>
              </w:rPr>
              <w:t>Fees, billing frequency, expenses, taxes, price adjustments</w:t>
            </w:r>
          </w:p>
        </w:tc>
        <w:tc>
          <w:tcPr>
            <w:tcW w:type="dxa" w:w="3360"/>
          </w:tcPr>
          <w:p>
            <w:r/>
            <w:r>
              <w:rPr>
                <w:b w:val="0"/>
                <w:sz w:val="17"/>
              </w:rPr>
              <w:t>AED 28,000/month → AED 32,000/month</w:t>
            </w:r>
          </w:p>
        </w:tc>
      </w:tr>
      <w:tr>
        <w:tc>
          <w:tcPr>
            <w:tcW w:type="dxa" w:w="3360"/>
          </w:tcPr>
          <w:p>
            <w:r/>
            <w:r>
              <w:rPr>
                <w:b w:val="0"/>
                <w:sz w:val="17"/>
              </w:rPr>
              <w:t>Payment</w:t>
            </w:r>
          </w:p>
        </w:tc>
        <w:tc>
          <w:tcPr>
            <w:tcW w:type="dxa" w:w="3360"/>
          </w:tcPr>
          <w:p>
            <w:r/>
            <w:r>
              <w:rPr>
                <w:b w:val="0"/>
                <w:sz w:val="17"/>
              </w:rPr>
              <w:t>Due date, dispute window, late interest, withholding rights</w:t>
            </w:r>
          </w:p>
        </w:tc>
        <w:tc>
          <w:tcPr>
            <w:tcW w:type="dxa" w:w="3360"/>
          </w:tcPr>
          <w:p>
            <w:r/>
            <w:r>
              <w:rPr>
                <w:b w:val="0"/>
                <w:sz w:val="17"/>
              </w:rPr>
              <w:t>30 → 45 calendar days</w:t>
            </w:r>
          </w:p>
        </w:tc>
      </w:tr>
      <w:tr>
        <w:tc>
          <w:tcPr>
            <w:tcW w:type="dxa" w:w="3360"/>
          </w:tcPr>
          <w:p>
            <w:r/>
            <w:r>
              <w:rPr>
                <w:b w:val="0"/>
                <w:sz w:val="17"/>
              </w:rPr>
              <w:t>Term and renewal</w:t>
            </w:r>
          </w:p>
        </w:tc>
        <w:tc>
          <w:tcPr>
            <w:tcW w:type="dxa" w:w="3360"/>
          </w:tcPr>
          <w:p>
            <w:r/>
            <w:r>
              <w:rPr>
                <w:b w:val="0"/>
                <w:sz w:val="17"/>
              </w:rPr>
              <w:t>Initial term, renewal duration, notice deadline</w:t>
            </w:r>
          </w:p>
        </w:tc>
        <w:tc>
          <w:tcPr>
            <w:tcW w:type="dxa" w:w="3360"/>
          </w:tcPr>
          <w:p>
            <w:r/>
            <w:r>
              <w:rPr>
                <w:b w:val="0"/>
                <w:sz w:val="17"/>
              </w:rPr>
              <w:t>24 → 36 months</w:t>
            </w:r>
          </w:p>
        </w:tc>
      </w:tr>
      <w:tr>
        <w:tc>
          <w:tcPr>
            <w:tcW w:type="dxa" w:w="3360"/>
          </w:tcPr>
          <w:p>
            <w:r/>
            <w:r>
              <w:rPr>
                <w:b w:val="0"/>
                <w:sz w:val="17"/>
              </w:rPr>
              <w:t>Termination</w:t>
            </w:r>
          </w:p>
        </w:tc>
        <w:tc>
          <w:tcPr>
            <w:tcW w:type="dxa" w:w="3360"/>
          </w:tcPr>
          <w:p>
            <w:r/>
            <w:r>
              <w:rPr>
                <w:b w:val="0"/>
                <w:sz w:val="17"/>
              </w:rPr>
              <w:t>Convenience notice, cause, cure period, fees on termination</w:t>
            </w:r>
          </w:p>
        </w:tc>
        <w:tc>
          <w:tcPr>
            <w:tcW w:type="dxa" w:w="3360"/>
          </w:tcPr>
          <w:p>
            <w:r/>
            <w:r>
              <w:rPr>
                <w:b w:val="0"/>
                <w:sz w:val="17"/>
              </w:rPr>
              <w:t>90 → 30 days' notice</w:t>
            </w:r>
          </w:p>
        </w:tc>
      </w:tr>
      <w:tr>
        <w:tc>
          <w:tcPr>
            <w:tcW w:type="dxa" w:w="3360"/>
          </w:tcPr>
          <w:p>
            <w:r/>
            <w:r>
              <w:rPr>
                <w:b w:val="0"/>
                <w:sz w:val="17"/>
              </w:rPr>
              <w:t>Service levels</w:t>
            </w:r>
          </w:p>
        </w:tc>
        <w:tc>
          <w:tcPr>
            <w:tcW w:type="dxa" w:w="3360"/>
          </w:tcPr>
          <w:p>
            <w:r/>
            <w:r>
              <w:rPr>
                <w:b w:val="0"/>
                <w:sz w:val="17"/>
              </w:rPr>
              <w:t>Availability, response/restoration targets, service credits</w:t>
            </w:r>
          </w:p>
        </w:tc>
        <w:tc>
          <w:tcPr>
            <w:tcW w:type="dxa" w:w="3360"/>
          </w:tcPr>
          <w:p>
            <w:r/>
            <w:r>
              <w:rPr>
                <w:b w:val="0"/>
                <w:sz w:val="17"/>
              </w:rPr>
              <w:t>99.7% → 99.0% availability</w:t>
            </w:r>
          </w:p>
        </w:tc>
      </w:tr>
      <w:tr>
        <w:tc>
          <w:tcPr>
            <w:tcW w:type="dxa" w:w="3360"/>
          </w:tcPr>
          <w:p>
            <w:r/>
            <w:r>
              <w:rPr>
                <w:b w:val="0"/>
                <w:sz w:val="17"/>
              </w:rPr>
              <w:t>Security and privacy</w:t>
            </w:r>
          </w:p>
        </w:tc>
        <w:tc>
          <w:tcPr>
            <w:tcW w:type="dxa" w:w="3360"/>
          </w:tcPr>
          <w:p>
            <w:r/>
            <w:r>
              <w:rPr>
                <w:b w:val="0"/>
                <w:sz w:val="17"/>
              </w:rPr>
              <w:t>Incident notice, log retention, data return/deletion, audit rights</w:t>
            </w:r>
          </w:p>
        </w:tc>
        <w:tc>
          <w:tcPr>
            <w:tcW w:type="dxa" w:w="3360"/>
          </w:tcPr>
          <w:p>
            <w:r/>
            <w:r>
              <w:rPr>
                <w:b w:val="0"/>
                <w:sz w:val="17"/>
              </w:rPr>
              <w:t>24 → 72 hours; 180 → 90 days</w:t>
            </w:r>
          </w:p>
        </w:tc>
      </w:tr>
      <w:tr>
        <w:tc>
          <w:tcPr>
            <w:tcW w:type="dxa" w:w="3360"/>
          </w:tcPr>
          <w:p>
            <w:r/>
            <w:r>
              <w:rPr>
                <w:b w:val="0"/>
                <w:sz w:val="17"/>
              </w:rPr>
              <w:t>Liability and insurance</w:t>
            </w:r>
          </w:p>
        </w:tc>
        <w:tc>
          <w:tcPr>
            <w:tcW w:type="dxa" w:w="3360"/>
          </w:tcPr>
          <w:p>
            <w:r/>
            <w:r>
              <w:rPr>
                <w:b w:val="0"/>
                <w:sz w:val="17"/>
              </w:rPr>
              <w:t>Liability caps, carve-outs, indemnities, policy limits</w:t>
            </w:r>
          </w:p>
        </w:tc>
        <w:tc>
          <w:tcPr>
            <w:tcW w:type="dxa" w:w="3360"/>
          </w:tcPr>
          <w:p>
            <w:r/>
            <w:r>
              <w:rPr>
                <w:b w:val="0"/>
                <w:sz w:val="17"/>
              </w:rPr>
              <w:t>AED 2m → AED 1m insurance limit</w:t>
            </w:r>
          </w:p>
        </w:tc>
      </w:tr>
      <w:tr>
        <w:tc>
          <w:tcPr>
            <w:tcW w:type="dxa" w:w="3360"/>
          </w:tcPr>
          <w:p>
            <w:r/>
            <w:r>
              <w:rPr>
                <w:b w:val="0"/>
                <w:sz w:val="17"/>
              </w:rPr>
              <w:t>Business continuity</w:t>
            </w:r>
          </w:p>
        </w:tc>
        <w:tc>
          <w:tcPr>
            <w:tcW w:type="dxa" w:w="3360"/>
          </w:tcPr>
          <w:p>
            <w:r/>
            <w:r>
              <w:rPr>
                <w:b w:val="0"/>
                <w:sz w:val="17"/>
              </w:rPr>
              <w:t>RTO, RPO, backup, disaster recovery obligations</w:t>
            </w:r>
          </w:p>
        </w:tc>
        <w:tc>
          <w:tcPr>
            <w:tcW w:type="dxa" w:w="3360"/>
          </w:tcPr>
          <w:p>
            <w:r/>
            <w:r>
              <w:rPr>
                <w:b w:val="0"/>
                <w:sz w:val="17"/>
              </w:rPr>
              <w:t>RTO 8 → 12 hours; RPO 1 → 4 hours</w:t>
            </w:r>
          </w:p>
        </w:tc>
      </w:tr>
      <w:tr>
        <w:tc>
          <w:tcPr>
            <w:tcW w:type="dxa" w:w="3360"/>
          </w:tcPr>
          <w:p>
            <w:r/>
            <w:r>
              <w:rPr>
                <w:b w:val="0"/>
                <w:sz w:val="17"/>
              </w:rPr>
              <w:t>Governance and compliance</w:t>
            </w:r>
          </w:p>
        </w:tc>
        <w:tc>
          <w:tcPr>
            <w:tcW w:type="dxa" w:w="3360"/>
          </w:tcPr>
          <w:p>
            <w:r/>
            <w:r>
              <w:rPr>
                <w:b w:val="0"/>
                <w:sz w:val="17"/>
              </w:rPr>
              <w:t>Regulatory cooperation, review meetings, reporting, subcontractors</w:t>
            </w:r>
          </w:p>
        </w:tc>
        <w:tc>
          <w:tcPr>
            <w:tcW w:type="dxa" w:w="3360"/>
          </w:tcPr>
          <w:p>
            <w:r/>
            <w:r>
              <w:rPr>
                <w:b w:val="0"/>
                <w:sz w:val="17"/>
              </w:rPr>
              <w:t>Clause added or removed</w:t>
            </w:r>
          </w:p>
        </w:tc>
      </w:tr>
      <w:tr>
        <w:tc>
          <w:tcPr>
            <w:tcW w:type="dxa" w:w="3360"/>
          </w:tcPr>
          <w:p>
            <w:r/>
            <w:r>
              <w:rPr>
                <w:b w:val="0"/>
                <w:sz w:val="17"/>
              </w:rPr>
              <w:t>IP and confidentiality</w:t>
            </w:r>
          </w:p>
        </w:tc>
        <w:tc>
          <w:tcPr>
            <w:tcW w:type="dxa" w:w="3360"/>
          </w:tcPr>
          <w:p>
            <w:r/>
            <w:r>
              <w:rPr>
                <w:b w:val="0"/>
                <w:sz w:val="17"/>
              </w:rPr>
              <w:t>Ownership, license scope, permitted use, disclosure exceptions</w:t>
            </w:r>
          </w:p>
        </w:tc>
        <w:tc>
          <w:tcPr>
            <w:tcW w:type="dxa" w:w="3360"/>
          </w:tcPr>
          <w:p>
            <w:r/>
            <w:r>
              <w:rPr>
                <w:b w:val="0"/>
                <w:sz w:val="17"/>
              </w:rPr>
              <w:t>Broader permitted use of feedback/suggestions</w:t>
            </w:r>
          </w:p>
        </w:tc>
      </w:tr>
    </w:tbl>
    <w:p/>
    <w:p>
      <w:pPr>
        <w:pStyle w:val="Heading2"/>
      </w:pPr>
      <w:r>
        <w:t>4.5 Model prompt and task design</w:t>
      </w:r>
    </w:p>
    <w:p>
      <w:r>
        <w:t>Do not prompt the model with “compare these two contracts” and rely on a single free-form answer. Supply one aligned clause pair or a small bounded batch of clause pairs, plus deterministic diff spans and extracted numeric facts. Ask the model to interpret only those differences, identify the affected party, explain the practical consequence, and state uncertainty where the legal effect depends on context.</w:t>
      </w:r>
    </w:p>
    <w:p>
      <w:r>
        <w:t>Recommended prompt requirements:</w:t>
      </w:r>
    </w:p>
    <w:p>
      <w:pPr>
        <w:pStyle w:val="ListBullet"/>
      </w:pPr>
      <w:r>
        <w:t>The provided source clauses are the only evidence. Do not invent clauses, quotes, amounts, dates, page numbers, or facts.</w:t>
      </w:r>
    </w:p>
    <w:p>
      <w:pPr>
        <w:pStyle w:val="ListBullet"/>
      </w:pPr>
      <w:r>
        <w:t>Report all material differences in the supplied pair; do not summarize the whole document instead of comparing it.</w:t>
      </w:r>
    </w:p>
    <w:p>
      <w:pPr>
        <w:pStyle w:val="ListBullet"/>
      </w:pPr>
      <w:r>
        <w:t>Explicitly evaluate changed numbers, deadlines, percentages, caps, retention periods, obligations, exceptions, and negations.</w:t>
      </w:r>
    </w:p>
    <w:p>
      <w:pPr>
        <w:pStyle w:val="ListBullet"/>
      </w:pPr>
      <w:r>
        <w:t>If a difference is only formatting, spelling, or cover-page metadata, classify it as non-substantive or low significance unless it changes a legal fact.</w:t>
      </w:r>
    </w:p>
    <w:p>
      <w:pPr>
        <w:pStyle w:val="ListBullet"/>
      </w:pPr>
      <w:r>
        <w:t>If the effect cannot be determined from the clauses, say what context is missing and lower confidence; do not manufacture certainty.</w:t>
      </w:r>
    </w:p>
    <w:p>
      <w:pPr>
        <w:pStyle w:val="ListBullet"/>
      </w:pPr>
      <w:r>
        <w:t>Return machine-readable JSON matching the schema exactly. Do not include markdown around the JSON.</w:t>
      </w:r>
    </w:p>
    <w:p>
      <w:pPr>
        <w:pStyle w:val="ListBullet"/>
      </w:pPr>
      <w:r>
        <w:t>Do not claim a quote is verified. The backend performs verification after the model response.</w:t>
      </w:r>
    </w:p>
    <w:p>
      <w:pPr>
        <w:pStyle w:val="Heading2"/>
      </w:pPr>
      <w:r>
        <w:t>4.6 Structured output schema and UI</w:t>
      </w:r>
    </w:p>
    <w:p>
      <w:r>
        <w:t>A recommended response object for each change:</w:t>
      </w:r>
    </w:p>
    <w:p>
      <w:pPr>
        <w:pStyle w:val="NoSpacing"/>
      </w:pPr>
      <w:r>
        <w:t>{</w:t>
        <w:br/>
        <w:t xml:space="preserve">  "change_id": "stable-id",</w:t>
        <w:br/>
        <w:t xml:space="preserve">  "section": "Payment Terms",</w:t>
        <w:br/>
        <w:t xml:space="preserve">  "clause_reference": {"v1": "5.2", "v2": "5.2"},</w:t>
        <w:br/>
        <w:t xml:space="preserve">  "change_type": "modified",</w:t>
        <w:br/>
        <w:t xml:space="preserve">  "risk_level": "high",</w:t>
        <w:br/>
        <w:t xml:space="preserve">  "significance": "material",</w:t>
        <w:br/>
        <w:t xml:space="preserve">  "original_excerpt": "Payment is due within 30 calendar days...",</w:t>
        <w:br/>
        <w:t xml:space="preserve">  "revised_excerpt": "Payment is due within 45 calendar days...",</w:t>
        <w:br/>
        <w:t xml:space="preserve">  "difference_summary": "The payment deadline is extended by 15 days.",</w:t>
        <w:br/>
        <w:t xml:space="preserve">  "potential_impact": "May delay cash collection for the service provider.",</w:t>
        <w:br/>
        <w:t xml:space="preserve">  "affected_party": "Service Provider",</w:t>
        <w:br/>
        <w:t xml:space="preserve">  "confidence": 0.96,</w:t>
        <w:br/>
        <w:t xml:space="preserve">  "needs_human_review": true</w:t>
        <w:br/>
        <w:t>}</w:t>
      </w:r>
    </w:p>
    <w:p>
      <w:r>
        <w:t>This is an illustrative schema, not legal advice or a claim that these exact values are correct. Validate enum values and required fields on the server. Render change_type and risk_level independently; never concatenate them into a label such as “modifiedmedium Risk”. Use a controlled set such as added/deleted/modified/moved/unchanged and low/medium/high/critical.</w:t>
      </w:r>
    </w:p>
    <w:p>
      <w:pPr>
        <w:pStyle w:val="ListBullet"/>
      </w:pPr>
      <w:r>
        <w:t>Risk should be derived from a documented rubric and the nature of the change; do not rely only on a model-generated label.</w:t>
      </w:r>
    </w:p>
    <w:p>
      <w:pPr>
        <w:pStyle w:val="ListBullet"/>
      </w:pPr>
      <w:r>
        <w:t>Show original and revised excerpts side by side with additions/removals highlighted.</w:t>
      </w:r>
    </w:p>
    <w:p>
      <w:pPr>
        <w:pStyle w:val="ListBullet"/>
      </w:pPr>
      <w:r>
        <w:t>Display section/clause reference and page number only when computed or reliably provided by extraction.</w:t>
      </w:r>
    </w:p>
    <w:p>
      <w:pPr>
        <w:pStyle w:val="ListBullet"/>
      </w:pPr>
      <w:r>
        <w:t>Provide a confidence indicator and “needs review” status for ambiguous alignment or low-confidence legal interpretation.</w:t>
      </w:r>
    </w:p>
    <w:p>
      <w:pPr>
        <w:pStyle w:val="ListBullet"/>
      </w:pPr>
      <w:r>
        <w:t>Allow filtering by high-risk changes, category, and change type; show unchanged clauses only on request.</w:t>
      </w:r>
    </w:p>
    <w:p>
      <w:pPr>
        <w:pStyle w:val="Heading2"/>
      </w:pPr>
      <w:r>
        <w:t>4.7 Quote and location verification</w:t>
      </w:r>
    </w:p>
    <w:p>
      <w:pPr>
        <w:pStyle w:val="ListBullet"/>
      </w:pPr>
      <w:r>
        <w:t>Verify each excerpt against the correct source version after normalization of harmless whitespace/Unicode variations.</w:t>
      </w:r>
    </w:p>
    <w:p>
      <w:pPr>
        <w:pStyle w:val="ListBullet"/>
      </w:pPr>
      <w:r>
        <w:t>Use exact normalized substring matching; do not fuzzy-match legal amounts, percentages, dates, party names, or obligation wording.</w:t>
      </w:r>
    </w:p>
    <w:p>
      <w:pPr>
        <w:pStyle w:val="ListBullet"/>
      </w:pPr>
      <w:r>
        <w:t>Compute source offsets and page/paragraph locations in backend code. Never trust model-generated offsets or a model's “verified: true” claim.</w:t>
      </w:r>
    </w:p>
    <w:p>
      <w:pPr>
        <w:pStyle w:val="ListBullet"/>
      </w:pPr>
      <w:r>
        <w:t>If an excerpt cannot be verified, reject it, retry with the exact source clause, or mark the item as unverified and do not present it as a citation.</w:t>
      </w:r>
    </w:p>
    <w:p>
      <w:pPr>
        <w:pStyle w:val="ListBullet"/>
      </w:pPr>
      <w:r>
        <w:t>Keep the original unnormalized text for user display and auditability.</w:t>
      </w:r>
    </w:p>
    <w:p>
      <w:pPr>
        <w:pStyle w:val="Heading2"/>
      </w:pPr>
      <w:r>
        <w:t>4.8 Chunking and context management</w:t>
      </w:r>
    </w:p>
    <w:p>
      <w:pPr>
        <w:pStyle w:val="ListBullet"/>
      </w:pPr>
      <w:r>
        <w:t>Do not silently truncate the whole contract to fit a model request.</w:t>
      </w:r>
    </w:p>
    <w:p>
      <w:pPr>
        <w:pStyle w:val="ListBullet"/>
      </w:pPr>
      <w:r>
        <w:t>Compare aligned clause pairs in bounded batches, with section context and relevant definitions where needed.</w:t>
      </w:r>
    </w:p>
    <w:p>
      <w:pPr>
        <w:pStyle w:val="ListBullet"/>
      </w:pPr>
      <w:r>
        <w:t>For cross-clause dependencies (for example, liability cap exceptions referring to indemnity), provide the matched clause plus referenced definitions/clauses.</w:t>
      </w:r>
    </w:p>
    <w:p>
      <w:pPr>
        <w:pStyle w:val="ListBullet"/>
      </w:pPr>
      <w:r>
        <w:t>Store per-batch status and aggregate validated changes after all batches finish.</w:t>
      </w:r>
    </w:p>
    <w:p>
      <w:pPr>
        <w:pStyle w:val="ListBullet"/>
      </w:pPr>
      <w:r>
        <w:t>Ensure every clause in both versions is accounted for as aligned, added, deleted, or uncertain; report coverage statistics.</w:t>
      </w:r>
    </w:p>
    <w:p>
      <w:pPr>
        <w:pStyle w:val="ListBullet"/>
      </w:pPr>
      <w:r>
        <w:t>If using retrieval for very large documents, use it to find related context, not as a substitute for exhaustive clause inventory and systematic pairwise comparison.</w:t>
      </w:r>
    </w:p>
    <w:p>
      <w:pPr>
        <w:pStyle w:val="Heading1"/>
      </w:pPr>
      <w:r>
        <w:t>5. Seeded Test Contract: Expected Differences</w:t>
      </w:r>
    </w:p>
    <w:p>
      <w:r>
        <w:t>The two Northstar–Meridian test contracts were intentionally prepared with known edits. These are regression-test expectations, not legal conclusions. The comparison engine should identify each change, quote the relevant original and revised text, point to the correct section, and explain the direction of impact without overclaiming.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7E6EF"/>
          </w:tcPr>
          <w:p>
            <w:r/>
            <w:r>
              <w:rPr>
                <w:b/>
                <w:sz w:val="17"/>
              </w:rPr>
              <w:t>Test ID</w:t>
            </w:r>
          </w:p>
        </w:tc>
        <w:tc>
          <w:tcPr>
            <w:tcW w:type="dxa" w:w="2520"/>
            <w:shd w:fill="D7E6EF"/>
          </w:tcPr>
          <w:p>
            <w:r/>
            <w:r>
              <w:rPr>
                <w:b/>
                <w:sz w:val="17"/>
              </w:rPr>
              <w:t>Expected change (V1 → V2)</w:t>
            </w:r>
          </w:p>
        </w:tc>
        <w:tc>
          <w:tcPr>
            <w:tcW w:type="dxa" w:w="2520"/>
            <w:shd w:fill="D7E6EF"/>
          </w:tcPr>
          <w:p>
            <w:r/>
            <w:r>
              <w:rPr>
                <w:b/>
                <w:sz w:val="17"/>
              </w:rPr>
              <w:t>Expected comparison result</w:t>
            </w:r>
          </w:p>
        </w:tc>
        <w:tc>
          <w:tcPr>
            <w:tcW w:type="dxa" w:w="2520"/>
            <w:shd w:fill="D7E6EF"/>
          </w:tcPr>
          <w:p>
            <w:r/>
            <w:r>
              <w:rPr>
                <w:b/>
                <w:sz w:val="17"/>
              </w:rPr>
              <w:t>Suggested review priority</w:t>
            </w:r>
          </w:p>
        </w:tc>
      </w:tr>
      <w:tr>
        <w:tc>
          <w:tcPr>
            <w:tcW w:type="dxa" w:w="2520"/>
          </w:tcPr>
          <w:p>
            <w:r/>
            <w:r>
              <w:rPr>
                <w:b w:val="0"/>
                <w:sz w:val="17"/>
              </w:rPr>
              <w:t>C01</w:t>
            </w:r>
          </w:p>
        </w:tc>
        <w:tc>
          <w:tcPr>
            <w:tcW w:type="dxa" w:w="2520"/>
          </w:tcPr>
          <w:p>
            <w:r/>
            <w:r>
              <w:rPr>
                <w:b w:val="0"/>
                <w:sz w:val="17"/>
              </w:rPr>
              <w:t>Monthly managed service fee: AED 28,000 → AED 32,000</w:t>
            </w:r>
          </w:p>
        </w:tc>
        <w:tc>
          <w:tcPr>
            <w:tcW w:type="dxa" w:w="2520"/>
          </w:tcPr>
          <w:p>
            <w:r/>
            <w:r>
              <w:rPr>
                <w:b w:val="0"/>
                <w:sz w:val="17"/>
              </w:rPr>
              <w:t>Modified; increase of AED 4,000/month; commercial cost increases for Client</w:t>
            </w:r>
          </w:p>
        </w:tc>
        <w:tc>
          <w:tcPr>
            <w:tcW w:type="dxa" w:w="2520"/>
          </w:tcPr>
          <w:p>
            <w:r/>
            <w:r>
              <w:rPr>
                <w:b w:val="0"/>
                <w:sz w:val="17"/>
              </w:rPr>
              <w:t>High</w:t>
            </w:r>
          </w:p>
        </w:tc>
      </w:tr>
      <w:tr>
        <w:tc>
          <w:tcPr>
            <w:tcW w:type="dxa" w:w="2520"/>
          </w:tcPr>
          <w:p>
            <w:r/>
            <w:r>
              <w:rPr>
                <w:b w:val="0"/>
                <w:sz w:val="17"/>
              </w:rPr>
              <w:t>C02</w:t>
            </w:r>
          </w:p>
        </w:tc>
        <w:tc>
          <w:tcPr>
            <w:tcW w:type="dxa" w:w="2520"/>
          </w:tcPr>
          <w:p>
            <w:r/>
            <w:r>
              <w:rPr>
                <w:b w:val="0"/>
                <w:sz w:val="17"/>
              </w:rPr>
              <w:t>Invoice payment deadline: 30 → 45 calendar days</w:t>
            </w:r>
          </w:p>
        </w:tc>
        <w:tc>
          <w:tcPr>
            <w:tcW w:type="dxa" w:w="2520"/>
          </w:tcPr>
          <w:p>
            <w:r/>
            <w:r>
              <w:rPr>
                <w:b w:val="0"/>
                <w:sz w:val="17"/>
              </w:rPr>
              <w:t>Modified; payment is due 15 days later</w:t>
            </w:r>
          </w:p>
        </w:tc>
        <w:tc>
          <w:tcPr>
            <w:tcW w:type="dxa" w:w="2520"/>
          </w:tcPr>
          <w:p>
            <w:r/>
            <w:r>
              <w:rPr>
                <w:b w:val="0"/>
                <w:sz w:val="17"/>
              </w:rPr>
              <w:t>Medium</w:t>
            </w:r>
          </w:p>
        </w:tc>
      </w:tr>
      <w:tr>
        <w:tc>
          <w:tcPr>
            <w:tcW w:type="dxa" w:w="2520"/>
          </w:tcPr>
          <w:p>
            <w:r/>
            <w:r>
              <w:rPr>
                <w:b w:val="0"/>
                <w:sz w:val="17"/>
              </w:rPr>
              <w:t>C03</w:t>
            </w:r>
          </w:p>
        </w:tc>
        <w:tc>
          <w:tcPr>
            <w:tcW w:type="dxa" w:w="2520"/>
          </w:tcPr>
          <w:p>
            <w:r/>
            <w:r>
              <w:rPr>
                <w:b w:val="0"/>
                <w:sz w:val="17"/>
              </w:rPr>
              <w:t>Production integration availability: 99.7% → 99.0%</w:t>
            </w:r>
          </w:p>
        </w:tc>
        <w:tc>
          <w:tcPr>
            <w:tcW w:type="dxa" w:w="2520"/>
          </w:tcPr>
          <w:p>
            <w:r/>
            <w:r>
              <w:rPr>
                <w:b w:val="0"/>
                <w:sz w:val="17"/>
              </w:rPr>
              <w:t>Modified; lower availability commitment</w:t>
            </w:r>
          </w:p>
        </w:tc>
        <w:tc>
          <w:tcPr>
            <w:tcW w:type="dxa" w:w="2520"/>
          </w:tcPr>
          <w:p>
            <w:r/>
            <w:r>
              <w:rPr>
                <w:b w:val="0"/>
                <w:sz w:val="17"/>
              </w:rPr>
              <w:t>High</w:t>
            </w:r>
          </w:p>
        </w:tc>
      </w:tr>
      <w:tr>
        <w:tc>
          <w:tcPr>
            <w:tcW w:type="dxa" w:w="2520"/>
          </w:tcPr>
          <w:p>
            <w:r/>
            <w:r>
              <w:rPr>
                <w:b w:val="0"/>
                <w:sz w:val="17"/>
              </w:rPr>
              <w:t>C04</w:t>
            </w:r>
          </w:p>
        </w:tc>
        <w:tc>
          <w:tcPr>
            <w:tcW w:type="dxa" w:w="2520"/>
          </w:tcPr>
          <w:p>
            <w:r/>
            <w:r>
              <w:rPr>
                <w:b w:val="0"/>
                <w:sz w:val="17"/>
              </w:rPr>
              <w:t>Incident notification: 24 → 72 hours</w:t>
            </w:r>
          </w:p>
        </w:tc>
        <w:tc>
          <w:tcPr>
            <w:tcW w:type="dxa" w:w="2520"/>
          </w:tcPr>
          <w:p>
            <w:r/>
            <w:r>
              <w:rPr>
                <w:b w:val="0"/>
                <w:sz w:val="17"/>
              </w:rPr>
              <w:t>Modified; notification window is extended by 48 hours</w:t>
            </w:r>
          </w:p>
        </w:tc>
        <w:tc>
          <w:tcPr>
            <w:tcW w:type="dxa" w:w="2520"/>
          </w:tcPr>
          <w:p>
            <w:r/>
            <w:r>
              <w:rPr>
                <w:b w:val="0"/>
                <w:sz w:val="17"/>
              </w:rPr>
              <w:t>High</w:t>
            </w:r>
          </w:p>
        </w:tc>
      </w:tr>
      <w:tr>
        <w:tc>
          <w:tcPr>
            <w:tcW w:type="dxa" w:w="2520"/>
          </w:tcPr>
          <w:p>
            <w:r/>
            <w:r>
              <w:rPr>
                <w:b w:val="0"/>
                <w:sz w:val="17"/>
              </w:rPr>
              <w:t>C05</w:t>
            </w:r>
          </w:p>
        </w:tc>
        <w:tc>
          <w:tcPr>
            <w:tcW w:type="dxa" w:w="2520"/>
          </w:tcPr>
          <w:p>
            <w:r/>
            <w:r>
              <w:rPr>
                <w:b w:val="0"/>
                <w:sz w:val="17"/>
              </w:rPr>
              <w:t>Security log retention: 180 → 90 days</w:t>
            </w:r>
          </w:p>
        </w:tc>
        <w:tc>
          <w:tcPr>
            <w:tcW w:type="dxa" w:w="2520"/>
          </w:tcPr>
          <w:p>
            <w:r/>
            <w:r>
              <w:rPr>
                <w:b w:val="0"/>
                <w:sz w:val="17"/>
              </w:rPr>
              <w:t>Modified; retention period is halved</w:t>
            </w:r>
          </w:p>
        </w:tc>
        <w:tc>
          <w:tcPr>
            <w:tcW w:type="dxa" w:w="2520"/>
          </w:tcPr>
          <w:p>
            <w:r/>
            <w:r>
              <w:rPr>
                <w:b w:val="0"/>
                <w:sz w:val="17"/>
              </w:rPr>
              <w:t>High</w:t>
            </w:r>
          </w:p>
        </w:tc>
      </w:tr>
      <w:tr>
        <w:tc>
          <w:tcPr>
            <w:tcW w:type="dxa" w:w="2520"/>
          </w:tcPr>
          <w:p>
            <w:r/>
            <w:r>
              <w:rPr>
                <w:b w:val="0"/>
                <w:sz w:val="17"/>
              </w:rPr>
              <w:t>C06</w:t>
            </w:r>
          </w:p>
        </w:tc>
        <w:tc>
          <w:tcPr>
            <w:tcW w:type="dxa" w:w="2520"/>
          </w:tcPr>
          <w:p>
            <w:r/>
            <w:r>
              <w:rPr>
                <w:b w:val="0"/>
                <w:sz w:val="17"/>
              </w:rPr>
              <w:t>Client Data return/deletion: 30 → 60 days</w:t>
            </w:r>
          </w:p>
        </w:tc>
        <w:tc>
          <w:tcPr>
            <w:tcW w:type="dxa" w:w="2520"/>
          </w:tcPr>
          <w:p>
            <w:r/>
            <w:r>
              <w:rPr>
                <w:b w:val="0"/>
                <w:sz w:val="17"/>
              </w:rPr>
              <w:t>Modified; longer post-termination completion window</w:t>
            </w:r>
          </w:p>
        </w:tc>
        <w:tc>
          <w:tcPr>
            <w:tcW w:type="dxa" w:w="2520"/>
          </w:tcPr>
          <w:p>
            <w:r/>
            <w:r>
              <w:rPr>
                <w:b w:val="0"/>
                <w:sz w:val="17"/>
              </w:rPr>
              <w:t>Medium</w:t>
            </w:r>
          </w:p>
        </w:tc>
      </w:tr>
      <w:tr>
        <w:tc>
          <w:tcPr>
            <w:tcW w:type="dxa" w:w="2520"/>
          </w:tcPr>
          <w:p>
            <w:r/>
            <w:r>
              <w:rPr>
                <w:b w:val="0"/>
                <w:sz w:val="17"/>
              </w:rPr>
              <w:t>C07</w:t>
            </w:r>
          </w:p>
        </w:tc>
        <w:tc>
          <w:tcPr>
            <w:tcW w:type="dxa" w:w="2520"/>
          </w:tcPr>
          <w:p>
            <w:r/>
            <w:r>
              <w:rPr>
                <w:b w:val="0"/>
                <w:sz w:val="17"/>
              </w:rPr>
              <w:t>Acceptance testing period: 10 → 15 Business Days</w:t>
            </w:r>
          </w:p>
        </w:tc>
        <w:tc>
          <w:tcPr>
            <w:tcW w:type="dxa" w:w="2520"/>
          </w:tcPr>
          <w:p>
            <w:r/>
            <w:r>
              <w:rPr>
                <w:b w:val="0"/>
                <w:sz w:val="17"/>
              </w:rPr>
              <w:t>Modified; acceptance window extended by 5 business days</w:t>
            </w:r>
          </w:p>
        </w:tc>
        <w:tc>
          <w:tcPr>
            <w:tcW w:type="dxa" w:w="2520"/>
          </w:tcPr>
          <w:p>
            <w:r/>
            <w:r>
              <w:rPr>
                <w:b w:val="0"/>
                <w:sz w:val="17"/>
              </w:rPr>
              <w:t>Medium</w:t>
            </w:r>
          </w:p>
        </w:tc>
      </w:tr>
      <w:tr>
        <w:tc>
          <w:tcPr>
            <w:tcW w:type="dxa" w:w="2520"/>
          </w:tcPr>
          <w:p>
            <w:r/>
            <w:r>
              <w:rPr>
                <w:b w:val="0"/>
                <w:sz w:val="17"/>
              </w:rPr>
              <w:t>C08</w:t>
            </w:r>
          </w:p>
        </w:tc>
        <w:tc>
          <w:tcPr>
            <w:tcW w:type="dxa" w:w="2520"/>
          </w:tcPr>
          <w:p>
            <w:r/>
            <w:r>
              <w:rPr>
                <w:b w:val="0"/>
                <w:sz w:val="17"/>
              </w:rPr>
              <w:t>Professional indemnity insurance: AED 2,000,000 → AED 1,000,000</w:t>
            </w:r>
          </w:p>
        </w:tc>
        <w:tc>
          <w:tcPr>
            <w:tcW w:type="dxa" w:w="2520"/>
          </w:tcPr>
          <w:p>
            <w:r/>
            <w:r>
              <w:rPr>
                <w:b w:val="0"/>
                <w:sz w:val="17"/>
              </w:rPr>
              <w:t>Modified; limit reduced by AED 1,000,000</w:t>
            </w:r>
          </w:p>
        </w:tc>
        <w:tc>
          <w:tcPr>
            <w:tcW w:type="dxa" w:w="2520"/>
          </w:tcPr>
          <w:p>
            <w:r/>
            <w:r>
              <w:rPr>
                <w:b w:val="0"/>
                <w:sz w:val="17"/>
              </w:rPr>
              <w:t>High</w:t>
            </w:r>
          </w:p>
        </w:tc>
      </w:tr>
      <w:tr>
        <w:tc>
          <w:tcPr>
            <w:tcW w:type="dxa" w:w="2520"/>
          </w:tcPr>
          <w:p>
            <w:r/>
            <w:r>
              <w:rPr>
                <w:b w:val="0"/>
                <w:sz w:val="17"/>
              </w:rPr>
              <w:t>C09</w:t>
            </w:r>
          </w:p>
        </w:tc>
        <w:tc>
          <w:tcPr>
            <w:tcW w:type="dxa" w:w="2520"/>
          </w:tcPr>
          <w:p>
            <w:r/>
            <w:r>
              <w:rPr>
                <w:b w:val="0"/>
                <w:sz w:val="17"/>
              </w:rPr>
              <w:t>Cyber liability insurance: AED 1,000,000 → AED 500,000</w:t>
            </w:r>
          </w:p>
        </w:tc>
        <w:tc>
          <w:tcPr>
            <w:tcW w:type="dxa" w:w="2520"/>
          </w:tcPr>
          <w:p>
            <w:r/>
            <w:r>
              <w:rPr>
                <w:b w:val="0"/>
                <w:sz w:val="17"/>
              </w:rPr>
              <w:t>Modified; limit reduced by AED 500,000</w:t>
            </w:r>
          </w:p>
        </w:tc>
        <w:tc>
          <w:tcPr>
            <w:tcW w:type="dxa" w:w="2520"/>
          </w:tcPr>
          <w:p>
            <w:r/>
            <w:r>
              <w:rPr>
                <w:b w:val="0"/>
                <w:sz w:val="17"/>
              </w:rPr>
              <w:t>High</w:t>
            </w:r>
          </w:p>
        </w:tc>
      </w:tr>
      <w:tr>
        <w:tc>
          <w:tcPr>
            <w:tcW w:type="dxa" w:w="2520"/>
          </w:tcPr>
          <w:p>
            <w:r/>
            <w:r>
              <w:rPr>
                <w:b w:val="0"/>
                <w:sz w:val="17"/>
              </w:rPr>
              <w:t>C10</w:t>
            </w:r>
          </w:p>
        </w:tc>
        <w:tc>
          <w:tcPr>
            <w:tcW w:type="dxa" w:w="2520"/>
          </w:tcPr>
          <w:p>
            <w:r/>
            <w:r>
              <w:rPr>
                <w:b w:val="0"/>
                <w:sz w:val="17"/>
              </w:rPr>
              <w:t>General liability cap: AED 100,000 → AED 1,000,000</w:t>
            </w:r>
          </w:p>
        </w:tc>
        <w:tc>
          <w:tcPr>
            <w:tcW w:type="dxa" w:w="2520"/>
          </w:tcPr>
          <w:p>
            <w:r/>
            <w:r>
              <w:rPr>
                <w:b w:val="0"/>
                <w:sz w:val="17"/>
              </w:rPr>
              <w:t>Modified; cap increases tenfold; significance depends on which party benefits and clause wording</w:t>
            </w:r>
          </w:p>
        </w:tc>
        <w:tc>
          <w:tcPr>
            <w:tcW w:type="dxa" w:w="2520"/>
          </w:tcPr>
          <w:p>
            <w:r/>
            <w:r>
              <w:rPr>
                <w:b w:val="0"/>
                <w:sz w:val="17"/>
              </w:rPr>
              <w:t>High / review</w:t>
            </w:r>
          </w:p>
        </w:tc>
      </w:tr>
      <w:tr>
        <w:tc>
          <w:tcPr>
            <w:tcW w:type="dxa" w:w="2520"/>
          </w:tcPr>
          <w:p>
            <w:r/>
            <w:r>
              <w:rPr>
                <w:b w:val="0"/>
                <w:sz w:val="17"/>
              </w:rPr>
              <w:t>C11</w:t>
            </w:r>
          </w:p>
        </w:tc>
        <w:tc>
          <w:tcPr>
            <w:tcW w:type="dxa" w:w="2520"/>
          </w:tcPr>
          <w:p>
            <w:r/>
            <w:r>
              <w:rPr>
                <w:b w:val="0"/>
                <w:sz w:val="17"/>
              </w:rPr>
              <w:t>RTO: 8 → 12 hours</w:t>
            </w:r>
          </w:p>
        </w:tc>
        <w:tc>
          <w:tcPr>
            <w:tcW w:type="dxa" w:w="2520"/>
          </w:tcPr>
          <w:p>
            <w:r/>
            <w:r>
              <w:rPr>
                <w:b w:val="0"/>
                <w:sz w:val="17"/>
              </w:rPr>
              <w:t>Modified; recovery time objective worsens by 4 hours</w:t>
            </w:r>
          </w:p>
        </w:tc>
        <w:tc>
          <w:tcPr>
            <w:tcW w:type="dxa" w:w="2520"/>
          </w:tcPr>
          <w:p>
            <w:r/>
            <w:r>
              <w:rPr>
                <w:b w:val="0"/>
                <w:sz w:val="17"/>
              </w:rPr>
              <w:t>High</w:t>
            </w:r>
          </w:p>
        </w:tc>
      </w:tr>
      <w:tr>
        <w:tc>
          <w:tcPr>
            <w:tcW w:type="dxa" w:w="2520"/>
          </w:tcPr>
          <w:p>
            <w:r/>
            <w:r>
              <w:rPr>
                <w:b w:val="0"/>
                <w:sz w:val="17"/>
              </w:rPr>
              <w:t>C12</w:t>
            </w:r>
          </w:p>
        </w:tc>
        <w:tc>
          <w:tcPr>
            <w:tcW w:type="dxa" w:w="2520"/>
          </w:tcPr>
          <w:p>
            <w:r/>
            <w:r>
              <w:rPr>
                <w:b w:val="0"/>
                <w:sz w:val="17"/>
              </w:rPr>
              <w:t>RPO: 1 → 4 hours</w:t>
            </w:r>
          </w:p>
        </w:tc>
        <w:tc>
          <w:tcPr>
            <w:tcW w:type="dxa" w:w="2520"/>
          </w:tcPr>
          <w:p>
            <w:r/>
            <w:r>
              <w:rPr>
                <w:b w:val="0"/>
                <w:sz w:val="17"/>
              </w:rPr>
              <w:t>Modified; potential data-loss window increases by 3 hours</w:t>
            </w:r>
          </w:p>
        </w:tc>
        <w:tc>
          <w:tcPr>
            <w:tcW w:type="dxa" w:w="2520"/>
          </w:tcPr>
          <w:p>
            <w:r/>
            <w:r>
              <w:rPr>
                <w:b w:val="0"/>
                <w:sz w:val="17"/>
              </w:rPr>
              <w:t>High</w:t>
            </w:r>
          </w:p>
        </w:tc>
      </w:tr>
      <w:tr>
        <w:tc>
          <w:tcPr>
            <w:tcW w:type="dxa" w:w="2520"/>
          </w:tcPr>
          <w:p>
            <w:r/>
            <w:r>
              <w:rPr>
                <w:b w:val="0"/>
                <w:sz w:val="17"/>
              </w:rPr>
              <w:t>C13</w:t>
            </w:r>
          </w:p>
        </w:tc>
        <w:tc>
          <w:tcPr>
            <w:tcW w:type="dxa" w:w="2520"/>
          </w:tcPr>
          <w:p>
            <w:r/>
            <w:r>
              <w:rPr>
                <w:b w:val="0"/>
                <w:sz w:val="17"/>
              </w:rPr>
              <w:t>Initial term: 24 → 36 months</w:t>
            </w:r>
          </w:p>
        </w:tc>
        <w:tc>
          <w:tcPr>
            <w:tcW w:type="dxa" w:w="2520"/>
          </w:tcPr>
          <w:p>
            <w:r/>
            <w:r>
              <w:rPr>
                <w:b w:val="0"/>
                <w:sz w:val="17"/>
              </w:rPr>
              <w:t>Modified; commitment extends by 12 months</w:t>
            </w:r>
          </w:p>
        </w:tc>
        <w:tc>
          <w:tcPr>
            <w:tcW w:type="dxa" w:w="2520"/>
          </w:tcPr>
          <w:p>
            <w:r/>
            <w:r>
              <w:rPr>
                <w:b w:val="0"/>
                <w:sz w:val="17"/>
              </w:rPr>
              <w:t>Medium–High</w:t>
            </w:r>
          </w:p>
        </w:tc>
      </w:tr>
      <w:tr>
        <w:tc>
          <w:tcPr>
            <w:tcW w:type="dxa" w:w="2520"/>
          </w:tcPr>
          <w:p>
            <w:r/>
            <w:r>
              <w:rPr>
                <w:b w:val="0"/>
                <w:sz w:val="17"/>
              </w:rPr>
              <w:t>C14</w:t>
            </w:r>
          </w:p>
        </w:tc>
        <w:tc>
          <w:tcPr>
            <w:tcW w:type="dxa" w:w="2520"/>
          </w:tcPr>
          <w:p>
            <w:r/>
            <w:r>
              <w:rPr>
                <w:b w:val="0"/>
                <w:sz w:val="17"/>
              </w:rPr>
              <w:t>Client convenience termination notice: 90 → 30 days</w:t>
            </w:r>
          </w:p>
        </w:tc>
        <w:tc>
          <w:tcPr>
            <w:tcW w:type="dxa" w:w="2520"/>
          </w:tcPr>
          <w:p>
            <w:r/>
            <w:r>
              <w:rPr>
                <w:b w:val="0"/>
                <w:sz w:val="17"/>
              </w:rPr>
              <w:t>Modified; notice window shortens by 60 days; assess which party's right this clause governs</w:t>
            </w:r>
          </w:p>
        </w:tc>
        <w:tc>
          <w:tcPr>
            <w:tcW w:type="dxa" w:w="2520"/>
          </w:tcPr>
          <w:p>
            <w:r/>
            <w:r>
              <w:rPr>
                <w:b w:val="0"/>
                <w:sz w:val="17"/>
              </w:rPr>
              <w:t>Medium–High</w:t>
            </w:r>
          </w:p>
        </w:tc>
      </w:tr>
      <w:tr>
        <w:tc>
          <w:tcPr>
            <w:tcW w:type="dxa" w:w="2520"/>
          </w:tcPr>
          <w:p>
            <w:r/>
            <w:r>
              <w:rPr>
                <w:b w:val="0"/>
                <w:sz w:val="17"/>
              </w:rPr>
              <w:t>C15</w:t>
            </w:r>
          </w:p>
        </w:tc>
        <w:tc>
          <w:tcPr>
            <w:tcW w:type="dxa" w:w="2520"/>
          </w:tcPr>
          <w:p>
            <w:r/>
            <w:r>
              <w:rPr>
                <w:b w:val="0"/>
                <w:sz w:val="17"/>
              </w:rPr>
              <w:t>Feedback/suggestions clause broadens permitted use</w:t>
            </w:r>
          </w:p>
        </w:tc>
        <w:tc>
          <w:tcPr>
            <w:tcW w:type="dxa" w:w="2520"/>
          </w:tcPr>
          <w:p>
            <w:r/>
            <w:r>
              <w:rPr>
                <w:b w:val="0"/>
                <w:sz w:val="17"/>
              </w:rPr>
              <w:t>Modified; explain scope change precisely; do not claim ownership transfer unless text says so</w:t>
            </w:r>
          </w:p>
        </w:tc>
        <w:tc>
          <w:tcPr>
            <w:tcW w:type="dxa" w:w="2520"/>
          </w:tcPr>
          <w:p>
            <w:r/>
            <w:r>
              <w:rPr>
                <w:b w:val="0"/>
                <w:sz w:val="17"/>
              </w:rPr>
              <w:t>Medium / review</w:t>
            </w:r>
          </w:p>
        </w:tc>
      </w:tr>
      <w:tr>
        <w:tc>
          <w:tcPr>
            <w:tcW w:type="dxa" w:w="2520"/>
          </w:tcPr>
          <w:p>
            <w:r/>
            <w:r>
              <w:rPr>
                <w:b w:val="0"/>
                <w:sz w:val="17"/>
              </w:rPr>
              <w:t>C16</w:t>
            </w:r>
          </w:p>
        </w:tc>
        <w:tc>
          <w:tcPr>
            <w:tcW w:type="dxa" w:w="2520"/>
          </w:tcPr>
          <w:p>
            <w:r/>
            <w:r>
              <w:rPr>
                <w:b w:val="0"/>
                <w:sz w:val="17"/>
              </w:rPr>
              <w:t>Operational contact sentence added to Independent Contractors clause</w:t>
            </w:r>
          </w:p>
        </w:tc>
        <w:tc>
          <w:tcPr>
            <w:tcW w:type="dxa" w:w="2520"/>
          </w:tcPr>
          <w:p>
            <w:r/>
            <w:r>
              <w:rPr>
                <w:b w:val="0"/>
                <w:sz w:val="17"/>
              </w:rPr>
              <w:t>Modified/addition within clause; likely administrative unless it changes duties</w:t>
            </w:r>
          </w:p>
        </w:tc>
        <w:tc>
          <w:tcPr>
            <w:tcW w:type="dxa" w:w="2520"/>
          </w:tcPr>
          <w:p>
            <w:r/>
            <w:r>
              <w:rPr>
                <w:b w:val="0"/>
                <w:sz w:val="17"/>
              </w:rPr>
              <w:t>Low–Medium</w:t>
            </w:r>
          </w:p>
        </w:tc>
      </w:tr>
      <w:tr>
        <w:tc>
          <w:tcPr>
            <w:tcW w:type="dxa" w:w="2520"/>
          </w:tcPr>
          <w:p>
            <w:r/>
            <w:r>
              <w:rPr>
                <w:b w:val="0"/>
                <w:sz w:val="17"/>
              </w:rPr>
              <w:t>C17</w:t>
            </w:r>
          </w:p>
        </w:tc>
        <w:tc>
          <w:tcPr>
            <w:tcW w:type="dxa" w:w="2520"/>
          </w:tcPr>
          <w:p>
            <w:r/>
            <w:r>
              <w:rPr>
                <w:b w:val="0"/>
                <w:sz w:val="17"/>
              </w:rPr>
              <w:t>Regulatory Cooperation clause added</w:t>
            </w:r>
          </w:p>
        </w:tc>
        <w:tc>
          <w:tcPr>
            <w:tcW w:type="dxa" w:w="2520"/>
          </w:tcPr>
          <w:p>
            <w:r/>
            <w:r>
              <w:rPr>
                <w:b w:val="0"/>
                <w:sz w:val="17"/>
              </w:rPr>
              <w:t>Added; identify the new cooperation obligation and its scope</w:t>
            </w:r>
          </w:p>
        </w:tc>
        <w:tc>
          <w:tcPr>
            <w:tcW w:type="dxa" w:w="2520"/>
          </w:tcPr>
          <w:p>
            <w:r/>
            <w:r>
              <w:rPr>
                <w:b w:val="0"/>
                <w:sz w:val="17"/>
              </w:rPr>
              <w:t>Medium–High</w:t>
            </w:r>
          </w:p>
        </w:tc>
      </w:tr>
      <w:tr>
        <w:tc>
          <w:tcPr>
            <w:tcW w:type="dxa" w:w="2520"/>
          </w:tcPr>
          <w:p>
            <w:r/>
            <w:r>
              <w:rPr>
                <w:b w:val="0"/>
                <w:sz w:val="17"/>
              </w:rPr>
              <w:t>C18</w:t>
            </w:r>
          </w:p>
        </w:tc>
        <w:tc>
          <w:tcPr>
            <w:tcW w:type="dxa" w:w="2520"/>
          </w:tcPr>
          <w:p>
            <w:r/>
            <w:r>
              <w:rPr>
                <w:b w:val="0"/>
                <w:sz w:val="17"/>
              </w:rPr>
              <w:t>Quarterly Executive Review clause removed</w:t>
            </w:r>
          </w:p>
        </w:tc>
        <w:tc>
          <w:tcPr>
            <w:tcW w:type="dxa" w:w="2520"/>
          </w:tcPr>
          <w:p>
            <w:r/>
            <w:r>
              <w:rPr>
                <w:b w:val="0"/>
                <w:sz w:val="17"/>
              </w:rPr>
              <w:t>Deleted; identify the removed review/governance obligation</w:t>
            </w:r>
          </w:p>
        </w:tc>
        <w:tc>
          <w:tcPr>
            <w:tcW w:type="dxa" w:w="2520"/>
          </w:tcPr>
          <w:p>
            <w:r/>
            <w:r>
              <w:rPr>
                <w:b w:val="0"/>
                <w:sz w:val="17"/>
              </w:rPr>
              <w:t>Medium</w:t>
            </w:r>
          </w:p>
        </w:tc>
      </w:tr>
    </w:tbl>
    <w:p/>
    <w:p>
      <w:r>
        <w:t>The system should also verify that unchanged terms are not falsely reported as changes. Examples include the effective date (1 January 2027), 12-month auto-renewal, 60-day non-renewal notice, invoice-dispute notice within 10 Business Days, P1 acknowledgement in 15 minutes, P1 restoration in 4 hours, critical patching in 7 days, high-severity patching in 14 days, and governing-law/jurisdiction wording. Confirm these against the actual files during test execution.</w:t>
      </w:r>
    </w:p>
    <w:p>
      <w:pPr>
        <w:pStyle w:val="Heading1"/>
      </w:pPr>
      <w:r>
        <w:t>6. Expected Results and Acceptance Criteria</w:t>
      </w:r>
    </w:p>
    <w:tbl>
      <w:tblPr>
        <w:tblStyle w:val="TableGrid"/>
        <w:tblW w:type="auto" w:w="0"/>
        <w:tblLook w:firstColumn="1" w:firstRow="1" w:lastColumn="0" w:lastRow="0" w:noHBand="0" w:noVBand="1" w:val="04A0"/>
      </w:tblPr>
      <w:tblGrid>
        <w:gridCol w:w="3360"/>
        <w:gridCol w:w="3360"/>
        <w:gridCol w:w="3360"/>
      </w:tblGrid>
      <w:tr>
        <w:tc>
          <w:tcPr>
            <w:tcW w:type="dxa" w:w="3360"/>
            <w:shd w:fill="D7E6EF"/>
          </w:tcPr>
          <w:p>
            <w:r/>
            <w:r>
              <w:rPr>
                <w:b/>
                <w:sz w:val="17"/>
              </w:rPr>
              <w:t>Metric</w:t>
            </w:r>
          </w:p>
        </w:tc>
        <w:tc>
          <w:tcPr>
            <w:tcW w:type="dxa" w:w="3360"/>
            <w:shd w:fill="D7E6EF"/>
          </w:tcPr>
          <w:p>
            <w:r/>
            <w:r>
              <w:rPr>
                <w:b/>
                <w:sz w:val="17"/>
              </w:rPr>
              <w:t>Initial target</w:t>
            </w:r>
          </w:p>
        </w:tc>
        <w:tc>
          <w:tcPr>
            <w:tcW w:type="dxa" w:w="3360"/>
            <w:shd w:fill="D7E6EF"/>
          </w:tcPr>
          <w:p>
            <w:r/>
            <w:r>
              <w:rPr>
                <w:b/>
                <w:sz w:val="17"/>
              </w:rPr>
              <w:t>How to measure</w:t>
            </w:r>
          </w:p>
        </w:tc>
      </w:tr>
      <w:tr>
        <w:tc>
          <w:tcPr>
            <w:tcW w:type="dxa" w:w="3360"/>
          </w:tcPr>
          <w:p>
            <w:r/>
            <w:r>
              <w:rPr>
                <w:b w:val="0"/>
                <w:sz w:val="17"/>
              </w:rPr>
              <w:t>Seeded material-change recall</w:t>
            </w:r>
          </w:p>
        </w:tc>
        <w:tc>
          <w:tcPr>
            <w:tcW w:type="dxa" w:w="3360"/>
          </w:tcPr>
          <w:p>
            <w:r/>
            <w:r>
              <w:rPr>
                <w:b w:val="0"/>
                <w:sz w:val="17"/>
              </w:rPr>
              <w:t>100% of known seeded changes detected in the regression pair</w:t>
            </w:r>
          </w:p>
        </w:tc>
        <w:tc>
          <w:tcPr>
            <w:tcW w:type="dxa" w:w="3360"/>
          </w:tcPr>
          <w:p>
            <w:r/>
            <w:r>
              <w:rPr>
                <w:b w:val="0"/>
                <w:sz w:val="17"/>
              </w:rPr>
              <w:t>Count detected expected changes / 18 known changes</w:t>
            </w:r>
          </w:p>
        </w:tc>
      </w:tr>
      <w:tr>
        <w:tc>
          <w:tcPr>
            <w:tcW w:type="dxa" w:w="3360"/>
          </w:tcPr>
          <w:p>
            <w:r/>
            <w:r>
              <w:rPr>
                <w:b w:val="0"/>
                <w:sz w:val="17"/>
              </w:rPr>
              <w:t>Evidence validity</w:t>
            </w:r>
          </w:p>
        </w:tc>
        <w:tc>
          <w:tcPr>
            <w:tcW w:type="dxa" w:w="3360"/>
          </w:tcPr>
          <w:p>
            <w:r/>
            <w:r>
              <w:rPr>
                <w:b w:val="0"/>
                <w:sz w:val="17"/>
              </w:rPr>
              <w:t>100% of displayed source excerpts verified by backend</w:t>
            </w:r>
          </w:p>
        </w:tc>
        <w:tc>
          <w:tcPr>
            <w:tcW w:type="dxa" w:w="3360"/>
          </w:tcPr>
          <w:p>
            <w:r/>
            <w:r>
              <w:rPr>
                <w:b w:val="0"/>
                <w:sz w:val="17"/>
              </w:rPr>
              <w:t>Automated exact normalized substring checks per excerpt</w:t>
            </w:r>
          </w:p>
        </w:tc>
      </w:tr>
      <w:tr>
        <w:tc>
          <w:tcPr>
            <w:tcW w:type="dxa" w:w="3360"/>
          </w:tcPr>
          <w:p>
            <w:r/>
            <w:r>
              <w:rPr>
                <w:b w:val="0"/>
                <w:sz w:val="17"/>
              </w:rPr>
              <w:t>Critical numeric-field recall</w:t>
            </w:r>
          </w:p>
        </w:tc>
        <w:tc>
          <w:tcPr>
            <w:tcW w:type="dxa" w:w="3360"/>
          </w:tcPr>
          <w:p>
            <w:r/>
            <w:r>
              <w:rPr>
                <w:b w:val="0"/>
                <w:sz w:val="17"/>
              </w:rPr>
              <w:t>100% on the seeded numeric changes</w:t>
            </w:r>
          </w:p>
        </w:tc>
        <w:tc>
          <w:tcPr>
            <w:tcW w:type="dxa" w:w="3360"/>
          </w:tcPr>
          <w:p>
            <w:r/>
            <w:r>
              <w:rPr>
                <w:b w:val="0"/>
                <w:sz w:val="17"/>
              </w:rPr>
              <w:t>Assert every changed fee, deadline, percentage, limit, and RTO/RPO is surfaced</w:t>
            </w:r>
          </w:p>
        </w:tc>
      </w:tr>
      <w:tr>
        <w:tc>
          <w:tcPr>
            <w:tcW w:type="dxa" w:w="3360"/>
          </w:tcPr>
          <w:p>
            <w:r/>
            <w:r>
              <w:rPr>
                <w:b w:val="0"/>
                <w:sz w:val="17"/>
              </w:rPr>
              <w:t>False positives on unchanged terms</w:t>
            </w:r>
          </w:p>
        </w:tc>
        <w:tc>
          <w:tcPr>
            <w:tcW w:type="dxa" w:w="3360"/>
          </w:tcPr>
          <w:p>
            <w:r/>
            <w:r>
              <w:rPr>
                <w:b w:val="0"/>
                <w:sz w:val="17"/>
              </w:rPr>
              <w:t>0 on the explicit unchanged-term test list</w:t>
            </w:r>
          </w:p>
        </w:tc>
        <w:tc>
          <w:tcPr>
            <w:tcW w:type="dxa" w:w="3360"/>
          </w:tcPr>
          <w:p>
            <w:r/>
            <w:r>
              <w:rPr>
                <w:b w:val="0"/>
                <w:sz w:val="17"/>
              </w:rPr>
              <w:t>Compare reported changes against the unchanged clause assertions</w:t>
            </w:r>
          </w:p>
        </w:tc>
      </w:tr>
      <w:tr>
        <w:tc>
          <w:tcPr>
            <w:tcW w:type="dxa" w:w="3360"/>
          </w:tcPr>
          <w:p>
            <w:r/>
            <w:r>
              <w:rPr>
                <w:b w:val="0"/>
                <w:sz w:val="17"/>
              </w:rPr>
              <w:t>Section/heading accuracy</w:t>
            </w:r>
          </w:p>
        </w:tc>
        <w:tc>
          <w:tcPr>
            <w:tcW w:type="dxa" w:w="3360"/>
          </w:tcPr>
          <w:p>
            <w:r/>
            <w:r>
              <w:rPr>
                <w:b w:val="0"/>
                <w:sz w:val="17"/>
              </w:rPr>
              <w:t>All findings map to the correct clause or are explicitly marked uncertain</w:t>
            </w:r>
          </w:p>
        </w:tc>
        <w:tc>
          <w:tcPr>
            <w:tcW w:type="dxa" w:w="3360"/>
          </w:tcPr>
          <w:p>
            <w:r/>
            <w:r>
              <w:rPr>
                <w:b w:val="0"/>
                <w:sz w:val="17"/>
              </w:rPr>
              <w:t>Automated expected clause mapping plus manual review</w:t>
            </w:r>
          </w:p>
        </w:tc>
      </w:tr>
      <w:tr>
        <w:tc>
          <w:tcPr>
            <w:tcW w:type="dxa" w:w="3360"/>
          </w:tcPr>
          <w:p>
            <w:r/>
            <w:r>
              <w:rPr>
                <w:b w:val="0"/>
                <w:sz w:val="17"/>
              </w:rPr>
              <w:t>Schema validity</w:t>
            </w:r>
          </w:p>
        </w:tc>
        <w:tc>
          <w:tcPr>
            <w:tcW w:type="dxa" w:w="3360"/>
          </w:tcPr>
          <w:p>
            <w:r/>
            <w:r>
              <w:rPr>
                <w:b w:val="0"/>
                <w:sz w:val="17"/>
              </w:rPr>
              <w:t>100% valid output objects; no concatenated type/risk labels</w:t>
            </w:r>
          </w:p>
        </w:tc>
        <w:tc>
          <w:tcPr>
            <w:tcW w:type="dxa" w:w="3360"/>
          </w:tcPr>
          <w:p>
            <w:r/>
            <w:r>
              <w:rPr>
                <w:b w:val="0"/>
                <w:sz w:val="17"/>
              </w:rPr>
              <w:t>Server-side JSON schema and enum validation</w:t>
            </w:r>
          </w:p>
        </w:tc>
      </w:tr>
      <w:tr>
        <w:tc>
          <w:tcPr>
            <w:tcW w:type="dxa" w:w="3360"/>
          </w:tcPr>
          <w:p>
            <w:r/>
            <w:r>
              <w:rPr>
                <w:b w:val="0"/>
                <w:sz w:val="17"/>
              </w:rPr>
              <w:t>Coverage</w:t>
            </w:r>
          </w:p>
        </w:tc>
        <w:tc>
          <w:tcPr>
            <w:tcW w:type="dxa" w:w="3360"/>
          </w:tcPr>
          <w:p>
            <w:r/>
            <w:r>
              <w:rPr>
                <w:b w:val="0"/>
                <w:sz w:val="17"/>
              </w:rPr>
              <w:t>Every clause in both versions accounted for</w:t>
            </w:r>
          </w:p>
        </w:tc>
        <w:tc>
          <w:tcPr>
            <w:tcW w:type="dxa" w:w="3360"/>
          </w:tcPr>
          <w:p>
            <w:r/>
            <w:r>
              <w:rPr>
                <w:b w:val="0"/>
                <w:sz w:val="17"/>
              </w:rPr>
              <w:t>Aligned + added + deleted + uncertain clause counts</w:t>
            </w:r>
          </w:p>
        </w:tc>
      </w:tr>
      <w:tr>
        <w:tc>
          <w:tcPr>
            <w:tcW w:type="dxa" w:w="3360"/>
          </w:tcPr>
          <w:p>
            <w:r/>
            <w:r>
              <w:rPr>
                <w:b w:val="0"/>
                <w:sz w:val="17"/>
              </w:rPr>
              <w:t>Repeatability</w:t>
            </w:r>
          </w:p>
        </w:tc>
        <w:tc>
          <w:tcPr>
            <w:tcW w:type="dxa" w:w="3360"/>
          </w:tcPr>
          <w:p>
            <w:r/>
            <w:r>
              <w:rPr>
                <w:b w:val="0"/>
                <w:sz w:val="17"/>
              </w:rPr>
              <w:t>Same source pair yields materially consistent findings across repeated runs</w:t>
            </w:r>
          </w:p>
        </w:tc>
        <w:tc>
          <w:tcPr>
            <w:tcW w:type="dxa" w:w="3360"/>
          </w:tcPr>
          <w:p>
            <w:r/>
            <w:r>
              <w:rPr>
                <w:b w:val="0"/>
                <w:sz w:val="17"/>
              </w:rPr>
              <w:t>Run regression suite multiple times and compare normalized change IDs</w:t>
            </w:r>
          </w:p>
        </w:tc>
      </w:tr>
      <w:tr>
        <w:tc>
          <w:tcPr>
            <w:tcW w:type="dxa" w:w="3360"/>
          </w:tcPr>
          <w:p>
            <w:r/>
            <w:r>
              <w:rPr>
                <w:b w:val="0"/>
                <w:sz w:val="17"/>
              </w:rPr>
              <w:t>Graceful failure</w:t>
            </w:r>
          </w:p>
        </w:tc>
        <w:tc>
          <w:tcPr>
            <w:tcW w:type="dxa" w:w="3360"/>
          </w:tcPr>
          <w:p>
            <w:r/>
            <w:r>
              <w:rPr>
                <w:b w:val="0"/>
                <w:sz w:val="17"/>
              </w:rPr>
              <w:t>Extraction/truncation problems return explicit errors, not misleading clean reports</w:t>
            </w:r>
          </w:p>
        </w:tc>
        <w:tc>
          <w:tcPr>
            <w:tcW w:type="dxa" w:w="3360"/>
          </w:tcPr>
          <w:p>
            <w:r/>
            <w:r>
              <w:rPr>
                <w:b w:val="0"/>
                <w:sz w:val="17"/>
              </w:rPr>
              <w:t>Test empty, scanned, malformed, and oversized inputs</w:t>
            </w:r>
          </w:p>
        </w:tc>
      </w:tr>
      <w:tr>
        <w:tc>
          <w:tcPr>
            <w:tcW w:type="dxa" w:w="3360"/>
          </w:tcPr>
          <w:p>
            <w:r/>
            <w:r>
              <w:rPr>
                <w:b w:val="0"/>
                <w:sz w:val="17"/>
              </w:rPr>
              <w:t>Latency/cost</w:t>
            </w:r>
          </w:p>
        </w:tc>
        <w:tc>
          <w:tcPr>
            <w:tcW w:type="dxa" w:w="3360"/>
          </w:tcPr>
          <w:p>
            <w:r/>
            <w:r>
              <w:rPr>
                <w:b w:val="0"/>
                <w:sz w:val="17"/>
              </w:rPr>
              <w:t>Set a baseline first; optimize without sacrificing coverage</w:t>
            </w:r>
          </w:p>
        </w:tc>
        <w:tc>
          <w:tcPr>
            <w:tcW w:type="dxa" w:w="3360"/>
          </w:tcPr>
          <w:p>
            <w:r/>
            <w:r>
              <w:rPr>
                <w:b w:val="0"/>
                <w:sz w:val="17"/>
              </w:rPr>
              <w:t>Record per-stage time, token usage, retries, and model cost</w:t>
            </w:r>
          </w:p>
        </w:tc>
      </w:tr>
    </w:tbl>
    <w:p/>
    <w:p>
      <w:r>
        <w:t>These are recommended engineering targets, not measured performance claims. Do not advertise legal-grade accuracy until the system has passed a sufficiently broad test set, including varied templates, scanned PDFs, tables, moved clauses, amended clauses, and adversarial formatting.</w:t>
      </w:r>
    </w:p>
    <w:p>
      <w:pPr>
        <w:pStyle w:val="Heading1"/>
      </w:pPr>
      <w:r>
        <w:t>7. Testing Plan</w:t>
      </w:r>
    </w:p>
    <w:p>
      <w:pPr>
        <w:pStyle w:val="Heading2"/>
      </w:pPr>
      <w:r>
        <w:t>Phase A — Diagnose the current run</w:t>
      </w:r>
    </w:p>
    <w:p>
      <w:pPr>
        <w:pStyle w:val="ListNumber"/>
      </w:pPr>
      <w:r>
        <w:t>Re-run the exact two test files and save the extraction report for each file.</w:t>
      </w:r>
    </w:p>
    <w:p>
      <w:pPr>
        <w:pStyle w:val="ListNumber"/>
      </w:pPr>
      <w:r>
        <w:t>Confirm both versions contain all expected sections and the expected changed values.</w:t>
      </w:r>
    </w:p>
    <w:p>
      <w:pPr>
        <w:pStyle w:val="ListNumber"/>
      </w:pPr>
      <w:r>
        <w:t>Log the exact clause/chunk IDs sent to the model and the full raw response in a controlled test environment.</w:t>
      </w:r>
    </w:p>
    <w:p>
      <w:pPr>
        <w:pStyle w:val="ListNumber"/>
      </w:pPr>
      <w:r>
        <w:t>Compare raw model JSON with the parsed API response and the final UI output.</w:t>
      </w:r>
    </w:p>
    <w:p>
      <w:pPr>
        <w:pStyle w:val="ListNumber"/>
      </w:pPr>
      <w:r>
        <w:t>Identify the earliest pipeline stage where the later material clauses disappear.</w:t>
      </w:r>
    </w:p>
    <w:p>
      <w:pPr>
        <w:pStyle w:val="Heading2"/>
      </w:pPr>
      <w:r>
        <w:t>Phase B — Unit tests</w:t>
      </w:r>
    </w:p>
    <w:p>
      <w:pPr>
        <w:pStyle w:val="ListBullet"/>
      </w:pPr>
      <w:r>
        <w:t>Text normalization: whitespace, Unicode quotes/dashes, repeated spaces, line breaks, and table extraction.</w:t>
      </w:r>
    </w:p>
    <w:p>
      <w:pPr>
        <w:pStyle w:val="ListBullet"/>
      </w:pPr>
      <w:r>
        <w:t>Clause segmentation: numbered headings, nested clauses, bullets, tables, clauses with missing numbering.</w:t>
      </w:r>
    </w:p>
    <w:p>
      <w:pPr>
        <w:pStyle w:val="ListBullet"/>
      </w:pPr>
      <w:r>
        <w:t>Alignment: renumbered, moved, split, merged, added, and deleted clauses.</w:t>
      </w:r>
    </w:p>
    <w:p>
      <w:pPr>
        <w:pStyle w:val="ListBullet"/>
      </w:pPr>
      <w:r>
        <w:t>Numeric extraction: currencies, decimal percentages, day/hour periods, insurance limits, and numbers embedded in tables.</w:t>
      </w:r>
    </w:p>
    <w:p>
      <w:pPr>
        <w:pStyle w:val="ListBullet"/>
      </w:pPr>
      <w:r>
        <w:t>Quote verification: valid exact quote, invalid quote, wrong-version quote, punctuation variation, and number mismatch.</w:t>
      </w:r>
    </w:p>
    <w:p>
      <w:pPr>
        <w:pStyle w:val="ListBullet"/>
      </w:pPr>
      <w:r>
        <w:t>Schema validation: missing fields, invalid enum, malformed JSON, null risk, and UI label mapping.</w:t>
      </w:r>
    </w:p>
    <w:p>
      <w:pPr>
        <w:pStyle w:val="Heading2"/>
      </w:pPr>
      <w:r>
        <w:t>Phase C — End-to-end regression tests</w:t>
      </w:r>
    </w:p>
    <w:p>
      <w:pPr>
        <w:pStyle w:val="ListBullet"/>
      </w:pPr>
      <w:r>
        <w:t>Run all 18 seeded changes and assert each is detected with the expected before/after values.</w:t>
      </w:r>
    </w:p>
    <w:p>
      <w:pPr>
        <w:pStyle w:val="ListBullet"/>
      </w:pPr>
      <w:r>
        <w:t>Assert the explicitly unchanged terms do not appear as changes.</w:t>
      </w:r>
    </w:p>
    <w:p>
      <w:pPr>
        <w:pStyle w:val="ListBullet"/>
      </w:pPr>
      <w:r>
        <w:t>Assert the cover-page disclaimer difference is not mislabeled as a medium-risk legal issue.</w:t>
      </w:r>
    </w:p>
    <w:p>
      <w:pPr>
        <w:pStyle w:val="ListBullet"/>
      </w:pPr>
      <w:r>
        <w:t>Assert “modified” and risk severity are stored and rendered as separate fields.</w:t>
      </w:r>
    </w:p>
    <w:p>
      <w:pPr>
        <w:pStyle w:val="ListBullet"/>
      </w:pPr>
      <w:r>
        <w:t>Run the same pair at least three times and inspect consistency.</w:t>
      </w:r>
    </w:p>
    <w:p>
      <w:pPr>
        <w:pStyle w:val="ListBullet"/>
      </w:pPr>
      <w:r>
        <w:t>Repeat using PDF versions, including a scanned PDF if OCR is supported.</w:t>
      </w:r>
    </w:p>
    <w:p>
      <w:pPr>
        <w:pStyle w:val="Heading2"/>
      </w:pPr>
      <w:r>
        <w:t>Phase D — Broader evaluation</w:t>
      </w:r>
    </w:p>
    <w:p>
      <w:pPr>
        <w:pStyle w:val="ListBullet"/>
      </w:pPr>
      <w:r>
        <w:t>Build a labelled evaluation set across different contract types, document lengths, templates, and file formats.</w:t>
      </w:r>
    </w:p>
    <w:p>
      <w:pPr>
        <w:pStyle w:val="ListBullet"/>
      </w:pPr>
      <w:r>
        <w:t>Have a qualified reviewer label true changes, materiality, affected party, and acceptable evidence.</w:t>
      </w:r>
    </w:p>
    <w:p>
      <w:pPr>
        <w:pStyle w:val="ListBullet"/>
      </w:pPr>
      <w:r>
        <w:t>Track precision, recall, F1 for change detection, exact evidence validity, numeric-term recall, and severity agreement.</w:t>
      </w:r>
    </w:p>
    <w:p>
      <w:pPr>
        <w:pStyle w:val="ListBullet"/>
      </w:pPr>
      <w:r>
        <w:t>Review every false negative involving liability, indemnity, security, termination, payment, or compliance.</w:t>
      </w:r>
    </w:p>
    <w:p>
      <w:pPr>
        <w:pStyle w:val="ListBullet"/>
      </w:pPr>
      <w:r>
        <w:t>Use a held-out test set that is not used to tune prompts or rules.</w:t>
      </w:r>
    </w:p>
    <w:p>
      <w:pPr>
        <w:pStyle w:val="Heading1"/>
      </w:pPr>
      <w:r>
        <w:t>8. Implementation Order</w:t>
      </w:r>
    </w:p>
    <w:tbl>
      <w:tblPr>
        <w:tblStyle w:val="TableGrid"/>
        <w:tblW w:type="auto" w:w="0"/>
        <w:tblLook w:firstColumn="1" w:firstRow="1" w:lastColumn="0" w:lastRow="0" w:noHBand="0" w:noVBand="1" w:val="04A0"/>
      </w:tblPr>
      <w:tblGrid>
        <w:gridCol w:w="3360"/>
        <w:gridCol w:w="3360"/>
        <w:gridCol w:w="3360"/>
      </w:tblGrid>
      <w:tr>
        <w:tc>
          <w:tcPr>
            <w:tcW w:type="dxa" w:w="3360"/>
            <w:shd w:fill="D7E6EF"/>
          </w:tcPr>
          <w:p>
            <w:r/>
            <w:r>
              <w:rPr>
                <w:b/>
                <w:sz w:val="17"/>
              </w:rPr>
              <w:t>Stage</w:t>
            </w:r>
          </w:p>
        </w:tc>
        <w:tc>
          <w:tcPr>
            <w:tcW w:type="dxa" w:w="3360"/>
            <w:shd w:fill="D7E6EF"/>
          </w:tcPr>
          <w:p>
            <w:r/>
            <w:r>
              <w:rPr>
                <w:b/>
                <w:sz w:val="17"/>
              </w:rPr>
              <w:t>Implementation</w:t>
            </w:r>
          </w:p>
        </w:tc>
        <w:tc>
          <w:tcPr>
            <w:tcW w:type="dxa" w:w="3360"/>
            <w:shd w:fill="D7E6EF"/>
          </w:tcPr>
          <w:p>
            <w:r/>
            <w:r>
              <w:rPr>
                <w:b/>
                <w:sz w:val="17"/>
              </w:rPr>
              <w:t>Definition of done</w:t>
            </w:r>
          </w:p>
        </w:tc>
      </w:tr>
      <w:tr>
        <w:tc>
          <w:tcPr>
            <w:tcW w:type="dxa" w:w="3360"/>
          </w:tcPr>
          <w:p>
            <w:r/>
            <w:r>
              <w:rPr>
                <w:b w:val="0"/>
                <w:sz w:val="17"/>
              </w:rPr>
              <w:t>1</w:t>
            </w:r>
          </w:p>
        </w:tc>
        <w:tc>
          <w:tcPr>
            <w:tcW w:type="dxa" w:w="3360"/>
          </w:tcPr>
          <w:p>
            <w:r/>
            <w:r>
              <w:rPr>
                <w:b w:val="0"/>
                <w:sz w:val="17"/>
              </w:rPr>
              <w:t>Add observability and extraction completeness checks</w:t>
            </w:r>
          </w:p>
        </w:tc>
        <w:tc>
          <w:tcPr>
            <w:tcW w:type="dxa" w:w="3360"/>
          </w:tcPr>
          <w:p>
            <w:r/>
            <w:r>
              <w:rPr>
                <w:b w:val="0"/>
                <w:sz w:val="17"/>
              </w:rPr>
              <w:t>Can prove the full contents of both versions reach the comparison pipeline.</w:t>
            </w:r>
          </w:p>
        </w:tc>
      </w:tr>
      <w:tr>
        <w:tc>
          <w:tcPr>
            <w:tcW w:type="dxa" w:w="3360"/>
          </w:tcPr>
          <w:p>
            <w:r/>
            <w:r>
              <w:rPr>
                <w:b w:val="0"/>
                <w:sz w:val="17"/>
              </w:rPr>
              <w:t>2</w:t>
            </w:r>
          </w:p>
        </w:tc>
        <w:tc>
          <w:tcPr>
            <w:tcW w:type="dxa" w:w="3360"/>
          </w:tcPr>
          <w:p>
            <w:r/>
            <w:r>
              <w:rPr>
                <w:b w:val="0"/>
                <w:sz w:val="17"/>
              </w:rPr>
              <w:t>Fix input selection/truncation and parser issues</w:t>
            </w:r>
          </w:p>
        </w:tc>
        <w:tc>
          <w:tcPr>
            <w:tcW w:type="dxa" w:w="3360"/>
          </w:tcPr>
          <w:p>
            <w:r/>
            <w:r>
              <w:rPr>
                <w:b w:val="0"/>
                <w:sz w:val="17"/>
              </w:rPr>
              <w:t>Later clauses are present in extracted text and model batches.</w:t>
            </w:r>
          </w:p>
        </w:tc>
      </w:tr>
      <w:tr>
        <w:tc>
          <w:tcPr>
            <w:tcW w:type="dxa" w:w="3360"/>
          </w:tcPr>
          <w:p>
            <w:r/>
            <w:r>
              <w:rPr>
                <w:b w:val="0"/>
                <w:sz w:val="17"/>
              </w:rPr>
              <w:t>3</w:t>
            </w:r>
          </w:p>
        </w:tc>
        <w:tc>
          <w:tcPr>
            <w:tcW w:type="dxa" w:w="3360"/>
          </w:tcPr>
          <w:p>
            <w:r/>
            <w:r>
              <w:rPr>
                <w:b w:val="0"/>
                <w:sz w:val="17"/>
              </w:rPr>
              <w:t>Implement clause segmentation and alignment</w:t>
            </w:r>
          </w:p>
        </w:tc>
        <w:tc>
          <w:tcPr>
            <w:tcW w:type="dxa" w:w="3360"/>
          </w:tcPr>
          <w:p>
            <w:r/>
            <w:r>
              <w:rPr>
                <w:b w:val="0"/>
                <w:sz w:val="17"/>
              </w:rPr>
              <w:t>Each clause is aligned or marked added/deleted/uncertain.</w:t>
            </w:r>
          </w:p>
        </w:tc>
      </w:tr>
      <w:tr>
        <w:tc>
          <w:tcPr>
            <w:tcW w:type="dxa" w:w="3360"/>
          </w:tcPr>
          <w:p>
            <w:r/>
            <w:r>
              <w:rPr>
                <w:b w:val="0"/>
                <w:sz w:val="17"/>
              </w:rPr>
              <w:t>4</w:t>
            </w:r>
          </w:p>
        </w:tc>
        <w:tc>
          <w:tcPr>
            <w:tcW w:type="dxa" w:w="3360"/>
          </w:tcPr>
          <w:p>
            <w:r/>
            <w:r>
              <w:rPr>
                <w:b w:val="0"/>
                <w:sz w:val="17"/>
              </w:rPr>
              <w:t>Add deterministic text and numeric diffs</w:t>
            </w:r>
          </w:p>
        </w:tc>
        <w:tc>
          <w:tcPr>
            <w:tcW w:type="dxa" w:w="3360"/>
          </w:tcPr>
          <w:p>
            <w:r/>
            <w:r>
              <w:rPr>
                <w:b w:val="0"/>
                <w:sz w:val="17"/>
              </w:rPr>
              <w:t>Known numeric changes are found without depending on LLM recall.</w:t>
            </w:r>
          </w:p>
        </w:tc>
      </w:tr>
      <w:tr>
        <w:tc>
          <w:tcPr>
            <w:tcW w:type="dxa" w:w="3360"/>
          </w:tcPr>
          <w:p>
            <w:r/>
            <w:r>
              <w:rPr>
                <w:b w:val="0"/>
                <w:sz w:val="17"/>
              </w:rPr>
              <w:t>5</w:t>
            </w:r>
          </w:p>
        </w:tc>
        <w:tc>
          <w:tcPr>
            <w:tcW w:type="dxa" w:w="3360"/>
          </w:tcPr>
          <w:p>
            <w:r/>
            <w:r>
              <w:rPr>
                <w:b w:val="0"/>
                <w:sz w:val="17"/>
              </w:rPr>
              <w:t>Update LLM analysis prompt and structured schema</w:t>
            </w:r>
          </w:p>
        </w:tc>
        <w:tc>
          <w:tcPr>
            <w:tcW w:type="dxa" w:w="3360"/>
          </w:tcPr>
          <w:p>
            <w:r/>
            <w:r>
              <w:rPr>
                <w:b w:val="0"/>
                <w:sz w:val="17"/>
              </w:rPr>
              <w:t>Model explains supplied differences in valid, bounded JSON.</w:t>
            </w:r>
          </w:p>
        </w:tc>
      </w:tr>
      <w:tr>
        <w:tc>
          <w:tcPr>
            <w:tcW w:type="dxa" w:w="3360"/>
          </w:tcPr>
          <w:p>
            <w:r/>
            <w:r>
              <w:rPr>
                <w:b w:val="0"/>
                <w:sz w:val="17"/>
              </w:rPr>
              <w:t>6</w:t>
            </w:r>
          </w:p>
        </w:tc>
        <w:tc>
          <w:tcPr>
            <w:tcW w:type="dxa" w:w="3360"/>
          </w:tcPr>
          <w:p>
            <w:r/>
            <w:r>
              <w:rPr>
                <w:b w:val="0"/>
                <w:sz w:val="17"/>
              </w:rPr>
              <w:t>Add evidence verification and backend-derived locations</w:t>
            </w:r>
          </w:p>
        </w:tc>
        <w:tc>
          <w:tcPr>
            <w:tcW w:type="dxa" w:w="3360"/>
          </w:tcPr>
          <w:p>
            <w:r/>
            <w:r>
              <w:rPr>
                <w:b w:val="0"/>
                <w:sz w:val="17"/>
              </w:rPr>
              <w:t>Every displayed excerpt is source-verified.</w:t>
            </w:r>
          </w:p>
        </w:tc>
      </w:tr>
      <w:tr>
        <w:tc>
          <w:tcPr>
            <w:tcW w:type="dxa" w:w="3360"/>
          </w:tcPr>
          <w:p>
            <w:r/>
            <w:r>
              <w:rPr>
                <w:b w:val="0"/>
                <w:sz w:val="17"/>
              </w:rPr>
              <w:t>7</w:t>
            </w:r>
          </w:p>
        </w:tc>
        <w:tc>
          <w:tcPr>
            <w:tcW w:type="dxa" w:w="3360"/>
          </w:tcPr>
          <w:p>
            <w:r/>
            <w:r>
              <w:rPr>
                <w:b w:val="0"/>
                <w:sz w:val="17"/>
              </w:rPr>
              <w:t>Fix UI taxonomy and risk display</w:t>
            </w:r>
          </w:p>
        </w:tc>
        <w:tc>
          <w:tcPr>
            <w:tcW w:type="dxa" w:w="3360"/>
          </w:tcPr>
          <w:p>
            <w:r/>
            <w:r>
              <w:rPr>
                <w:b w:val="0"/>
                <w:sz w:val="17"/>
              </w:rPr>
              <w:t>No malformed labels; original/revised text and impact are clearly separated.</w:t>
            </w:r>
          </w:p>
        </w:tc>
      </w:tr>
      <w:tr>
        <w:tc>
          <w:tcPr>
            <w:tcW w:type="dxa" w:w="3360"/>
          </w:tcPr>
          <w:p>
            <w:r/>
            <w:r>
              <w:rPr>
                <w:b w:val="0"/>
                <w:sz w:val="17"/>
              </w:rPr>
              <w:t>8</w:t>
            </w:r>
          </w:p>
        </w:tc>
        <w:tc>
          <w:tcPr>
            <w:tcW w:type="dxa" w:w="3360"/>
          </w:tcPr>
          <w:p>
            <w:r/>
            <w:r>
              <w:rPr>
                <w:b w:val="0"/>
                <w:sz w:val="17"/>
              </w:rPr>
              <w:t>Automate regression suite and metrics</w:t>
            </w:r>
          </w:p>
        </w:tc>
        <w:tc>
          <w:tcPr>
            <w:tcW w:type="dxa" w:w="3360"/>
          </w:tcPr>
          <w:p>
            <w:r/>
            <w:r>
              <w:rPr>
                <w:b w:val="0"/>
                <w:sz w:val="17"/>
              </w:rPr>
              <w:t>Build fails when known seeded changes are missed or false positives appear.</w:t>
            </w:r>
          </w:p>
        </w:tc>
      </w:tr>
      <w:tr>
        <w:tc>
          <w:tcPr>
            <w:tcW w:type="dxa" w:w="3360"/>
          </w:tcPr>
          <w:p>
            <w:r/>
            <w:r>
              <w:rPr>
                <w:b w:val="0"/>
                <w:sz w:val="17"/>
              </w:rPr>
              <w:t>9</w:t>
            </w:r>
          </w:p>
        </w:tc>
        <w:tc>
          <w:tcPr>
            <w:tcW w:type="dxa" w:w="3360"/>
          </w:tcPr>
          <w:p>
            <w:r/>
            <w:r>
              <w:rPr>
                <w:b w:val="0"/>
                <w:sz w:val="17"/>
              </w:rPr>
              <w:t>Expand evaluation set and human review</w:t>
            </w:r>
          </w:p>
        </w:tc>
        <w:tc>
          <w:tcPr>
            <w:tcW w:type="dxa" w:w="3360"/>
          </w:tcPr>
          <w:p>
            <w:r/>
            <w:r>
              <w:rPr>
                <w:b w:val="0"/>
                <w:sz w:val="17"/>
              </w:rPr>
              <w:t>Quality is measured across representative real-world formats before release.</w:t>
            </w:r>
          </w:p>
        </w:tc>
      </w:tr>
    </w:tbl>
    <w:p/>
    <w:p>
      <w:pPr>
        <w:pStyle w:val="Heading1"/>
      </w:pPr>
      <w:r>
        <w:t>9. Operational Safeguards</w:t>
      </w:r>
    </w:p>
    <w:p>
      <w:pPr>
        <w:pStyle w:val="ListBullet"/>
      </w:pPr>
      <w:r>
        <w:t>Position the feature as decision support, not a substitute for legal advice or qualified contract review.</w:t>
      </w:r>
    </w:p>
    <w:p>
      <w:pPr>
        <w:pStyle w:val="ListBullet"/>
      </w:pPr>
      <w:r>
        <w:t>Keep original documents immutable and preserve version IDs, extraction output, detected changes, model version, prompt version, and timestamps for auditability.</w:t>
      </w:r>
    </w:p>
    <w:p>
      <w:pPr>
        <w:pStyle w:val="ListBullet"/>
      </w:pPr>
      <w:r>
        <w:t>Use access controls, encryption, retention controls, and data minimization for confidential contracts.</w:t>
      </w:r>
    </w:p>
    <w:p>
      <w:pPr>
        <w:pStyle w:val="ListBullet"/>
      </w:pPr>
      <w:r>
        <w:t>Do not send contract contents to external model providers unless the deployment's privacy, contractual, and data-processing requirements permit it.</w:t>
      </w:r>
    </w:p>
    <w:p>
      <w:pPr>
        <w:pStyle w:val="ListBullet"/>
      </w:pPr>
      <w:r>
        <w:t>Never state that a clause is legally enforceable or definitively safe based only on a comparison result.</w:t>
      </w:r>
    </w:p>
    <w:p>
      <w:pPr>
        <w:pStyle w:val="ListBullet"/>
      </w:pPr>
      <w:r>
        <w:t>For ambiguous changes, expose the uncertainty and require human review rather than suppressing the result.</w:t>
      </w:r>
    </w:p>
    <w:p>
      <w:pPr>
        <w:pStyle w:val="ListBullet"/>
      </w:pPr>
      <w:r>
        <w:t>Separate factual diff from legal/business interpretation. Users should be able to inspect the exact textual change even if the impact explanation is uncertain.</w:t>
      </w:r>
    </w:p>
    <w:p>
      <w:pPr>
        <w:pStyle w:val="Heading1"/>
      </w:pPr>
      <w:r>
        <w:t>10. Suggested Developer Prompt</w:t>
      </w:r>
    </w:p>
    <w:p>
      <w:r>
        <w:t>Use the following as a task prompt for the coding assistant or engineering team. Adapt it to the repository's actual architecture before implementation.</w:t>
      </w:r>
    </w:p>
    <w:p>
      <w:pPr>
        <w:ind w:left="288" w:right="288"/>
      </w:pPr>
      <w:r>
        <w:rPr>
          <w:rFonts w:ascii="Consolas" w:hAnsi="Consolas"/>
          <w:sz w:val="16"/>
        </w:rPr>
        <w:t>Improve the existing contract comparison pipeline. First trace and document the complete flow from file upload through text extraction, segmentation, model input, raw model response, parsing, and UI rendering. Reproduce the failure on the Northstar–Meridian Version 1 and Version 2 test contracts. Do not assume the model is the root cause until logs identify where content or changes are lost.</w:t>
        <w:br/>
        <w:br/>
        <w:t>Add per-document extraction diagnostics and guardrails against empty, incomplete, or truncated input. Preserve headings, paragraph boundaries, tables, and available page references. Segment both documents into clauses and align clauses by numbering/headings and text similarity, with support for moved, renumbered, split, merged, added, and deleted clauses. Do not align clauses solely by array index.</w:t>
        <w:br/>
        <w:br/>
        <w:t>Implement deterministic textual and numeric diffing before LLM analysis. Explicitly detect changes to money, percentages, deadlines, term lengths, liability/insurance caps, SLAs, security retention, incident-notification windows, RTO/RPO, obligations, exceptions, and negations. Send aligned clause pairs plus detected spans and relevant context to the model. The model must explain differences using only supplied evidence and return strict JSON matching a validated schema. Keep change_type and risk_level separate; never concatenate them in the UI.</w:t>
        <w:br/>
        <w:br/>
        <w:t>After the model responds, validate all quotes against the correct source version using normalized exact-substring matching. Compute source offsets and locations in backend code; never trust model-provided offsets or verification flags. Reject or mark unverified evidence. Add an explicit risk rubric and human-review state for uncertain or high-impact changes.</w:t>
        <w:br/>
        <w:br/>
        <w:t>Create automated regression tests for all 18 known edits in the test contracts and the known unchanged terms. The test must fail if any known seeded edit is missed, if unchanged terms are reported as changed, if a quote fails source verification, if output violates the schema, or if the UI combines change type and severity. Produce a summary of files changed, design decisions, test results, remaining limitations, and any manual steps. Do not claim success until the tests actually pass.</w:t>
      </w:r>
    </w:p>
    <w:p>
      <w:pPr>
        <w:pStyle w:val="Heading1"/>
      </w:pPr>
      <w:r>
        <w:t>11. Release Checklist</w:t>
      </w:r>
    </w:p>
    <w:p>
      <w:pPr>
        <w:pStyle w:val="ListBullet"/>
      </w:pPr>
      <w:r>
        <w:t>☐ Both documents extracted fully; all sections and tables accounted for.</w:t>
      </w:r>
    </w:p>
    <w:p>
      <w:pPr>
        <w:pStyle w:val="ListBullet"/>
      </w:pPr>
      <w:r>
        <w:t>☐ All 18 seeded edits found and before/after values are correct.</w:t>
      </w:r>
    </w:p>
    <w:p>
      <w:pPr>
        <w:pStyle w:val="ListBullet"/>
      </w:pPr>
      <w:r>
        <w:t>☐ Unchanged-term assertions pass.</w:t>
      </w:r>
    </w:p>
    <w:p>
      <w:pPr>
        <w:pStyle w:val="ListBullet"/>
      </w:pPr>
      <w:r>
        <w:t>☐ Every quote is verified against the correct version.</w:t>
      </w:r>
    </w:p>
    <w:p>
      <w:pPr>
        <w:pStyle w:val="ListBullet"/>
      </w:pPr>
      <w:r>
        <w:t>☐ Clause references and page locations are backend-derived and correct.</w:t>
      </w:r>
    </w:p>
    <w:p>
      <w:pPr>
        <w:pStyle w:val="ListBullet"/>
      </w:pPr>
      <w:r>
        <w:t>☐ Risk labels follow a documented rubric and are separate from change type.</w:t>
      </w:r>
    </w:p>
    <w:p>
      <w:pPr>
        <w:pStyle w:val="ListBullet"/>
      </w:pPr>
      <w:r>
        <w:t>☐ Malformed model output is rejected safely and retried or surfaced as an error.</w:t>
      </w:r>
    </w:p>
    <w:p>
      <w:pPr>
        <w:pStyle w:val="ListBullet"/>
      </w:pPr>
      <w:r>
        <w:t>☐ Large documents are processed in bounded batches without silent truncation.</w:t>
      </w:r>
    </w:p>
    <w:p>
      <w:pPr>
        <w:pStyle w:val="ListBullet"/>
      </w:pPr>
      <w:r>
        <w:t>☐ Regression tests run automatically in CI.</w:t>
      </w:r>
    </w:p>
    <w:p>
      <w:pPr>
        <w:pStyle w:val="ListBullet"/>
      </w:pPr>
      <w:r>
        <w:t>☐ Privacy, logging, retention, and human-review safeguards are documented.</w:t>
      </w:r>
    </w:p>
    <w:p>
      <w:pPr>
        <w:pStyle w:val="Heading1"/>
      </w:pPr>
      <w:r>
        <w:t>12. Final Recommendation</w:t>
      </w:r>
    </w:p>
    <w:p>
      <w:r>
        <w:t>Do not solve this failure by changing only the model or adding a longer prompt. First establish whether the full contract text reaches the comparison logic. Then implement clause-level alignment, deterministic change detection, structured model interpretation, evidence verification, and regression tests. The immediate acceptance test is straightforward: the system must find the 18 seeded changes, avoid flagging known unchanged terms, cite the right original and revised clauses, and render separate, valid change-type and risk fields. Only after this passes should model selection, prompt tuning, latency, and cost optimization be considered.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Engineering report • For product development and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CONTRACT COMPARISON MODEL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5A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