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3A5F"/>
          <w:sz w:val="48"/>
        </w:rPr>
        <w:t>MASTER SERVICES</w:t>
        <w:br/>
        <w:t>AGREEMENT</w:t>
      </w:r>
    </w:p>
    <w:p>
      <w:pPr>
        <w:spacing w:before="400"/>
        <w:jc w:val="center"/>
      </w:pPr>
      <w:r>
        <w:t>REVISED VERSION 2</w:t>
        <w:br/>
        <w:br/>
        <w:t>Effective Date: 1 January 2027</w:t>
        <w:br/>
        <w:br/>
        <w:t>Between</w:t>
        <w:br/>
        <w:t>Northstar Retail Systems FZ-LLC (Client)</w:t>
        <w:br/>
        <w:br/>
        <w:t>and</w:t>
        <w:br/>
        <w:br/>
        <w:t>Meridian Cloud Operations LLC (Service Provider)</w:t>
      </w:r>
    </w:p>
    <w:p>
      <w:pPr>
        <w:spacing w:before="1200"/>
        <w:jc w:val="center"/>
      </w:pPr>
      <w:r>
        <w:rPr>
          <w:i/>
        </w:rPr>
        <w:t>Fictional agreement created for software testing only.</w:t>
      </w:r>
    </w:p>
    <w:p>
      <w:r>
        <w:br w:type="page"/>
      </w:r>
    </w:p>
    <w:p>
      <w:pPr>
        <w:pStyle w:val="Heading1"/>
      </w:pPr>
      <w:r>
        <w:t>AGREEMENT OVERVIEW</w:t>
      </w:r>
    </w:p>
    <w:p>
      <w:pPr>
        <w:pStyle w:val="Heading2"/>
      </w:pPr>
      <w:r>
        <w:t>Parties and Effective Date</w:t>
      </w:r>
    </w:p>
    <w:p>
      <w:r>
        <w:t>This Master Services Agreement (the Agreement) is entered into on 1 January 2027 by and between Northstar Retail Systems FZ-LLC, a UAE company based in Dubai (Client), and Meridian Cloud Operations LLC, a UAE company based in Abu Dhabi (Service Provider). Each is a Party and together they are the Parties.</w:t>
      </w:r>
    </w:p>
    <w:p>
      <w:pPr>
        <w:pStyle w:val="Heading2"/>
      </w:pPr>
      <w:r>
        <w:t>Purpose and Scope</w:t>
      </w:r>
    </w:p>
    <w:p>
      <w:r>
        <w:t>The Client engages the Service Provider to configure, host, maintain and support a cloud-based retail operations platform. The Service Provider will perform the services described in this Agreement and any statement of work (SOW) signed by both Parties. Each SOW will identify deliverables, milestones, fees, assumptions, dependencies and acceptance criteria.</w:t>
      </w:r>
    </w:p>
    <w:p>
      <w:pPr>
        <w:pStyle w:val="Heading2"/>
      </w:pPr>
      <w:r>
        <w:t>Contract Documents</w:t>
      </w:r>
    </w:p>
    <w:p>
      <w:r>
        <w:t>This Agreement, its schedules and each signed SOW form the complete agreement. In a conflict, a signed amendment expressly changing a provision takes precedence, followed by project-specific SOW terms, schedules and then the main body.</w:t>
      </w:r>
    </w:p>
    <w:p>
      <w:pPr>
        <w:spacing w:before="80"/>
      </w:pPr>
      <w:r>
        <w:rPr>
          <w:i/>
          <w:sz w:val="16"/>
        </w:rPr>
        <w:t>Section 01 of 12</w:t>
      </w:r>
    </w:p>
    <w:p>
      <w:r>
        <w:br w:type="page"/>
      </w:r>
    </w:p>
    <w:p>
      <w:pPr>
        <w:pStyle w:val="Heading1"/>
      </w:pPr>
      <w:r>
        <w:t>DEFINITIONS AND INTERPRETATION</w:t>
      </w:r>
    </w:p>
    <w:p>
      <w:pPr>
        <w:pStyle w:val="Heading2"/>
      </w:pPr>
      <w:r>
        <w:t>Definitions</w:t>
      </w:r>
    </w:p>
    <w:p>
      <w:r>
        <w:t>Business Day means a day other than Saturday, Sunday or an official public holiday in Dubai. Client Data means data submitted to, collected by or generated for the Client through the Services, excluding Provider Materials. Confidential Information means non-public business, technical, financial or operational information. Deliverable means an item identified as such in an SOW.</w:t>
      </w:r>
    </w:p>
    <w:p>
      <w:pPr>
        <w:pStyle w:val="Heading2"/>
      </w:pPr>
      <w:r>
        <w:t>Interpretation</w:t>
      </w:r>
    </w:p>
    <w:p>
      <w:r>
        <w:t>Headings do not affect interpretation. Including means including without limitation. References to law include amendments and replacement legislation. Writing includes email from an authorized representative unless a signed instrument is expressly required.</w:t>
      </w:r>
    </w:p>
    <w:p>
      <w:pPr>
        <w:pStyle w:val="Heading2"/>
      </w:pPr>
      <w:r>
        <w:t>Independent Contractors</w:t>
      </w:r>
    </w:p>
    <w:p>
      <w:r>
        <w:t>The Parties are independent contractors. Nothing creates a partnership, joint venture, employment, agency or fiduciary relationship. Neither Party may bind the other without prior written authorization. Each Party will identify one operational contact for routine coordination.</w:t>
      </w:r>
    </w:p>
    <w:p>
      <w:pPr>
        <w:spacing w:before="80"/>
      </w:pPr>
      <w:r>
        <w:rPr>
          <w:i/>
          <w:sz w:val="16"/>
        </w:rPr>
        <w:t>Section 02 of 12</w:t>
      </w:r>
    </w:p>
    <w:p>
      <w:r>
        <w:br w:type="page"/>
      </w:r>
    </w:p>
    <w:p>
      <w:pPr>
        <w:pStyle w:val="Heading1"/>
      </w:pPr>
      <w:r>
        <w:t>SERVICES AND GOVERNANCE</w:t>
      </w:r>
    </w:p>
    <w:p>
      <w:pPr>
        <w:pStyle w:val="Heading2"/>
      </w:pPr>
      <w:r>
        <w:t>Service Scope</w:t>
      </w:r>
    </w:p>
    <w:p>
      <w:r>
        <w:t>The Service Provider will deliver platform configuration, cloud hosting, routine maintenance, incident support and reporting described in the applicable SOW. Out-of-scope work requires a written change request describing scope, timing, fees and dependencies.</w:t>
      </w:r>
    </w:p>
    <w:p>
      <w:pPr>
        <w:pStyle w:val="Heading2"/>
      </w:pPr>
      <w:r>
        <w:t>Governance Meetings</w:t>
      </w:r>
    </w:p>
    <w:p>
      <w:r>
        <w:t>During implementation, project leads will meet weekly. After go-live, service managers will meet monthly to review service levels, incidents, security, upcoming changes and open actions. Either Party may request an extraordinary meeting for a material service issue.</w:t>
      </w:r>
    </w:p>
    <w:p>
      <w:pPr>
        <w:pStyle w:val="Heading2"/>
      </w:pPr>
      <w:r>
        <w:t>Client Dependencies</w:t>
      </w:r>
    </w:p>
    <w:p>
      <w:r>
        <w:t>The Client will provide timely access to personnel, systems, test data and decisions. The Service Provider is not responsible for delay directly caused by a Client dependency that it documents and escalates promptly. Both Parties will mitigate delay.</w:t>
      </w:r>
    </w:p>
    <w:p>
      <w:pPr>
        <w:spacing w:before="80"/>
      </w:pPr>
      <w:r>
        <w:rPr>
          <w:i/>
          <w:sz w:val="16"/>
        </w:rPr>
        <w:t>Section 03 of 12</w:t>
      </w:r>
    </w:p>
    <w:p>
      <w:r>
        <w:br w:type="page"/>
      </w:r>
    </w:p>
    <w:p>
      <w:pPr>
        <w:pStyle w:val="Heading1"/>
      </w:pPr>
      <w:r>
        <w:t>IMPLEMENTATION AND ACCEPTANCE</w:t>
      </w:r>
    </w:p>
    <w:p>
      <w:pPr>
        <w:pStyle w:val="Heading2"/>
      </w:pPr>
      <w:r>
        <w:t>Implementation Plan</w:t>
      </w:r>
    </w:p>
    <w:p>
      <w:r>
        <w:t>Within ten Business Days after an SOW starts, the Service Provider will prepare a plan identifying workstreams, responsibilities, milestones, testing activities and planned go-live. Changes to the baseline plan will be recorded in the project action log.</w:t>
      </w:r>
    </w:p>
    <w:p>
      <w:pPr>
        <w:pStyle w:val="Heading2"/>
      </w:pPr>
      <w:r>
        <w:t>Acceptance Testing</w:t>
      </w:r>
    </w:p>
    <w:p>
      <w:r>
        <w:t>The Client has 15 Business Days after delivery of a milestone to test it against the SOW acceptance criteria. The Client may accept in writing or provide a detailed list of material non-conformities. The Service Provider will correct confirmed non-conformities and resubmit the milestone.</w:t>
      </w:r>
    </w:p>
    <w:p>
      <w:pPr>
        <w:pStyle w:val="Heading2"/>
      </w:pPr>
      <w:r>
        <w:t>Deemed Acceptance</w:t>
      </w:r>
    </w:p>
    <w:p>
      <w:r>
        <w:t>A milestone is deemed accepted if the Client does not provide acceptance or detailed rejection within the review period, provided materials reasonably needed for testing were supplied. Deemed acceptance does not waive latent defects that could not reasonably have been discovered.</w:t>
      </w:r>
    </w:p>
    <w:p>
      <w:pPr>
        <w:spacing w:before="80"/>
      </w:pPr>
      <w:r>
        <w:rPr>
          <w:i/>
          <w:sz w:val="16"/>
        </w:rPr>
        <w:t>Section 04 of 12</w:t>
      </w:r>
    </w:p>
    <w:p>
      <w:r>
        <w:br w:type="page"/>
      </w:r>
    </w:p>
    <w:p>
      <w:pPr>
        <w:pStyle w:val="Heading1"/>
      </w:pPr>
      <w:r>
        <w:t>FEES AND PAYMENT</w:t>
      </w:r>
    </w:p>
    <w:p>
      <w:pPr>
        <w:pStyle w:val="Heading2"/>
      </w:pPr>
      <w:r>
        <w:t>Implementation Fee</w:t>
      </w:r>
    </w:p>
    <w:p>
      <w:r>
        <w:t>The fixed implementation fee is AED 240,000, excluding applicable taxes. Unless an SOW says otherwise, it is invoiced in four instalments: 20% on commencement, 30% on configuration completion, 30% on user acceptance testing completion and 20% on production go-live.</w:t>
      </w:r>
    </w:p>
    <w:p>
      <w:pPr>
        <w:pStyle w:val="Heading2"/>
      </w:pPr>
      <w:r>
        <w:t>Managed Service Fee</w:t>
      </w:r>
    </w:p>
    <w:p>
      <w:r>
        <w:t>After production go-live, the Client pays a recurring managed service fee of AED 32,000 per month. Partial months are prorated by calendar day. Fee changes require a written amendment signed by both Parties.</w:t>
      </w:r>
    </w:p>
    <w:p>
      <w:pPr>
        <w:pStyle w:val="Heading2"/>
      </w:pPr>
      <w:r>
        <w:t>Invoices and Payment</w:t>
      </w:r>
    </w:p>
    <w:p>
      <w:r>
        <w:t>Invoices will include reasonable supporting detail. Each undisputed valid invoice is payable within 45 calendar days after receipt. A good-faith dispute must be notified within 10 Business Days, identifying the disputed amount and reasons. Undisputed amounts remain payable by the due date.</w:t>
      </w:r>
    </w:p>
    <w:p>
      <w:pPr>
        <w:pStyle w:val="Heading2"/>
      </w:pPr>
      <w:r>
        <w:t>Taxes and Expenses</w:t>
      </w:r>
    </w:p>
    <w:p>
      <w:r>
        <w:t>Fees exclude VAT and similar transaction taxes, which will be charged where legally required. Each Party is responsible for its income taxes. Expenses are reimbursable only if approved in writing in advance and supported by receipts.</w:t>
      </w:r>
    </w:p>
    <w:p>
      <w:pPr>
        <w:spacing w:before="80"/>
      </w:pPr>
      <w:r>
        <w:rPr>
          <w:i/>
          <w:sz w:val="16"/>
        </w:rPr>
        <w:t>Section 05 of 12</w:t>
      </w:r>
    </w:p>
    <w:p>
      <w:r>
        <w:br w:type="page"/>
      </w:r>
    </w:p>
    <w:p>
      <w:pPr>
        <w:pStyle w:val="Heading1"/>
      </w:pPr>
      <w:r>
        <w:t>SERVICE LEVELS</w:t>
      </w:r>
    </w:p>
    <w:p>
      <w:pPr>
        <w:pStyle w:val="Heading2"/>
      </w:pPr>
      <w:r>
        <w:t>Availability Targets</w:t>
      </w:r>
    </w:p>
    <w:p>
      <w:r>
        <w:t>The Service Provider will use commercially reasonable efforts to achieve monthly availability of 99.0% for the production integration service and 99.5% for the analytics workspace. Availability excludes scheduled maintenance notified at least 48 hours in advance and downtime caused solely by Client systems or external networks beyond reasonable control.</w:t>
      </w:r>
    </w:p>
    <w:p>
      <w:pPr>
        <w:pStyle w:val="Heading2"/>
      </w:pPr>
      <w:r>
        <w:t>Incident Priorities</w:t>
      </w:r>
    </w:p>
    <w:p>
      <w:r>
        <w:t>Priority 1 means a complete production outage or critical security incident materially affecting Services. Priority 2 means a major function is unavailable without a reasonable workaround. Priority 3 means a limited defect or degradation that does not prevent core operations. Priority may be reclassified when new evidence supports it.</w:t>
      </w:r>
    </w:p>
    <w:p>
      <w:pPr>
        <w:pStyle w:val="Heading2"/>
      </w:pPr>
      <w:r>
        <w:t>Response and Restoration</w:t>
      </w:r>
    </w:p>
    <w:p>
      <w:r>
        <w:t>For Priority 1, the Service Provider will acknowledge within 15 minutes and target restoration within 4 hours. For Priority 2, it will acknowledge within 1 Business Hour and target a workaround within 8 Business Hours. These are targets, not guarantees.</w:t>
      </w:r>
    </w:p>
    <w:p>
      <w:pPr>
        <w:pStyle w:val="Heading2"/>
      </w:pPr>
      <w:r>
        <w:t>Service Credits</w:t>
      </w:r>
    </w:p>
    <w:p>
      <w:r>
        <w:t>If availability is below target but at least 99.0%, the Client may claim a credit of 5% of the affected service's monthly fee. Below 99.0%, the credit is 10%. Credits are capped at 15% of that service's monthly fee per billing month and are the sole monetary remedy for availability-target failure, without limiting remedies for separate breaches.</w:t>
      </w:r>
    </w:p>
    <w:p>
      <w:pPr>
        <w:spacing w:before="80"/>
      </w:pPr>
      <w:r>
        <w:rPr>
          <w:i/>
          <w:sz w:val="16"/>
        </w:rPr>
        <w:t>Section 06 of 12</w:t>
      </w:r>
    </w:p>
    <w:p>
      <w:r>
        <w:br w:type="page"/>
      </w:r>
    </w:p>
    <w:p>
      <w:pPr>
        <w:pStyle w:val="Heading1"/>
      </w:pPr>
      <w:r>
        <w:t>SECURITY AND INCIDENT MANAGEMENT</w:t>
      </w:r>
    </w:p>
    <w:p>
      <w:pPr>
        <w:pStyle w:val="Heading2"/>
      </w:pPr>
      <w:r>
        <w:t>Security Program</w:t>
      </w:r>
    </w:p>
    <w:p>
      <w:r>
        <w:t>The Service Provider will maintain a documented security program including access controls, least-privilege permissions, secure configuration, vulnerability management, staff training and periodic review. Production access is limited to authorized personnel with a business need.</w:t>
      </w:r>
    </w:p>
    <w:p>
      <w:pPr>
        <w:pStyle w:val="Heading2"/>
      </w:pPr>
      <w:r>
        <w:t>Security Incident Notification</w:t>
      </w:r>
    </w:p>
    <w:p>
      <w:r>
        <w:t>The Service Provider will notify the Client within 72 hours after becoming aware of a confirmed security incident involving unauthorized access to or disclosure of Client Data. Notice will describe known nature, likely impact, containment measures and a contact for updates. Material updates will follow.</w:t>
      </w:r>
    </w:p>
    <w:p>
      <w:pPr>
        <w:pStyle w:val="Heading2"/>
      </w:pPr>
      <w:r>
        <w:t>Vulnerability Remediation</w:t>
      </w:r>
    </w:p>
    <w:p>
      <w:r>
        <w:t>The Service Provider targets remediation or mitigation of critical vulnerabilities within 7 calendar days after validation and high-severity vulnerabilities within 14 calendar days. If a target cannot reasonably be met, it will document compensating controls and an estimated remediation date.</w:t>
      </w:r>
    </w:p>
    <w:p>
      <w:pPr>
        <w:pStyle w:val="Heading2"/>
      </w:pPr>
      <w:r>
        <w:t>Security Logs</w:t>
      </w:r>
    </w:p>
    <w:p>
      <w:r>
        <w:t>Security and administrative logs relevant to Services will be retained for at least 90 days, protected against unauthorized alteration and made available upon reasonable request, subject to security and confidentiality restrictions.</w:t>
      </w:r>
    </w:p>
    <w:p>
      <w:pPr>
        <w:spacing w:before="80"/>
      </w:pPr>
      <w:r>
        <w:rPr>
          <w:i/>
          <w:sz w:val="16"/>
        </w:rPr>
        <w:t>Section 07 of 12</w:t>
      </w:r>
    </w:p>
    <w:p>
      <w:r>
        <w:br w:type="page"/>
      </w:r>
    </w:p>
    <w:p>
      <w:pPr>
        <w:pStyle w:val="Heading1"/>
      </w:pPr>
      <w:r>
        <w:t>DATA PROTECTION AND CONFIDENTIALITY</w:t>
      </w:r>
    </w:p>
    <w:p>
      <w:pPr>
        <w:pStyle w:val="Heading2"/>
      </w:pPr>
      <w:r>
        <w:t>Data Ownership</w:t>
      </w:r>
    </w:p>
    <w:p>
      <w:r>
        <w:t>The Client retains all right, title and interest in Client Data. The Service Provider may process Client Data only to provide, secure, maintain and support Services, comply with law or follow the Client's written instructions.</w:t>
      </w:r>
    </w:p>
    <w:p>
      <w:pPr>
        <w:pStyle w:val="Heading2"/>
      </w:pPr>
      <w:r>
        <w:t>Confidentiality Duties</w:t>
      </w:r>
    </w:p>
    <w:p>
      <w:r>
        <w:t>The receiving Party will use Confidential Information only for this Agreement, protect it with at least reasonable care and disclose it only to personnel and advisers who need to know and are bound by confidentiality duties. Exclusions apply to information demonstrably public without breach, already lawfully known, independently developed or lawfully received from a third party.</w:t>
      </w:r>
    </w:p>
    <w:p>
      <w:pPr>
        <w:pStyle w:val="Heading2"/>
      </w:pPr>
      <w:r>
        <w:t>Legal Disclosure</w:t>
      </w:r>
    </w:p>
    <w:p>
      <w:r>
        <w:t>Where disclosure is required by law or court order, the receiving Party may disclose only what is legally required and, where permitted, will give prior notice so protective relief may be sought.</w:t>
      </w:r>
    </w:p>
    <w:p>
      <w:pPr>
        <w:pStyle w:val="Heading2"/>
      </w:pPr>
      <w:r>
        <w:t>Return and Deletion</w:t>
      </w:r>
    </w:p>
    <w:p>
      <w:r>
        <w:t>Within 60 calendar days after termination or expiry, the Service Provider will, at the Client's election, return Client Data in a commonly used export format or securely delete it. Copies required by law or held in routine backups may remain until overwritten, protected and unused for other purposes.</w:t>
      </w:r>
    </w:p>
    <w:p>
      <w:pPr>
        <w:spacing w:before="80"/>
      </w:pPr>
      <w:r>
        <w:rPr>
          <w:i/>
          <w:sz w:val="16"/>
        </w:rPr>
        <w:t>Section 08 of 12</w:t>
      </w:r>
    </w:p>
    <w:p>
      <w:r>
        <w:br w:type="page"/>
      </w:r>
    </w:p>
    <w:p>
      <w:pPr>
        <w:pStyle w:val="Heading1"/>
      </w:pPr>
      <w:r>
        <w:t>INTELLECTUAL PROPERTY</w:t>
      </w:r>
    </w:p>
    <w:p>
      <w:pPr>
        <w:pStyle w:val="Heading2"/>
      </w:pPr>
      <w:r>
        <w:t>Background Materials</w:t>
      </w:r>
    </w:p>
    <w:p>
      <w:r>
        <w:t>Each Party retains ownership of materials, software, tools, methods and know-how developed or acquired independently of this Agreement. No ownership transfers except as expressly stated.</w:t>
      </w:r>
    </w:p>
    <w:p>
      <w:pPr>
        <w:pStyle w:val="Heading2"/>
      </w:pPr>
      <w:r>
        <w:t>Deliverables</w:t>
      </w:r>
    </w:p>
    <w:p>
      <w:r>
        <w:t>After payment of all fees due for a Deliverable, the Service Provider grants the Client a perpetual, worldwide, non-exclusive, royalty-free licence to use, reproduce and internally modify it for the Client's business. Third-party software remains subject to its licence.</w:t>
      </w:r>
    </w:p>
    <w:p>
      <w:pPr>
        <w:pStyle w:val="Heading2"/>
      </w:pPr>
      <w:r>
        <w:t>Client Materials</w:t>
      </w:r>
    </w:p>
    <w:p>
      <w:r>
        <w:t>The Client grants a limited, non-exclusive licence to use Client Materials only to perform Services during the term. The Service Provider will not use Client branding publicly without prior written consent.</w:t>
      </w:r>
    </w:p>
    <w:p>
      <w:pPr>
        <w:pStyle w:val="Heading2"/>
      </w:pPr>
      <w:r>
        <w:t>Feedback</w:t>
      </w:r>
    </w:p>
    <w:p>
      <w:r>
        <w:t>The Service Provider may use general suggestions or feedback, including suggestions that refer to the Client's business context, provided that the Service Provider does not disclose the Client's Confidential Information to a third party.</w:t>
      </w:r>
    </w:p>
    <w:p>
      <w:pPr>
        <w:spacing w:before="80"/>
      </w:pPr>
      <w:r>
        <w:rPr>
          <w:i/>
          <w:sz w:val="16"/>
        </w:rPr>
        <w:t>Section 09 of 12</w:t>
      </w:r>
    </w:p>
    <w:p>
      <w:r>
        <w:br w:type="page"/>
      </w:r>
    </w:p>
    <w:p>
      <w:pPr>
        <w:pStyle w:val="Heading1"/>
      </w:pPr>
      <w:r>
        <w:t>WARRANTIES AND INSURANCE</w:t>
      </w:r>
    </w:p>
    <w:p>
      <w:pPr>
        <w:pStyle w:val="Heading2"/>
      </w:pPr>
      <w:r>
        <w:t>Mutual Authority</w:t>
      </w:r>
    </w:p>
    <w:p>
      <w:r>
        <w:t>Each Party represents that it is duly organized, has authority to enter into this Agreement and will comply with laws applicable to its performance. Each signatory is authorized to sign.</w:t>
      </w:r>
    </w:p>
    <w:p>
      <w:pPr>
        <w:pStyle w:val="Heading2"/>
      </w:pPr>
      <w:r>
        <w:t>Service Warranty</w:t>
      </w:r>
    </w:p>
    <w:p>
      <w:r>
        <w:t>The Service Provider warrants that Services will be performed with reasonable skill and care and materially in accordance with the SOW. If notified of a material failure within 30 days, it will re-perform affected Services or correct the Deliverable at no additional charge.</w:t>
      </w:r>
    </w:p>
    <w:p>
      <w:pPr>
        <w:pStyle w:val="Heading2"/>
      </w:pPr>
      <w:r>
        <w:t>Insurance</w:t>
      </w:r>
    </w:p>
    <w:p>
      <w:r>
        <w:t>During the term, the Service Provider will maintain professional indemnity insurance of AED 1,000,000 per claim and annual aggregate, and cyber liability insurance of AED 500,000 per claim and annual aggregate. Evidence will be provided on reasonable request.</w:t>
      </w:r>
    </w:p>
    <w:p>
      <w:pPr>
        <w:pStyle w:val="Heading2"/>
      </w:pPr>
      <w:r>
        <w:t>Disclaimer</w:t>
      </w:r>
    </w:p>
    <w:p>
      <w:r>
        <w:t>Except for express warranties, Services and Deliverables are provided without other warranties to the maximum extent permitted by law. No right that cannot legally be excluded is excluded.</w:t>
      </w:r>
    </w:p>
    <w:p>
      <w:pPr>
        <w:spacing w:before="80"/>
      </w:pPr>
      <w:r>
        <w:rPr>
          <w:i/>
          <w:sz w:val="16"/>
        </w:rPr>
        <w:t>Section 10 of 12</w:t>
      </w:r>
    </w:p>
    <w:p>
      <w:r>
        <w:br w:type="page"/>
      </w:r>
    </w:p>
    <w:p>
      <w:pPr>
        <w:pStyle w:val="Heading1"/>
      </w:pPr>
      <w:r>
        <w:t>LIABILITY AND INDEMNITIES</w:t>
      </w:r>
    </w:p>
    <w:p>
      <w:pPr>
        <w:pStyle w:val="Heading2"/>
      </w:pPr>
      <w:r>
        <w:t>General Liability Cap</w:t>
      </w:r>
    </w:p>
    <w:p>
      <w:r>
        <w:t>Subject to the exceptions below, each Party's aggregate liability arising out of or in connection with this Agreement will not exceed AED 1,000,000.</w:t>
      </w:r>
    </w:p>
    <w:p>
      <w:pPr>
        <w:pStyle w:val="Heading2"/>
      </w:pPr>
      <w:r>
        <w:t>Excluded Losses</w:t>
      </w:r>
    </w:p>
    <w:p>
      <w:r>
        <w:t>Neither Party is liable for indirect or consequential loss, anticipated profit, goodwill or business opportunity, except where such loss forms part of a third-party claim covered by an express indemnity or cannot legally be excluded.</w:t>
      </w:r>
    </w:p>
    <w:p>
      <w:pPr>
        <w:pStyle w:val="Heading2"/>
      </w:pPr>
      <w:r>
        <w:t>Exceptions</w:t>
      </w:r>
    </w:p>
    <w:p>
      <w:r>
        <w:t>The cap and exclusions do not apply to fraud, wilful misconduct, breach of confidentiality obligations or liability that cannot legally be limited. Undisputed fees properly due remain payable.</w:t>
      </w:r>
    </w:p>
    <w:p>
      <w:pPr>
        <w:pStyle w:val="Heading2"/>
      </w:pPr>
      <w:r>
        <w:t>Third-Party Claims</w:t>
      </w:r>
    </w:p>
    <w:p>
      <w:r>
        <w:t>A Party seeking indemnity will give prompt notice, provide reasonable cooperation at the indemnifying Party's expense and allow it to control the defence. No settlement may impose an admission, payment or non-monetary obligation on the indemnified Party without its written consent.</w:t>
      </w:r>
    </w:p>
    <w:p>
      <w:pPr>
        <w:spacing w:before="80"/>
      </w:pPr>
      <w:r>
        <w:rPr>
          <w:i/>
          <w:sz w:val="16"/>
        </w:rPr>
        <w:t>Section 11 of 12</w:t>
      </w:r>
    </w:p>
    <w:p>
      <w:r>
        <w:br w:type="page"/>
      </w:r>
    </w:p>
    <w:p>
      <w:pPr>
        <w:pStyle w:val="Heading1"/>
      </w:pPr>
      <w:r>
        <w:t>BUSINESS CONTINUITY, TERM AND DISPUTES</w:t>
      </w:r>
    </w:p>
    <w:p>
      <w:pPr>
        <w:pStyle w:val="Heading2"/>
      </w:pPr>
      <w:r>
        <w:t>Business Continuity</w:t>
      </w:r>
    </w:p>
    <w:p>
      <w:r>
        <w:t>The Service Provider will maintain and periodically test a continuity and disaster recovery plan. Target recovery time objective (RTO) is 12 hours and target recovery point objective (RPO) is 4 hours. Test summaries will be provided on reasonable request.</w:t>
      </w:r>
    </w:p>
    <w:p>
      <w:pPr>
        <w:pStyle w:val="Heading2"/>
      </w:pPr>
      <w:r>
        <w:t>Subcontractors and Exit</w:t>
      </w:r>
    </w:p>
    <w:p>
      <w:r>
        <w:t>The Service Provider may use qualified subcontractors but remains responsible for their acts and omissions. On expiry or termination, it will provide reasonable transition assistance for up to 60 days at agreed rates.</w:t>
      </w:r>
    </w:p>
    <w:p>
      <w:pPr>
        <w:pStyle w:val="Heading2"/>
      </w:pPr>
      <w:r>
        <w:t>Records</w:t>
      </w:r>
    </w:p>
    <w:p>
      <w:r>
        <w:t>Invoice and payment records will be retained for 7 years after the relevant invoice date unless law requires longer. Other records follow the documented retention schedule and applicable law.</w:t>
      </w:r>
    </w:p>
    <w:p>
      <w:pPr>
        <w:pStyle w:val="Heading2"/>
      </w:pPr>
      <w:r>
        <w:t>Initial Term and Renewal</w:t>
      </w:r>
    </w:p>
    <w:p>
      <w:r>
        <w:t>This Agreement begins on the Effective Date and continues for an initial term of 36 months unless terminated earlier. It automatically renews for successive 12-month periods unless either Party gives written non-renewal notice at least 60 calendar days before the current term ends.</w:t>
      </w:r>
    </w:p>
    <w:p>
      <w:pPr>
        <w:pStyle w:val="Heading2"/>
      </w:pPr>
      <w:r>
        <w:t>Termination for Cause</w:t>
      </w:r>
    </w:p>
    <w:p>
      <w:r>
        <w:t>Either Party may terminate this Agreement or an affected SOW if the other commits a material breach and fails to cure it within 30 calendar days after written notice. Immediate termination is permitted where required by law or permitted due to insolvency.</w:t>
      </w:r>
    </w:p>
    <w:p>
      <w:pPr>
        <w:pStyle w:val="Heading2"/>
      </w:pPr>
      <w:r>
        <w:t>Termination for Convenience</w:t>
      </w:r>
    </w:p>
    <w:p>
      <w:r>
        <w:t>The Client may terminate for convenience on 30 calendar days' prior written notice. The Service Provider may not terminate for convenience during the Initial Term. After the Initial Term, it may terminate on 120 days' notice after completing agreed transition obligations.</w:t>
      </w:r>
    </w:p>
    <w:p>
      <w:pPr>
        <w:pStyle w:val="Heading2"/>
      </w:pPr>
      <w:r>
        <w:t>Force Majeure</w:t>
      </w:r>
    </w:p>
    <w:p>
      <w:r>
        <w:t>Neither Party is liable for delay caused by events beyond reasonable control if it promptly notifies the other and mitigates impact. If a force majeure event prevents material performance for more than 60 consecutive days, either Party may terminate the affected SOW.</w:t>
      </w:r>
    </w:p>
    <w:p>
      <w:pPr>
        <w:pStyle w:val="Heading2"/>
      </w:pPr>
      <w:r>
        <w:t>Governing Law and Disputes</w:t>
      </w:r>
    </w:p>
    <w:p>
      <w:r>
        <w:t>The Parties will escalate disputes through contract managers and senior executives. If unresolved within 30 days after escalation, disputes are subject to the exclusive jurisdiction of Dubai courts, United Arab Emirates, and UAE law as applied in Dubai.</w:t>
      </w:r>
    </w:p>
    <w:p>
      <w:pPr>
        <w:pStyle w:val="Heading2"/>
      </w:pPr>
      <w:r>
        <w:t>Notices and Signatures</w:t>
      </w:r>
    </w:p>
    <w:p>
      <w:r>
        <w:t>Formal notices will be delivered by courier or email to the authorized contact in the SOW, with a copy to the contract manager. Counterparts and electronic signatures are permitted.</w:t>
      </w:r>
    </w:p>
    <w:p>
      <w:pPr>
        <w:pStyle w:val="Heading2"/>
      </w:pPr>
      <w:r>
        <w:t>Regulatory Cooperation</w:t>
      </w:r>
    </w:p>
    <w:p>
      <w:r>
        <w:t>On reasonable written request, each Party will provide information within its control reasonably necessary for the other Party to respond to a regulator inquiry directly relating to the Services, subject to applicable law and confidentiality restrictions.</w:t>
      </w:r>
    </w:p>
    <w:p>
      <w:pPr>
        <w:spacing w:before="80"/>
      </w:pPr>
      <w:r>
        <w:rPr>
          <w:i/>
          <w:sz w:val="16"/>
        </w:rPr>
        <w:t>Section 12 of 12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FICTIONAL TEST CONTRACT — NOT FOR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Northstar Retail Systems FZ-LLC  |  Meridian Cloud Operations LLC  |  VERSION 2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mbria" w:hAnsi="Cambr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