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BA64" w14:textId="6344D3FC" w:rsidR="00285B85" w:rsidRPr="004354A7" w:rsidRDefault="00AE676D" w:rsidP="007A01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4A7">
        <w:rPr>
          <w:rFonts w:ascii="Times New Roman" w:hAnsi="Times New Roman" w:cs="Times New Roman"/>
          <w:b/>
          <w:bCs/>
          <w:sz w:val="28"/>
          <w:szCs w:val="28"/>
        </w:rPr>
        <w:t>A lattice-based forward secure IBE scheme for Internet of things</w:t>
      </w:r>
    </w:p>
    <w:p w14:paraId="05F29100" w14:textId="52B4C3FE" w:rsidR="00AE676D" w:rsidRDefault="00AE676D" w:rsidP="007A01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Novel Approach: The main approach is to integrate secure query-based trust model followed by fs-IBE encryption</w:t>
      </w:r>
    </w:p>
    <w:p w14:paraId="565FE0E8" w14:textId="4D7D224C" w:rsidR="00AE676D" w:rsidRDefault="00AE676D" w:rsidP="007A01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FB1045" wp14:editId="774F3358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4295140"/>
            <wp:effectExtent l="0" t="0" r="2540" b="0"/>
            <wp:wrapTopAndBottom/>
            <wp:docPr id="5529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Post quantum cryptographic methods for the novel approach:</w:t>
      </w:r>
    </w:p>
    <w:p w14:paraId="23092BD0" w14:textId="3272B256" w:rsidR="00AE676D" w:rsidRDefault="00AE676D" w:rsidP="007A01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data encryption and query encryption: Use fs-IBE method which is used in the base paper.</w:t>
      </w:r>
    </w:p>
    <w:p w14:paraId="589CB417" w14:textId="2D6E30B4" w:rsidR="00AE676D" w:rsidRDefault="004354A7" w:rsidP="007A01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trust verification: Use dilithium</w:t>
      </w:r>
      <w:r w:rsidR="009D4514">
        <w:rPr>
          <w:rFonts w:ascii="Times New Roman" w:hAnsi="Times New Roman" w:cs="Times New Roman"/>
          <w:sz w:val="24"/>
          <w:szCs w:val="24"/>
        </w:rPr>
        <w:t>-3</w:t>
      </w:r>
      <w:r>
        <w:rPr>
          <w:rFonts w:ascii="Times New Roman" w:hAnsi="Times New Roman" w:cs="Times New Roman"/>
          <w:sz w:val="24"/>
          <w:szCs w:val="24"/>
        </w:rPr>
        <w:t xml:space="preserve"> for digital signature.</w:t>
      </w:r>
    </w:p>
    <w:p w14:paraId="49AC24A5" w14:textId="3F7F1E8A" w:rsidR="004354A7" w:rsidRDefault="004354A7" w:rsidP="007A01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encryption keys are distributed on epoch based manner.</w:t>
      </w:r>
    </w:p>
    <w:p w14:paraId="45DBDCD1" w14:textId="47C73869" w:rsidR="009413CB" w:rsidRDefault="009413CB" w:rsidP="007A01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Along with the query the user also signs the data </w:t>
      </w:r>
      <w:r w:rsidR="007E77BE">
        <w:rPr>
          <w:rFonts w:ascii="Times New Roman" w:hAnsi="Times New Roman" w:cs="Times New Roman"/>
          <w:sz w:val="24"/>
          <w:szCs w:val="24"/>
        </w:rPr>
        <w:t xml:space="preserve">which is used for trust verification of the user. </w:t>
      </w:r>
    </w:p>
    <w:p w14:paraId="030800A6" w14:textId="20D26082" w:rsidR="003C2470" w:rsidRDefault="003C2470" w:rsidP="007A01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queries are also epoch bound.</w:t>
      </w:r>
    </w:p>
    <w:p w14:paraId="7366594D" w14:textId="6F040B4E" w:rsidR="003C2470" w:rsidRDefault="003C2470" w:rsidP="007A01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to be calculated:</w:t>
      </w:r>
    </w:p>
    <w:p w14:paraId="78D86F0D" w14:textId="7937D957" w:rsidR="003C2470" w:rsidRDefault="003C2470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encryption time</w:t>
      </w:r>
    </w:p>
    <w:p w14:paraId="21950B0C" w14:textId="653D44AF" w:rsidR="003C2470" w:rsidRDefault="003C2470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 encryption time</w:t>
      </w:r>
    </w:p>
    <w:p w14:paraId="70124BCF" w14:textId="172A65C6" w:rsidR="003C2470" w:rsidRDefault="003C2470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decryption time</w:t>
      </w:r>
    </w:p>
    <w:p w14:paraId="1DD3BC2B" w14:textId="0A3DA543" w:rsidR="003C2470" w:rsidRDefault="003C2470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 execution latency</w:t>
      </w:r>
    </w:p>
    <w:p w14:paraId="363CA111" w14:textId="2115DC6E" w:rsidR="00BF6399" w:rsidRDefault="00BF6399" w:rsidP="007A01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F63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B62E9E" wp14:editId="0E274841">
            <wp:extent cx="3991532" cy="724001"/>
            <wp:effectExtent l="0" t="0" r="9525" b="0"/>
            <wp:docPr id="1042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AE8C" w14:textId="4D2D4805" w:rsidR="003C2470" w:rsidRDefault="003C2470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Query throughput</w:t>
      </w:r>
    </w:p>
    <w:p w14:paraId="0CD4C1BF" w14:textId="6C562397" w:rsidR="00BF6399" w:rsidRDefault="00BF6399" w:rsidP="007A01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F63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04494" wp14:editId="0273AAD3">
            <wp:extent cx="4086795" cy="914528"/>
            <wp:effectExtent l="0" t="0" r="0" b="0"/>
            <wp:docPr id="7632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5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3066" w14:textId="1A80EA0E" w:rsidR="003C2470" w:rsidRDefault="003C2470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model throughput</w:t>
      </w:r>
    </w:p>
    <w:p w14:paraId="35BE2539" w14:textId="1E34B4F7" w:rsidR="003C2470" w:rsidRDefault="003C2470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model latency</w:t>
      </w:r>
    </w:p>
    <w:p w14:paraId="497F72D5" w14:textId="05606141" w:rsidR="003C2470" w:rsidRDefault="00BF6399" w:rsidP="007A01D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False trust acceptance rate </w:t>
      </w:r>
    </w:p>
    <w:p w14:paraId="045DD004" w14:textId="42670EE3" w:rsidR="00BF6399" w:rsidRDefault="00BF6399" w:rsidP="00BF63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639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7890F43" wp14:editId="53E560AC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4352925" cy="800100"/>
            <wp:effectExtent l="0" t="0" r="9525" b="0"/>
            <wp:wrapTopAndBottom/>
            <wp:docPr id="138882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98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1A10">
        <w:rPr>
          <w:rFonts w:ascii="Times New Roman" w:hAnsi="Times New Roman" w:cs="Times New Roman"/>
          <w:sz w:val="24"/>
          <w:szCs w:val="24"/>
        </w:rPr>
        <w:t>Reference papers:</w:t>
      </w:r>
    </w:p>
    <w:p w14:paraId="2AB52A81" w14:textId="70A7C09B" w:rsidR="00631A10" w:rsidRDefault="00631A10" w:rsidP="00631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paper</w:t>
      </w:r>
    </w:p>
    <w:p w14:paraId="7DE6CE64" w14:textId="13A48CAB" w:rsidR="00631A10" w:rsidRDefault="00631A10" w:rsidP="00631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1A10">
        <w:rPr>
          <w:rFonts w:ascii="Times New Roman" w:hAnsi="Times New Roman" w:cs="Times New Roman"/>
          <w:sz w:val="24"/>
          <w:szCs w:val="24"/>
        </w:rPr>
        <w:t>An Efficient and Forward-Secure Lattice-Based Searchable Encryption Scheme for the Big-Data Era</w:t>
      </w:r>
    </w:p>
    <w:p w14:paraId="6052BC52" w14:textId="4C411725" w:rsidR="00631A10" w:rsidRDefault="001F304E" w:rsidP="00631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304E">
        <w:rPr>
          <w:rFonts w:ascii="Times New Roman" w:hAnsi="Times New Roman" w:cs="Times New Roman"/>
          <w:sz w:val="24"/>
          <w:szCs w:val="24"/>
        </w:rPr>
        <w:t>Enabling efficient and secure health data sharing for Healthcare IoT systems</w:t>
      </w:r>
    </w:p>
    <w:p w14:paraId="4946B3B3" w14:textId="5B63CDFD" w:rsidR="001F304E" w:rsidRPr="003C2470" w:rsidRDefault="001F304E" w:rsidP="00631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304E">
        <w:rPr>
          <w:rFonts w:ascii="Times New Roman" w:hAnsi="Times New Roman" w:cs="Times New Roman"/>
          <w:sz w:val="24"/>
          <w:szCs w:val="24"/>
        </w:rPr>
        <w:t>Secure and trusted data sharing in smart healthcare using blockchain and IoT integration</w:t>
      </w:r>
    </w:p>
    <w:sectPr w:rsidR="001F304E" w:rsidRPr="003C2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A18"/>
    <w:multiLevelType w:val="hybridMultilevel"/>
    <w:tmpl w:val="79122614"/>
    <w:lvl w:ilvl="0" w:tplc="915260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F73DE7"/>
    <w:multiLevelType w:val="hybridMultilevel"/>
    <w:tmpl w:val="00EA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939E1"/>
    <w:multiLevelType w:val="hybridMultilevel"/>
    <w:tmpl w:val="F8A44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5422">
    <w:abstractNumId w:val="1"/>
  </w:num>
  <w:num w:numId="2" w16cid:durableId="670565338">
    <w:abstractNumId w:val="2"/>
  </w:num>
  <w:num w:numId="3" w16cid:durableId="137646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6D"/>
    <w:rsid w:val="001F304E"/>
    <w:rsid w:val="00242DCE"/>
    <w:rsid w:val="00246AB6"/>
    <w:rsid w:val="00285B85"/>
    <w:rsid w:val="003C2470"/>
    <w:rsid w:val="004354A7"/>
    <w:rsid w:val="004F74BF"/>
    <w:rsid w:val="00631A10"/>
    <w:rsid w:val="007A01D5"/>
    <w:rsid w:val="007E77BE"/>
    <w:rsid w:val="008D74A8"/>
    <w:rsid w:val="009413CB"/>
    <w:rsid w:val="009A3B1D"/>
    <w:rsid w:val="009D4514"/>
    <w:rsid w:val="00AE676D"/>
    <w:rsid w:val="00B2198C"/>
    <w:rsid w:val="00BF6399"/>
    <w:rsid w:val="00C76D13"/>
    <w:rsid w:val="00D3513C"/>
    <w:rsid w:val="00D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2E61"/>
  <w15:chartTrackingRefBased/>
  <w15:docId w15:val="{BC4D2B4E-7102-4D68-8708-7A91869F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Priyansi Mishra</dc:creator>
  <cp:keywords/>
  <dc:description/>
  <cp:lastModifiedBy>Priyansi Mishra</cp:lastModifiedBy>
  <cp:revision>8</cp:revision>
  <dcterms:created xsi:type="dcterms:W3CDTF">2025-12-31T09:38:00Z</dcterms:created>
  <dcterms:modified xsi:type="dcterms:W3CDTF">2026-01-01T07:14:00Z</dcterms:modified>
</cp:coreProperties>
</file>