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  PRODUCT 17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color w:val="202124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Vertical : Bottle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Brand Name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NA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Product Name: Bamboo bottle </w:t>
        <w:br w:type="textWrapping"/>
        <w:t xml:space="preserve">Product SKU id: VBA117</w:t>
        <w:br w:type="textWrapping"/>
        <w:t xml:space="preserve">No of Images: 7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Brand Color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Brown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Pack Of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1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Style Code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VBA017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Minimum Order Quantity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In Stock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:5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Package details (Length * Breadth * Height) in CM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26*7.5*7.5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Package Weight (In KG)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0.5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Product details (Length * Breadth * Height) in CM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:24.2*6.5*6.5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Product Weight (In KG)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0.360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Procurement type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Express (12 hrs)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Country Of Origin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INDIA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Manufacturing details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VASOO BAMBOO ARTS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Packer details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:Vasoo Bamboo arts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Importer details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NA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Shipping Charges (Local, Zonal &amp; National)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0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Manufacturing date of Food product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 : NA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Product Shelf Life/ Expiry Date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3Yrs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Grouping Required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 :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FSSAI / Ayush /  ISBN License Number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 : NA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Size Variants: NA</w:t>
        <w:br w:type="textWrapping"/>
        <w:t xml:space="preserve">Color Variants: NA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MRP: 1599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Selling Price: 900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Title Name / Model Name: Bamboo Bottle / Bamboo Green Tea Bottle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Fabrics: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Additional Description (Optional): Bamboo  Bottle  With Stainless Steel Inside Double Insulated Wall Which Keeps Your Drink Hot Or Cold For 4-5 Hrs With Big Stainer For Storage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Key features (Optional): Eco Friendly, Keeps Your Drink Hot Or Cold For 4-5 Hour OR More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