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Times New Roman" w:hAnsi="Times New Roman"/>
          <w:b/>
          <w:sz w:val="32"/>
        </w:rPr>
        <w:t>Project Vynix: Decoupled Human-Object Interaction Detection via 3-Stream Spatial-Visual Adaptation and Continuous Geometric Hallucination Veto</w:t>
      </w:r>
    </w:p>
    <w:p>
      <w:pPr>
        <w:spacing w:after="40"/>
        <w:jc w:val="center"/>
      </w:pPr>
      <w:r>
        <w:rPr>
          <w:rFonts w:ascii="Times New Roman" w:hAnsi="Times New Roman"/>
          <w:sz w:val="24"/>
        </w:rPr>
        <w:t>Jatin Deswal, Akarshit Garg, Ayush Sharma</w:t>
      </w:r>
    </w:p>
    <w:p>
      <w:pPr>
        <w:spacing w:after="240"/>
        <w:jc w:val="center"/>
      </w:pPr>
      <w:r>
        <w:rPr>
          <w:rFonts w:ascii="Times New Roman" w:hAnsi="Times New Roman"/>
          <w:i/>
          <w:sz w:val="20"/>
        </w:rPr>
        <w:t>Department of Computer Science and Engineering, Project Vynix Research</w:t>
      </w:r>
    </w:p>
    <w:p>
      <w:pPr>
        <w:spacing w:before="80" w:after="80"/>
        <w:jc w:val="center"/>
      </w:pPr>
      <w:r>
        <w:rPr>
          <w:rFonts w:ascii="Times New Roman" w:hAnsi="Times New Roman"/>
          <w:b/>
          <w:i/>
          <w:sz w:val="20"/>
        </w:rPr>
        <w:t>Abstract</w:t>
      </w:r>
    </w:p>
    <w:p>
      <w:pPr>
        <w:spacing w:after="80"/>
      </w:pPr>
      <w:r>
        <w:t>Human-Object Interaction (HOI) detection requires simultaneously localizing human agents, object instances, and classifying their interactive semantic predicates. Contemporary state-of-the-art (SOTA) architectures on the benchmark HICO-DET dataset rely almost exclusively on end-to-end DETR-based Transformers or massive foundation vision-language models (VLMs) that require dense backpropagation across all 38,118 training images for 40 to 140 GPU-hours. In addition to high computational demands, these approaches suffer from catastrophic gradient starvation on the 155 long-tail "Rare" interaction categories and exhibit frequent spatial hallucinations—predicting physical contact interactions when human and object entities are separated by wide spatial distances.</w:t>
        <w:br/>
        <w:br/>
        <w:t>In this paper, we introduce Project Vynix, a decoupled, compute-efficient framework comprising: (1) a real-time anchor-free YOLOv8 detector, (2) a 3-Stream multi-crop visual representation fusing human, object, and union visual features with a frozen CLIP ViT-B/16 backbone, (3) a continuous 8-dimensional normalized spatial geometry MLP, (4) a continuous Gaussian-attenuated geometric veto gate that dynamically suppresses physically ungrounded contact hypotheses, and (5) a non-parametric exemplar memory cache for rapid residual adaptation.</w:t>
        <w:br/>
        <w:br/>
        <w:t>Without observing any training images (zero-shot), Vynix attains 22.17% mAP on HICO-DET while vetoing 319,803 spatial hallucinations. When trained offline across all 38,118 training images and evaluated end-to-end on the complete official test set of 9,658 images, Vynix achieves 30.31% Full mAP, 29.71% Rare mAP, and 30.51% Non-Rare mAP, triggering 265,189 geometric vetoes and rescuing 54,532 true contact interactions missed by naive binary thresholds. Vynix trains in only 17.33 minutes on a single commodity GPU (0.29 GPU-hours), demonstrating an unprecedented Pareto frontier in computational efficiency, physical groundedness, and long-tail performance parity.</w:t>
      </w:r>
    </w:p>
    <w:p>
      <w:pPr>
        <w:spacing w:after="200"/>
      </w:pPr>
      <w:r>
        <w:rPr>
          <w:rFonts w:ascii="Times New Roman" w:hAnsi="Times New Roman"/>
          <w:b/>
          <w:i/>
          <w:sz w:val="18"/>
        </w:rPr>
        <w:t>Keywords</w:t>
      </w:r>
      <w:r>
        <w:rPr>
          <w:rFonts w:ascii="Times New Roman" w:hAnsi="Times New Roman"/>
          <w:b w:val="0"/>
          <w:i/>
          <w:sz w:val="18"/>
        </w:rPr>
        <w:t>—Human-Object Interaction, Vision-Language Models, Decoupled Architectures, Spatial Geometry, Hallucination Suppression, Long-Tail Learning, Compute Efficiency.</w:t>
      </w:r>
    </w:p>
    <w:p>
      <w:pPr>
        <w:spacing w:before="280" w:after="120"/>
        <w:jc w:val="center"/>
      </w:pPr>
      <w:r>
        <w:rPr>
          <w:rFonts w:ascii="Times New Roman" w:hAnsi="Times New Roman"/>
          <w:b/>
          <w:sz w:val="22"/>
        </w:rPr>
        <w:t>I. INTRODUCTION</w:t>
      </w:r>
    </w:p>
    <w:p>
      <w:pPr>
        <w:spacing w:before="20" w:after="40"/>
        <w:ind w:firstLine="283"/>
      </w:pPr>
      <w:r>
        <w:t>Human-Object Interaction (HOI) detection is a core computer vision task essential for embodied artificial intelligence, autonomous robotics, assistive human-computer interaction, and intelligent video surveillance [1], [2]. The task requires detecting human-object bounding box pairs and classifying the active relational verb predicates linking them, formalized as structured triplets ⟨human, predicate, object⟩.</w:t>
      </w:r>
    </w:p>
    <w:p>
      <w:pPr>
        <w:spacing w:before="20" w:after="40"/>
        <w:ind w:firstLine="283"/>
      </w:pPr>
      <w:r>
        <w:t>Despite significant empirical progress over recent years, contemporary HOI architectures continue to grapple with three fundamental bottlenecks:</w:t>
      </w:r>
    </w:p>
    <w:p>
      <w:pPr>
        <w:spacing w:before="80" w:after="40"/>
      </w:pPr>
      <w:r>
        <w:rPr>
          <w:rFonts w:ascii="Times New Roman" w:hAnsi="Times New Roman"/>
          <w:b/>
          <w:i w:val="0"/>
          <w:sz w:val="20"/>
        </w:rPr>
        <w:t xml:space="preserve">    1) Spatial Blindness and Hallucinations: </w:t>
      </w:r>
      <w:r>
        <w:rPr>
          <w:rFonts w:ascii="Times New Roman" w:hAnsi="Times New Roman"/>
          <w:b w:val="0"/>
          <w:i w:val="0"/>
          <w:sz w:val="20"/>
        </w:rPr>
        <w:t>Large pretrained Vision-Language Models (VLMs), such as CLIP [16], align global image-level tokens with textual prompts. However, they lack explicit inductive geometric priors. In cluttered multi-agent scenes, VLMs frequently hallucinate physical contact (e.g., predicting holding cup or riding bicycle) for humans who are merely co-present in the scene but separated by large spatial distances.</w:t>
      </w:r>
    </w:p>
    <w:p>
      <w:pPr>
        <w:spacing w:after="40"/>
      </w:pPr>
      <w:r>
        <w:rPr>
          <w:rFonts w:ascii="Times New Roman" w:hAnsi="Times New Roman"/>
          <w:b/>
          <w:i w:val="0"/>
          <w:sz w:val="20"/>
        </w:rPr>
        <w:t xml:space="preserve">    2) Long-Tail Gradient Starvation: </w:t>
      </w:r>
      <w:r>
        <w:rPr>
          <w:rFonts w:ascii="Times New Roman" w:hAnsi="Times New Roman"/>
          <w:b w:val="0"/>
          <w:i w:val="0"/>
          <w:sz w:val="20"/>
        </w:rPr>
        <w:t>Standard benchmarks like HICO-DET [15] exhibit an extreme long-tail distribution across 600 HOI categories. Fully supervised DETR-based detectors (e.g., QPIC [7], CDN [8]) are trained with joint cross-entropy loss, where dominant head categories (hold phone, sit on chair) dominate gradient updates, severely starving the 155 Rare classes (&lt;10 training samples). As a result, QPIC drops from 31.23% on Non-Rare classes to 21.85% on Rare classes.</w:t>
      </w:r>
    </w:p>
    <w:p>
      <w:pPr>
        <w:spacing w:after="80"/>
      </w:pPr>
      <w:r>
        <w:rPr>
          <w:rFonts w:ascii="Times New Roman" w:hAnsi="Times New Roman"/>
          <w:b/>
          <w:i w:val="0"/>
          <w:sz w:val="20"/>
        </w:rPr>
        <w:t xml:space="preserve">    3) Prohibitive Compute Hunger: </w:t>
      </w:r>
      <w:r>
        <w:rPr>
          <w:rFonts w:ascii="Times New Roman" w:hAnsi="Times New Roman"/>
          <w:b w:val="0"/>
          <w:i w:val="0"/>
          <w:sz w:val="20"/>
        </w:rPr>
        <w:t>Leading generative and transformer-based methods (e.g., DiffHOI [13], ADA-CM [14]) require full training on all 38,118 images of HICO-DET across 80–140 GPU-hours on multi-GPU server clusters, creating substantial barriers for edge deployment and fast adaptation.</w:t>
      </w:r>
    </w:p>
    <w:p>
      <w:pPr>
        <w:spacing w:before="20" w:after="40"/>
        <w:ind w:firstLine="283"/>
      </w:pPr>
      <w:r>
        <w:t>To overcome these challenges, we present Project Vynix, a decoupled framework that unites anchor-free real-time object detection with explicit continuous geometric reasoning and non-parametric exemplar caching.</w:t>
      </w:r>
    </w:p>
    <w:p>
      <w:pPr>
        <w:spacing w:before="20" w:after="40"/>
        <w:ind w:firstLine="283"/>
      </w:pPr>
      <w:r>
        <w:t>Our core architectural philosophy is that visual appearance and spatial configuration should be modeled through distinct representations and harmonized via physical constraints. Specifically, we extract a 3-Stream visual embedding (human, object, and union contexts) using a frozen CLIP ViT-B/16 backbone, coupled with an 8-dimensional normalized spatial geometry vector processed by a dedicated MLP. To eradicate spatial hallucinations while preserving edge-contact actions, we introduce a Soft Continuous Geometric Veto Gate, which dynamically dampens predicted contact predicates via a Gaussian distance attenuation function whenever physical separation exceeds normal contact bounds. Finally, we formulate a non-parametric exemplar cache that stores support features per interaction class, completely preserving rare class discriminability.</w:t>
      </w:r>
    </w:p>
    <w:p>
      <w:pPr>
        <w:spacing w:before="20" w:after="40"/>
        <w:ind w:firstLine="283"/>
      </w:pPr>
      <w:r>
        <w:t>The primary contributions of this paper are:</w:t>
      </w:r>
    </w:p>
    <w:p>
      <w:pPr>
        <w:pStyle w:val="ListBullet"/>
        <w:spacing w:before="20" w:after="20"/>
      </w:pPr>
      <w:r>
        <w:rPr>
          <w:rFonts w:ascii="Times New Roman" w:hAnsi="Times New Roman"/>
          <w:sz w:val="20"/>
        </w:rPr>
        <w:t>We design Vynix-Adapter-3S, a decoupled HOI architecture combining YOLOv8-medium, a frozen 3-Stream CLIP ViT-B/16 visual encoder, and an 8D spatial geometry MLP, enabling end-to-end inference without backbone fine-tuning.</w:t>
      </w:r>
    </w:p>
    <w:p>
      <w:pPr>
        <w:pStyle w:val="ListBullet"/>
        <w:spacing w:before="20" w:after="20"/>
      </w:pPr>
      <w:r>
        <w:rPr>
          <w:rFonts w:ascii="Times New Roman" w:hAnsi="Times New Roman"/>
          <w:sz w:val="20"/>
        </w:rPr>
        <w:t>We propose a Soft Continuous Geometric Veto Gate that suppresses 265,189 false positive spatial hallucinations on the 9,658 HICO-DET test images, while smoothly recovering 54,532 border-touching interactions that rigid binary thresholds discarded.</w:t>
      </w:r>
    </w:p>
    <w:p>
      <w:pPr>
        <w:pStyle w:val="ListBullet"/>
        <w:spacing w:before="20" w:after="20"/>
      </w:pPr>
      <w:r>
        <w:rPr>
          <w:rFonts w:ascii="Times New Roman" w:hAnsi="Times New Roman"/>
          <w:sz w:val="20"/>
        </w:rPr>
        <w:t>We establish near-perfect Rare vs. Non-Rare class parity (29.71% vs. 30.51%), effectively eliminating the long-tail gradient starvation bottleneck.</w:t>
      </w:r>
    </w:p>
    <w:p>
      <w:pPr>
        <w:pStyle w:val="ListBullet"/>
        <w:spacing w:before="20" w:after="20"/>
      </w:pPr>
      <w:r>
        <w:rPr>
          <w:rFonts w:ascii="Times New Roman" w:hAnsi="Times New Roman"/>
          <w:sz w:val="20"/>
        </w:rPr>
        <w:t>Rigorous experiments on all 9,658 test images demonstrate that Vynix achieves 30.31% Full mAP while training in only 17.33 minutes on a single commodity GPU (0.29 GPU-hours), representing a 300× to 500× reduction in training compute compared to leading DETR and diffusion models.</w:t>
      </w:r>
    </w:p>
    <w:p>
      <w:pPr>
        <w:spacing w:before="280" w:after="120"/>
        <w:jc w:val="center"/>
      </w:pPr>
      <w:r>
        <w:rPr>
          <w:rFonts w:ascii="Times New Roman" w:hAnsi="Times New Roman"/>
          <w:b/>
          <w:sz w:val="22"/>
        </w:rPr>
        <w:t>II. RELATED WORK</w:t>
      </w:r>
    </w:p>
    <w:p>
      <w:pPr>
        <w:spacing w:before="160" w:after="80"/>
      </w:pPr>
      <w:r>
        <w:rPr>
          <w:rFonts w:ascii="Times New Roman" w:hAnsi="Times New Roman"/>
          <w:b/>
          <w:i/>
          <w:sz w:val="20"/>
        </w:rPr>
        <w:t>A. Two-Stage CNN-Based HOI Detectors</w:t>
      </w:r>
    </w:p>
    <w:p>
      <w:pPr>
        <w:spacing w:before="20" w:after="40"/>
        <w:ind w:firstLine="283"/>
      </w:pPr>
      <w:r>
        <w:t>Early deep HOI detection methods employed two-stage sequential pipelines. Methods such as iCAN [1] used Faster R-CNN to generate candidate bounding boxes and extracted contextual visual cues using spatial attention maps. TIN [2] introduced an interactiveness network to filter non-interacting pairs. VSGNet [3] utilized spatial graph convolution to model inter-node visual relationships. PPDM [4] reframed interaction detection as a parallel point matching problem. While pioneering, two-stage CNNs suffered from quadratic proposal explosion and achieved moderate mAP scores between 14% and 22%.</w:t>
      </w:r>
    </w:p>
    <w:p>
      <w:pPr>
        <w:spacing w:before="160" w:after="80"/>
      </w:pPr>
      <w:r>
        <w:rPr>
          <w:rFonts w:ascii="Times New Roman" w:hAnsi="Times New Roman"/>
          <w:b/>
          <w:i/>
          <w:sz w:val="20"/>
        </w:rPr>
        <w:t>B. One-Stage Transformer and DETR-Based HOI</w:t>
      </w:r>
    </w:p>
    <w:p>
      <w:pPr>
        <w:spacing w:before="20" w:after="40"/>
        <w:ind w:firstLine="283"/>
      </w:pPr>
      <w:r>
        <w:t>The emergence of DEtection TRansformer (DETR) motivated one-stage set-prediction architectures. HOTR [5] and QPIC [7] leveraged bipartite Hungarian matching and query-based cross-attention to predict interaction triplets directly. CDN [8] disentangled interactiveness classification from verb categorization. STIP [9] incorporated spatial interaction primitives. While these architectures advanced Full mAP to the 29–32% regime, their reliance on end-to-end backpropagation across 38,118 images led to severe overfitting on Rare classes and high computational requirements (60–80 GPU-hours).</w:t>
      </w:r>
    </w:p>
    <w:p>
      <w:pPr>
        <w:spacing w:before="160" w:after="80"/>
      </w:pPr>
      <w:r>
        <w:rPr>
          <w:rFonts w:ascii="Times New Roman" w:hAnsi="Times New Roman"/>
          <w:b/>
          <w:i/>
          <w:sz w:val="20"/>
        </w:rPr>
        <w:t>C. Vision-Language Models and Decoupled Adapters</w:t>
      </w:r>
    </w:p>
    <w:p>
      <w:pPr>
        <w:spacing w:before="20" w:after="40"/>
        <w:ind w:firstLine="283"/>
      </w:pPr>
      <w:r>
        <w:t>To alleviate semantic sparsity, recent works transfer knowledge from pretrained Vision-Language Models (VLMs). GEN-VLKT [10] distilled multimodal knowledge from CLIP into visual relation queries. HOI-CLIP [11] and ViPLO [12] adapted CLIP visual features via visual prompts and line-prompt tokens. DiffHOI [13] integrated generative diffusion priors from Stable Diffusion, reaching 41.50% mAP at the expense of 120 GPU-hours. Most recently, ADA-CM [14] introduced adaptive cross-modal context modeling with a Swin-Large backbone, attaining 43.20% mAP over 140 GPU-hours. In contrast, Vynix achieves competitive performance with a 300× reduction in training compute by decoupling geometric validation from visual classification.</w:t>
      </w:r>
    </w:p>
    <w:p>
      <w:pPr>
        <w:spacing w:before="280" w:after="120"/>
        <w:jc w:val="center"/>
      </w:pPr>
      <w:r>
        <w:rPr>
          <w:rFonts w:ascii="Times New Roman" w:hAnsi="Times New Roman"/>
          <w:b/>
          <w:sz w:val="22"/>
        </w:rPr>
        <w:t>III. PROPOSED METHODOLOGY: PROJECT VYNIX</w:t>
      </w:r>
    </w:p>
    <w:p>
      <w:pPr>
        <w:spacing w:before="160" w:after="80"/>
      </w:pPr>
      <w:r>
        <w:rPr>
          <w:rFonts w:ascii="Times New Roman" w:hAnsi="Times New Roman"/>
          <w:b/>
          <w:i/>
          <w:sz w:val="20"/>
        </w:rPr>
        <w:t>A. Pipeline Overview and Problem Formulation</w:t>
      </w:r>
    </w:p>
    <w:p>
      <w:pPr>
        <w:spacing w:before="20" w:after="40"/>
        <w:ind w:firstLine="283"/>
      </w:pPr>
      <w:r>
        <w:t>Given an input RGB image I ∈ ℝ^(H×W×3), our objective is to output a set of detected interaction triplets 𝒴 = {⟨bₕ, bₒ, a⟩ₘ}, where bₕ = (x₁, y₁, x₂, y₂) ∈ ℝ⁴ denotes the human bounding box, bₒ ∈ ℝ⁴ denotes the object bounding box with object class cₒ ∈ {1, …, 80}, and a ∈ {1, …, 117} represents the verb predicate. The complete interaction class k ∈ {1, …, 600} uniquely pairs an object cₒ with a verb a.</w:t>
      </w:r>
    </w:p>
    <w:p>
      <w:pPr>
        <w:spacing w:before="160" w:after="80"/>
      </w:pPr>
      <w:r>
        <w:rPr>
          <w:rFonts w:ascii="Times New Roman" w:hAnsi="Times New Roman"/>
          <w:b/>
          <w:i/>
          <w:sz w:val="20"/>
        </w:rPr>
        <w:t>B. Entity Localization ("The Eyes")</w:t>
      </w:r>
    </w:p>
    <w:p>
      <w:pPr>
        <w:spacing w:before="20" w:after="40"/>
        <w:ind w:firstLine="283"/>
      </w:pPr>
      <w:r>
        <w:t>Candidate human and object proposals are generated using YOLOv8-medium:</w:t>
      </w:r>
    </w:p>
    <w:p>
      <w:pPr>
        <w:spacing w:before="80" w:after="80"/>
        <w:jc w:val="center"/>
      </w:pPr>
      <w:r>
        <w:rPr>
          <w:rFonts w:ascii="Cambria Math" w:hAnsi="Cambria Math"/>
          <w:i/>
          <w:sz w:val="20"/>
        </w:rPr>
        <w:t>{(bₕ, sₕ)}, {(bₒ, sₒ, cₒ)} = YOLOv8(I)</w:t>
      </w:r>
      <w:r>
        <w:rPr>
          <w:rFonts w:ascii="Times New Roman" w:hAnsi="Times New Roman"/>
          <w:b w:val="0"/>
          <w:i w:val="0"/>
          <w:sz w:val="20"/>
        </w:rPr>
        <w:t xml:space="preserve">    (1)</w:t>
      </w:r>
    </w:p>
    <w:p>
      <w:pPr>
        <w:spacing w:before="20" w:after="40"/>
        <w:ind w:firstLine="0"/>
      </w:pPr>
      <w:r>
        <w:t>where sₕ, sₒ ∈ [0, 1] represent detection confidence scores. To maintain high recall for long-tail occluded objects, detection thresholding is applied at sₕ ≥ 0.08, sₒ ≥ 0.08. All valid (bₕ, bₒ) candidate pairs form proposal set 𝒫. Pairs are prioritized by joint confidence sₕ · sₒ.</w:t>
      </w:r>
    </w:p>
    <w:p>
      <w:pPr>
        <w:spacing w:before="160" w:after="80"/>
      </w:pPr>
      <w:r>
        <w:rPr>
          <w:rFonts w:ascii="Times New Roman" w:hAnsi="Times New Roman"/>
          <w:b/>
          <w:i/>
          <w:sz w:val="20"/>
        </w:rPr>
        <w:t>C. 3-Stream Multi-Crop Visual Encoding</w:t>
      </w:r>
    </w:p>
    <w:p>
      <w:pPr>
        <w:spacing w:before="20" w:after="40"/>
        <w:ind w:firstLine="283"/>
      </w:pPr>
      <w:r>
        <w:t>For each candidate pair (bₕ, bₒ) ∈ 𝒫, we compute the minimum bounding box encompassing both entities (the union crop bᵤ = bₕ ∪ bₒ). Rather than relying solely on the union region, we feed three distinct image crops into a frozen CLIP ViT-B/16 image encoder ℰᵥ:</w:t>
      </w:r>
    </w:p>
    <w:p>
      <w:pPr>
        <w:spacing w:before="80" w:after="80"/>
        <w:jc w:val="center"/>
      </w:pPr>
      <w:r>
        <w:rPr>
          <w:rFonts w:ascii="Cambria Math" w:hAnsi="Cambria Math"/>
          <w:i/>
          <w:sz w:val="20"/>
        </w:rPr>
        <w:t>fₕ = ℰᵥ(crop(I, bₕ)),  fₒ = ℰᵥ(crop(I, bₒ)),  fᵤ = ℰᵥ(crop(I, bᵤ))</w:t>
      </w:r>
      <w:r>
        <w:rPr>
          <w:rFonts w:ascii="Times New Roman" w:hAnsi="Times New Roman"/>
          <w:b w:val="0"/>
          <w:i w:val="0"/>
          <w:sz w:val="20"/>
        </w:rPr>
        <w:t xml:space="preserve">    (2)</w:t>
      </w:r>
    </w:p>
    <w:p>
      <w:pPr>
        <w:spacing w:before="20" w:after="40"/>
        <w:ind w:firstLine="0"/>
      </w:pPr>
      <w:r>
        <w:t>where fₕ, fₒ, fᵤ ∈ ℝ⁵¹² are ℓ₂-normalized feature vectors. The 3-Stream visual representation fᵥ is constructed via linear projection and concatenation:</w:t>
      </w:r>
    </w:p>
    <w:p>
      <w:pPr>
        <w:spacing w:before="80" w:after="80"/>
        <w:jc w:val="center"/>
      </w:pPr>
      <w:r>
        <w:rPr>
          <w:rFonts w:ascii="Cambria Math" w:hAnsi="Cambria Math"/>
          <w:i/>
          <w:sz w:val="20"/>
        </w:rPr>
        <w:t>fᵥ = LayerNorm(Wₕfₕ + Wₒfₒ + Wᵤfᵤ)</w:t>
      </w:r>
      <w:r>
        <w:rPr>
          <w:rFonts w:ascii="Times New Roman" w:hAnsi="Times New Roman"/>
          <w:b w:val="0"/>
          <w:i w:val="0"/>
          <w:sz w:val="20"/>
        </w:rPr>
        <w:t xml:space="preserve">    (3)</w:t>
      </w:r>
    </w:p>
    <w:p>
      <w:pPr>
        <w:spacing w:before="20" w:after="40"/>
        <w:ind w:firstLine="0"/>
      </w:pPr>
      <w:r>
        <w:t>By employing ViT-B/16 with 14×14 = 196 spatial patch tokens (a 4× token density increase over ViT-B/32's 49 patches), subtle human hand-object contact interfaces are preserved alongside global contextual semantics.</w:t>
      </w:r>
    </w:p>
    <w:p>
      <w:pPr>
        <w:spacing w:before="160" w:after="80"/>
      </w:pPr>
      <w:r>
        <w:rPr>
          <w:rFonts w:ascii="Times New Roman" w:hAnsi="Times New Roman"/>
          <w:b/>
          <w:i/>
          <w:sz w:val="20"/>
        </w:rPr>
        <w:t>D. Continuous 8D Spatial Geometry MLP ("The Brain")</w:t>
      </w:r>
    </w:p>
    <w:p>
      <w:pPr>
        <w:spacing w:before="20" w:after="40"/>
        <w:ind w:firstLine="283"/>
      </w:pPr>
      <w:r>
        <w:t>To explicitly model the relative spatial configuration of human and object, we construct an 8-dimensional scale- and translation-invariant geometric descriptor g(bₕ, bₒ) ∈ ℝ⁸:</w:t>
      </w:r>
    </w:p>
    <w:p>
      <w:pPr>
        <w:spacing w:before="80" w:after="80"/>
        <w:jc w:val="center"/>
      </w:pPr>
      <w:r>
        <w:rPr>
          <w:rFonts w:ascii="Cambria Math" w:hAnsi="Cambria Math"/>
          <w:i/>
          <w:sz w:val="20"/>
        </w:rPr>
        <w:t>g = [(xₒᶜ − xₕᶜ)/wₕ,  (yₒᶜ − yₕᶜ)/hₕ,  wₒ/wₕ,  hₒ/hₕ,  IoU,  d_norm,  θₕₒ,  ln(Aₕ/Aₒ)]</w:t>
      </w:r>
      <w:r>
        <w:rPr>
          <w:rFonts w:ascii="Times New Roman" w:hAnsi="Times New Roman"/>
          <w:b w:val="0"/>
          <w:i w:val="0"/>
          <w:sz w:val="20"/>
        </w:rPr>
        <w:t xml:space="preserve">    (4)</w:t>
      </w:r>
    </w:p>
    <w:p>
      <w:pPr>
        <w:spacing w:before="20" w:after="40"/>
        <w:ind w:firstLine="0"/>
      </w:pPr>
      <w:r>
        <w:t>where (xᶜ, yᶜ) are box centroids, d_norm is normalized Euclidean centroid distance, θₕₒ is relative polar angle, and ln(Aₕ/Aₒ) captures logarithmic area ratio. The descriptor g is projected through a 2-layer MLP with GELU activations: f_geom = MLPg(g) ∈ ℝ²⁵⁶.</w:t>
      </w:r>
    </w:p>
    <w:p>
      <w:pPr>
        <w:spacing w:before="160" w:after="80"/>
      </w:pPr>
      <w:r>
        <w:rPr>
          <w:rFonts w:ascii="Times New Roman" w:hAnsi="Times New Roman"/>
          <w:b/>
          <w:i/>
          <w:sz w:val="20"/>
        </w:rPr>
        <w:t>E. Soft Continuous Geometric Veto Gate ("The Arbiter")</w:t>
      </w:r>
    </w:p>
    <w:p>
      <w:pPr>
        <w:spacing w:before="20" w:after="40"/>
        <w:ind w:firstLine="283"/>
      </w:pPr>
      <w:r>
        <w:t>Standard VLMs lack geometric verification: if a person and an airplane appear in the same frame, CLIP assigns high semantic affinity to board airplane even when separated by hundreds of meters.</w:t>
      </w:r>
    </w:p>
    <w:p>
      <w:pPr>
        <w:spacing w:before="20" w:after="40"/>
        <w:ind w:firstLine="283"/>
      </w:pPr>
      <w:r>
        <w:t>Let 𝒱_contact denote physical contact predicates (e.g., hold, ride, sit on, eat, carry) requiring spatial adjacency. In contrast to naive binary thresholds (IoU &gt; 0) that trigger a catastrophic cliff at box boundaries, we formulate the Soft Continuous Geometric Veto Gate:</w:t>
      </w:r>
    </w:p>
    <w:p>
      <w:pPr>
        <w:spacing w:before="80" w:after="80"/>
        <w:jc w:val="center"/>
      </w:pPr>
      <w:r>
        <w:rPr>
          <w:rFonts w:ascii="Cambria Math" w:hAnsi="Cambria Math"/>
          <w:i/>
          <w:sz w:val="20"/>
        </w:rPr>
        <w:t>g(v, IoU, d_box) = { 1.0,  if v ∉ 𝒱_contact ∨ IoU &gt; 0 ;  exp(−d²_box / 2σ²),  if v ∈ 𝒱_contact ∧ IoU = 0 }</w:t>
      </w:r>
      <w:r>
        <w:rPr>
          <w:rFonts w:ascii="Times New Roman" w:hAnsi="Times New Roman"/>
          <w:b w:val="0"/>
          <w:i w:val="0"/>
          <w:sz w:val="20"/>
        </w:rPr>
        <w:t xml:space="preserve">    (5)</w:t>
      </w:r>
    </w:p>
    <w:p>
      <w:pPr>
        <w:spacing w:before="20" w:after="40"/>
        <w:ind w:firstLine="0"/>
      </w:pPr>
      <w:r>
        <w:t>where d_box denotes the normalized Euclidean distance between the nearest edges of bₕ and bₒ, and σ = 0.08. Adjacent contact pairs (d_box ≈ 0.01) retain a multiplier of 0.98, while distant false alarms (d_box &gt; 0.25) asymptotically decay to zero. Across the test set, this formulation vetoed 265,189 invalid hypotheses while rescuing 54,532 genuine interactions.</w:t>
      </w:r>
    </w:p>
    <w:p>
      <w:pPr>
        <w:spacing w:before="160" w:after="80"/>
      </w:pPr>
      <w:r>
        <w:rPr>
          <w:rFonts w:ascii="Times New Roman" w:hAnsi="Times New Roman"/>
          <w:b/>
          <w:i/>
          <w:sz w:val="20"/>
        </w:rPr>
        <w:t>F. Non-Parametric Memory Cache &amp; Residual Blending</w:t>
      </w:r>
    </w:p>
    <w:p>
      <w:pPr>
        <w:spacing w:before="20" w:after="40"/>
        <w:ind w:firstLine="283"/>
      </w:pPr>
      <w:r>
        <w:t>To retain fine-grained prototype representations without extensive backpropagation, we construct a non-parametric exemplar memory cache. Key features kₑ = [fᵥ; f_geom] ∈ ℝ⁷⁶⁸ and labels vₑ ∈ {0, 1}⁶⁰⁰ form support matrices K_cache and V_cache.</w:t>
      </w:r>
    </w:p>
    <w:p>
      <w:pPr>
        <w:spacing w:before="20" w:after="40"/>
        <w:ind w:firstLine="283"/>
      </w:pPr>
      <w:r>
        <w:t>For query feature q, affinities are evaluated with temperature scale β:</w:t>
      </w:r>
    </w:p>
    <w:p>
      <w:pPr>
        <w:spacing w:before="80" w:after="80"/>
        <w:jc w:val="center"/>
      </w:pPr>
      <w:r>
        <w:rPr>
          <w:rFonts w:ascii="Cambria Math" w:hAnsi="Cambria Math"/>
          <w:i/>
          <w:sz w:val="20"/>
        </w:rPr>
        <w:t>A = exp(−β · (1 − q · K_cacheᵀ))</w:t>
      </w:r>
      <w:r>
        <w:rPr>
          <w:rFonts w:ascii="Times New Roman" w:hAnsi="Times New Roman"/>
          <w:b w:val="0"/>
          <w:i w:val="0"/>
          <w:sz w:val="20"/>
        </w:rPr>
        <w:t xml:space="preserve">    (6)</w:t>
      </w:r>
    </w:p>
    <w:p>
      <w:pPr>
        <w:spacing w:before="20" w:after="40"/>
        <w:ind w:firstLine="0"/>
      </w:pPr>
      <w:r>
        <w:t>The cache prediction is S_cache = A · V_cache. The final HOI triplet confidence is formulated as a residual blend:</w:t>
      </w:r>
    </w:p>
    <w:p>
      <w:pPr>
        <w:spacing w:before="80" w:after="80"/>
        <w:jc w:val="center"/>
      </w:pPr>
      <w:r>
        <w:rPr>
          <w:rFonts w:ascii="Cambria Math" w:hAnsi="Cambria Math"/>
          <w:i/>
          <w:sz w:val="20"/>
        </w:rPr>
        <w:t>S_HOI(bₕ, bₒ, k) = sₕ · sₒ · g(v, IoU, d_box) · [(1 − α)S_vlm(k) + αS_cache(k)]</w:t>
      </w:r>
      <w:r>
        <w:rPr>
          <w:rFonts w:ascii="Times New Roman" w:hAnsi="Times New Roman"/>
          <w:b w:val="0"/>
          <w:i w:val="0"/>
          <w:sz w:val="20"/>
        </w:rPr>
        <w:t xml:space="preserve">    (7)</w:t>
      </w:r>
    </w:p>
    <w:p>
      <w:pPr>
        <w:spacing w:before="20" w:after="40"/>
        <w:ind w:firstLine="0"/>
      </w:pPr>
      <w:r>
        <w:t>where α = 0.35 and β = 5.5. Because K_cache is non-parametric, rare class prototypes remain strictly preserved without gradient degradation from head classes.</w:t>
      </w:r>
    </w:p>
    <w:p>
      <w:pPr>
        <w:spacing w:before="280" w:after="120"/>
        <w:jc w:val="center"/>
      </w:pPr>
      <w:r>
        <w:rPr>
          <w:rFonts w:ascii="Times New Roman" w:hAnsi="Times New Roman"/>
          <w:b/>
          <w:sz w:val="22"/>
        </w:rPr>
        <w:t>IV. EXPERIMENTAL EVALUATION</w:t>
      </w:r>
    </w:p>
    <w:p>
      <w:pPr>
        <w:spacing w:before="200" w:after="80"/>
        <w:jc w:val="center"/>
      </w:pPr>
      <w:r>
        <w:rPr>
          <w:rFonts w:ascii="Times New Roman" w:hAnsi="Times New Roman"/>
          <w:smallCaps/>
          <w:sz w:val="18"/>
        </w:rPr>
        <w:t>TABLE I: STATE-OF-THE-ART COMPARATIVE EVALUATION ON HICO-DET (DEFAULT SETTING)</w:t>
      </w:r>
    </w:p>
    <w:tbl>
      <w:tblPr>
        <w:tblStyle w:val="TableGrid"/>
        <w:tblW w:type="auto" w:w="0"/>
        <w:jc w:val="center"/>
        <w:tblLook w:firstColumn="1" w:firstRow="1" w:lastColumn="0" w:lastRow="0" w:noHBand="0" w:noVBand="1" w:val="04A0"/>
      </w:tblPr>
      <w:tblGrid>
        <w:gridCol w:w="1259"/>
        <w:gridCol w:w="1259"/>
        <w:gridCol w:w="1259"/>
        <w:gridCol w:w="1259"/>
        <w:gridCol w:w="1259"/>
        <w:gridCol w:w="1259"/>
        <w:gridCol w:w="1259"/>
        <w:gridCol w:w="1259"/>
      </w:tblGrid>
      <w:tr>
        <w:tc>
          <w:tcPr>
            <w:tcW w:type="dxa" w:w="1259"/>
            <w:shd w:fill="D9E2F3"/>
          </w:tcPr>
          <w:p>
            <w:pPr>
              <w:jc w:val="center"/>
            </w:pPr>
            <w:r/>
            <w:r>
              <w:rPr>
                <w:rFonts w:ascii="Times New Roman" w:hAnsi="Times New Roman"/>
                <w:b/>
                <w:sz w:val="16"/>
              </w:rPr>
              <w:t>Method</w:t>
            </w:r>
          </w:p>
        </w:tc>
        <w:tc>
          <w:tcPr>
            <w:tcW w:type="dxa" w:w="1259"/>
            <w:shd w:fill="D9E2F3"/>
          </w:tcPr>
          <w:p>
            <w:pPr>
              <w:jc w:val="center"/>
            </w:pPr>
            <w:r/>
            <w:r>
              <w:rPr>
                <w:rFonts w:ascii="Times New Roman" w:hAnsi="Times New Roman"/>
                <w:b/>
                <w:sz w:val="16"/>
              </w:rPr>
              <w:t>Venue</w:t>
            </w:r>
          </w:p>
        </w:tc>
        <w:tc>
          <w:tcPr>
            <w:tcW w:type="dxa" w:w="1259"/>
            <w:shd w:fill="D9E2F3"/>
          </w:tcPr>
          <w:p>
            <w:pPr>
              <w:jc w:val="center"/>
            </w:pPr>
            <w:r/>
            <w:r>
              <w:rPr>
                <w:rFonts w:ascii="Times New Roman" w:hAnsi="Times New Roman"/>
                <w:b/>
                <w:sz w:val="16"/>
              </w:rPr>
              <w:t>Backbone</w:t>
            </w:r>
          </w:p>
        </w:tc>
        <w:tc>
          <w:tcPr>
            <w:tcW w:type="dxa" w:w="1259"/>
            <w:shd w:fill="D9E2F3"/>
          </w:tcPr>
          <w:p>
            <w:pPr>
              <w:jc w:val="center"/>
            </w:pPr>
            <w:r/>
            <w:r>
              <w:rPr>
                <w:rFonts w:ascii="Times New Roman" w:hAnsi="Times New Roman"/>
                <w:b/>
                <w:sz w:val="16"/>
              </w:rPr>
              <w:t>Train Imgs</w:t>
            </w:r>
          </w:p>
        </w:tc>
        <w:tc>
          <w:tcPr>
            <w:tcW w:type="dxa" w:w="1259"/>
            <w:shd w:fill="D9E2F3"/>
          </w:tcPr>
          <w:p>
            <w:pPr>
              <w:jc w:val="center"/>
            </w:pPr>
            <w:r/>
            <w:r>
              <w:rPr>
                <w:rFonts w:ascii="Times New Roman" w:hAnsi="Times New Roman"/>
                <w:b/>
                <w:sz w:val="16"/>
              </w:rPr>
              <w:t>GPU Hrs</w:t>
            </w:r>
          </w:p>
        </w:tc>
        <w:tc>
          <w:tcPr>
            <w:tcW w:type="dxa" w:w="1259"/>
            <w:shd w:fill="D9E2F3"/>
          </w:tcPr>
          <w:p>
            <w:pPr>
              <w:jc w:val="center"/>
            </w:pPr>
            <w:r/>
            <w:r>
              <w:rPr>
                <w:rFonts w:ascii="Times New Roman" w:hAnsi="Times New Roman"/>
                <w:b/>
                <w:sz w:val="16"/>
              </w:rPr>
              <w:t>Full mAP</w:t>
            </w:r>
          </w:p>
        </w:tc>
        <w:tc>
          <w:tcPr>
            <w:tcW w:type="dxa" w:w="1259"/>
            <w:shd w:fill="D9E2F3"/>
          </w:tcPr>
          <w:p>
            <w:pPr>
              <w:jc w:val="center"/>
            </w:pPr>
            <w:r/>
            <w:r>
              <w:rPr>
                <w:rFonts w:ascii="Times New Roman" w:hAnsi="Times New Roman"/>
                <w:b/>
                <w:sz w:val="16"/>
              </w:rPr>
              <w:t>Rare mAP</w:t>
            </w:r>
          </w:p>
        </w:tc>
        <w:tc>
          <w:tcPr>
            <w:tcW w:type="dxa" w:w="1259"/>
            <w:shd w:fill="D9E2F3"/>
          </w:tcPr>
          <w:p>
            <w:pPr>
              <w:jc w:val="center"/>
            </w:pPr>
            <w:r/>
            <w:r>
              <w:rPr>
                <w:rFonts w:ascii="Times New Roman" w:hAnsi="Times New Roman"/>
                <w:b/>
                <w:sz w:val="16"/>
              </w:rPr>
              <w:t>Non-Rare</w:t>
            </w:r>
          </w:p>
        </w:tc>
      </w:tr>
      <w:tr>
        <w:tc>
          <w:tcPr>
            <w:tcW w:type="dxa" w:w="1259"/>
          </w:tcPr>
          <w:p>
            <w:pPr>
              <w:jc w:val="left"/>
            </w:pPr>
            <w:r/>
            <w:r>
              <w:rPr>
                <w:rFonts w:ascii="Times New Roman" w:hAnsi="Times New Roman"/>
                <w:b w:val="0"/>
                <w:sz w:val="15"/>
              </w:rPr>
              <w:t>iCAN [1]</w:t>
            </w:r>
          </w:p>
        </w:tc>
        <w:tc>
          <w:tcPr>
            <w:tcW w:type="dxa" w:w="1259"/>
          </w:tcPr>
          <w:p>
            <w:pPr>
              <w:jc w:val="center"/>
            </w:pPr>
            <w:r/>
            <w:r>
              <w:rPr>
                <w:rFonts w:ascii="Times New Roman" w:hAnsi="Times New Roman"/>
                <w:b w:val="0"/>
                <w:sz w:val="15"/>
              </w:rPr>
              <w:t>BMVC '18</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~40.0h</w:t>
            </w:r>
          </w:p>
        </w:tc>
        <w:tc>
          <w:tcPr>
            <w:tcW w:type="dxa" w:w="1259"/>
          </w:tcPr>
          <w:p>
            <w:pPr>
              <w:jc w:val="center"/>
            </w:pPr>
            <w:r/>
            <w:r>
              <w:rPr>
                <w:rFonts w:ascii="Times New Roman" w:hAnsi="Times New Roman"/>
                <w:b w:val="0"/>
                <w:sz w:val="15"/>
              </w:rPr>
              <w:t>14.84%</w:t>
            </w:r>
          </w:p>
        </w:tc>
        <w:tc>
          <w:tcPr>
            <w:tcW w:type="dxa" w:w="1259"/>
          </w:tcPr>
          <w:p>
            <w:pPr>
              <w:jc w:val="center"/>
            </w:pPr>
            <w:r/>
            <w:r>
              <w:rPr>
                <w:rFonts w:ascii="Times New Roman" w:hAnsi="Times New Roman"/>
                <w:b w:val="0"/>
                <w:sz w:val="15"/>
              </w:rPr>
              <w:t>10.45%</w:t>
            </w:r>
          </w:p>
        </w:tc>
        <w:tc>
          <w:tcPr>
            <w:tcW w:type="dxa" w:w="1259"/>
          </w:tcPr>
          <w:p>
            <w:pPr>
              <w:jc w:val="center"/>
            </w:pPr>
            <w:r/>
            <w:r>
              <w:rPr>
                <w:rFonts w:ascii="Times New Roman" w:hAnsi="Times New Roman"/>
                <w:b w:val="0"/>
                <w:sz w:val="15"/>
              </w:rPr>
              <w:t>16.15%</w:t>
            </w:r>
          </w:p>
        </w:tc>
      </w:tr>
      <w:tr>
        <w:tc>
          <w:tcPr>
            <w:tcW w:type="dxa" w:w="1259"/>
          </w:tcPr>
          <w:p>
            <w:pPr>
              <w:jc w:val="left"/>
            </w:pPr>
            <w:r/>
            <w:r>
              <w:rPr>
                <w:rFonts w:ascii="Times New Roman" w:hAnsi="Times New Roman"/>
                <w:b w:val="0"/>
                <w:sz w:val="15"/>
              </w:rPr>
              <w:t>TIN [2]</w:t>
            </w:r>
          </w:p>
        </w:tc>
        <w:tc>
          <w:tcPr>
            <w:tcW w:type="dxa" w:w="1259"/>
          </w:tcPr>
          <w:p>
            <w:pPr>
              <w:jc w:val="center"/>
            </w:pPr>
            <w:r/>
            <w:r>
              <w:rPr>
                <w:rFonts w:ascii="Times New Roman" w:hAnsi="Times New Roman"/>
                <w:b w:val="0"/>
                <w:sz w:val="15"/>
              </w:rPr>
              <w:t>CVPR '19</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~45.0h</w:t>
            </w:r>
          </w:p>
        </w:tc>
        <w:tc>
          <w:tcPr>
            <w:tcW w:type="dxa" w:w="1259"/>
          </w:tcPr>
          <w:p>
            <w:pPr>
              <w:jc w:val="center"/>
            </w:pPr>
            <w:r/>
            <w:r>
              <w:rPr>
                <w:rFonts w:ascii="Times New Roman" w:hAnsi="Times New Roman"/>
                <w:b w:val="0"/>
                <w:sz w:val="15"/>
              </w:rPr>
              <w:t>17.03%</w:t>
            </w:r>
          </w:p>
        </w:tc>
        <w:tc>
          <w:tcPr>
            <w:tcW w:type="dxa" w:w="1259"/>
          </w:tcPr>
          <w:p>
            <w:pPr>
              <w:jc w:val="center"/>
            </w:pPr>
            <w:r/>
            <w:r>
              <w:rPr>
                <w:rFonts w:ascii="Times New Roman" w:hAnsi="Times New Roman"/>
                <w:b w:val="0"/>
                <w:sz w:val="15"/>
              </w:rPr>
              <w:t>13.42%</w:t>
            </w:r>
          </w:p>
        </w:tc>
        <w:tc>
          <w:tcPr>
            <w:tcW w:type="dxa" w:w="1259"/>
          </w:tcPr>
          <w:p>
            <w:pPr>
              <w:jc w:val="center"/>
            </w:pPr>
            <w:r/>
            <w:r>
              <w:rPr>
                <w:rFonts w:ascii="Times New Roman" w:hAnsi="Times New Roman"/>
                <w:b w:val="0"/>
                <w:sz w:val="15"/>
              </w:rPr>
              <w:t>18.11%</w:t>
            </w:r>
          </w:p>
        </w:tc>
      </w:tr>
      <w:tr>
        <w:tc>
          <w:tcPr>
            <w:tcW w:type="dxa" w:w="1259"/>
          </w:tcPr>
          <w:p>
            <w:pPr>
              <w:jc w:val="left"/>
            </w:pPr>
            <w:r/>
            <w:r>
              <w:rPr>
                <w:rFonts w:ascii="Times New Roman" w:hAnsi="Times New Roman"/>
                <w:b w:val="0"/>
                <w:sz w:val="15"/>
              </w:rPr>
              <w:t>VSGNet [3]</w:t>
            </w:r>
          </w:p>
        </w:tc>
        <w:tc>
          <w:tcPr>
            <w:tcW w:type="dxa" w:w="1259"/>
          </w:tcPr>
          <w:p>
            <w:pPr>
              <w:jc w:val="center"/>
            </w:pPr>
            <w:r/>
            <w:r>
              <w:rPr>
                <w:rFonts w:ascii="Times New Roman" w:hAnsi="Times New Roman"/>
                <w:b w:val="0"/>
                <w:sz w:val="15"/>
              </w:rPr>
              <w:t>CVPR '20</w:t>
            </w:r>
          </w:p>
        </w:tc>
        <w:tc>
          <w:tcPr>
            <w:tcW w:type="dxa" w:w="1259"/>
          </w:tcPr>
          <w:p>
            <w:pPr>
              <w:jc w:val="center"/>
            </w:pPr>
            <w:r/>
            <w:r>
              <w:rPr>
                <w:rFonts w:ascii="Times New Roman" w:hAnsi="Times New Roman"/>
                <w:b w:val="0"/>
                <w:sz w:val="15"/>
              </w:rPr>
              <w:t>ResNet-152</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~55.0h</w:t>
            </w:r>
          </w:p>
        </w:tc>
        <w:tc>
          <w:tcPr>
            <w:tcW w:type="dxa" w:w="1259"/>
          </w:tcPr>
          <w:p>
            <w:pPr>
              <w:jc w:val="center"/>
            </w:pPr>
            <w:r/>
            <w:r>
              <w:rPr>
                <w:rFonts w:ascii="Times New Roman" w:hAnsi="Times New Roman"/>
                <w:b w:val="0"/>
                <w:sz w:val="15"/>
              </w:rPr>
              <w:t>19.80%</w:t>
            </w:r>
          </w:p>
        </w:tc>
        <w:tc>
          <w:tcPr>
            <w:tcW w:type="dxa" w:w="1259"/>
          </w:tcPr>
          <w:p>
            <w:pPr>
              <w:jc w:val="center"/>
            </w:pPr>
            <w:r/>
            <w:r>
              <w:rPr>
                <w:rFonts w:ascii="Times New Roman" w:hAnsi="Times New Roman"/>
                <w:b w:val="0"/>
                <w:sz w:val="15"/>
              </w:rPr>
              <w:t>16.05%</w:t>
            </w:r>
          </w:p>
        </w:tc>
        <w:tc>
          <w:tcPr>
            <w:tcW w:type="dxa" w:w="1259"/>
          </w:tcPr>
          <w:p>
            <w:pPr>
              <w:jc w:val="center"/>
            </w:pPr>
            <w:r/>
            <w:r>
              <w:rPr>
                <w:rFonts w:ascii="Times New Roman" w:hAnsi="Times New Roman"/>
                <w:b w:val="0"/>
                <w:sz w:val="15"/>
              </w:rPr>
              <w:t>20.91%</w:t>
            </w:r>
          </w:p>
        </w:tc>
      </w:tr>
      <w:tr>
        <w:tc>
          <w:tcPr>
            <w:tcW w:type="dxa" w:w="1259"/>
          </w:tcPr>
          <w:p>
            <w:pPr>
              <w:jc w:val="left"/>
            </w:pPr>
            <w:r/>
            <w:r>
              <w:rPr>
                <w:rFonts w:ascii="Times New Roman" w:hAnsi="Times New Roman"/>
                <w:b w:val="0"/>
                <w:sz w:val="15"/>
              </w:rPr>
              <w:t>PPDM [4]</w:t>
            </w:r>
          </w:p>
        </w:tc>
        <w:tc>
          <w:tcPr>
            <w:tcW w:type="dxa" w:w="1259"/>
          </w:tcPr>
          <w:p>
            <w:pPr>
              <w:jc w:val="center"/>
            </w:pPr>
            <w:r/>
            <w:r>
              <w:rPr>
                <w:rFonts w:ascii="Times New Roman" w:hAnsi="Times New Roman"/>
                <w:b w:val="0"/>
                <w:sz w:val="15"/>
              </w:rPr>
              <w:t>CVPR '20</w:t>
            </w:r>
          </w:p>
        </w:tc>
        <w:tc>
          <w:tcPr>
            <w:tcW w:type="dxa" w:w="1259"/>
          </w:tcPr>
          <w:p>
            <w:pPr>
              <w:jc w:val="center"/>
            </w:pPr>
            <w:r/>
            <w:r>
              <w:rPr>
                <w:rFonts w:ascii="Times New Roman" w:hAnsi="Times New Roman"/>
                <w:b w:val="0"/>
                <w:sz w:val="15"/>
              </w:rPr>
              <w:t>Hourglass-104</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~60.0h</w:t>
            </w:r>
          </w:p>
        </w:tc>
        <w:tc>
          <w:tcPr>
            <w:tcW w:type="dxa" w:w="1259"/>
          </w:tcPr>
          <w:p>
            <w:pPr>
              <w:jc w:val="center"/>
            </w:pPr>
            <w:r/>
            <w:r>
              <w:rPr>
                <w:rFonts w:ascii="Times New Roman" w:hAnsi="Times New Roman"/>
                <w:b w:val="0"/>
                <w:sz w:val="15"/>
              </w:rPr>
              <w:t>21.73%</w:t>
            </w:r>
          </w:p>
        </w:tc>
        <w:tc>
          <w:tcPr>
            <w:tcW w:type="dxa" w:w="1259"/>
          </w:tcPr>
          <w:p>
            <w:pPr>
              <w:jc w:val="center"/>
            </w:pPr>
            <w:r/>
            <w:r>
              <w:rPr>
                <w:rFonts w:ascii="Times New Roman" w:hAnsi="Times New Roman"/>
                <w:b w:val="0"/>
                <w:sz w:val="15"/>
              </w:rPr>
              <w:t>13.78%</w:t>
            </w:r>
          </w:p>
        </w:tc>
        <w:tc>
          <w:tcPr>
            <w:tcW w:type="dxa" w:w="1259"/>
          </w:tcPr>
          <w:p>
            <w:pPr>
              <w:jc w:val="center"/>
            </w:pPr>
            <w:r/>
            <w:r>
              <w:rPr>
                <w:rFonts w:ascii="Times New Roman" w:hAnsi="Times New Roman"/>
                <w:b w:val="0"/>
                <w:sz w:val="15"/>
              </w:rPr>
              <w:t>24.10%</w:t>
            </w:r>
          </w:p>
        </w:tc>
      </w:tr>
      <w:tr>
        <w:tc>
          <w:tcPr>
            <w:tcW w:type="dxa" w:w="1259"/>
          </w:tcPr>
          <w:p>
            <w:pPr>
              <w:jc w:val="left"/>
            </w:pPr>
            <w:r/>
            <w:r>
              <w:rPr>
                <w:rFonts w:ascii="Times New Roman" w:hAnsi="Times New Roman"/>
                <w:b w:val="0"/>
                <w:sz w:val="15"/>
              </w:rPr>
              <w:t>HOTR [5]</w:t>
            </w:r>
          </w:p>
        </w:tc>
        <w:tc>
          <w:tcPr>
            <w:tcW w:type="dxa" w:w="1259"/>
          </w:tcPr>
          <w:p>
            <w:pPr>
              <w:jc w:val="center"/>
            </w:pPr>
            <w:r/>
            <w:r>
              <w:rPr>
                <w:rFonts w:ascii="Times New Roman" w:hAnsi="Times New Roman"/>
                <w:b w:val="0"/>
                <w:sz w:val="15"/>
              </w:rPr>
              <w:t>CVPR '21</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~50.0h</w:t>
            </w:r>
          </w:p>
        </w:tc>
        <w:tc>
          <w:tcPr>
            <w:tcW w:type="dxa" w:w="1259"/>
          </w:tcPr>
          <w:p>
            <w:pPr>
              <w:jc w:val="center"/>
            </w:pPr>
            <w:r/>
            <w:r>
              <w:rPr>
                <w:rFonts w:ascii="Times New Roman" w:hAnsi="Times New Roman"/>
                <w:b w:val="0"/>
                <w:sz w:val="15"/>
              </w:rPr>
              <w:t>23.63%</w:t>
            </w:r>
          </w:p>
        </w:tc>
        <w:tc>
          <w:tcPr>
            <w:tcW w:type="dxa" w:w="1259"/>
          </w:tcPr>
          <w:p>
            <w:pPr>
              <w:jc w:val="center"/>
            </w:pPr>
            <w:r/>
            <w:r>
              <w:rPr>
                <w:rFonts w:ascii="Times New Roman" w:hAnsi="Times New Roman"/>
                <w:b w:val="0"/>
                <w:sz w:val="15"/>
              </w:rPr>
              <w:t>17.21%</w:t>
            </w:r>
          </w:p>
        </w:tc>
        <w:tc>
          <w:tcPr>
            <w:tcW w:type="dxa" w:w="1259"/>
          </w:tcPr>
          <w:p>
            <w:pPr>
              <w:jc w:val="center"/>
            </w:pPr>
            <w:r/>
            <w:r>
              <w:rPr>
                <w:rFonts w:ascii="Times New Roman" w:hAnsi="Times New Roman"/>
                <w:b w:val="0"/>
                <w:sz w:val="15"/>
              </w:rPr>
              <w:t>25.55%</w:t>
            </w:r>
          </w:p>
        </w:tc>
      </w:tr>
      <w:tr>
        <w:tc>
          <w:tcPr>
            <w:tcW w:type="dxa" w:w="1259"/>
          </w:tcPr>
          <w:p>
            <w:pPr>
              <w:jc w:val="left"/>
            </w:pPr>
            <w:r/>
            <w:r>
              <w:rPr>
                <w:rFonts w:ascii="Times New Roman" w:hAnsi="Times New Roman"/>
                <w:b w:val="0"/>
                <w:sz w:val="15"/>
              </w:rPr>
              <w:t>QPIC [7]</w:t>
            </w:r>
          </w:p>
        </w:tc>
        <w:tc>
          <w:tcPr>
            <w:tcW w:type="dxa" w:w="1259"/>
          </w:tcPr>
          <w:p>
            <w:pPr>
              <w:jc w:val="center"/>
            </w:pPr>
            <w:r/>
            <w:r>
              <w:rPr>
                <w:rFonts w:ascii="Times New Roman" w:hAnsi="Times New Roman"/>
                <w:b w:val="0"/>
                <w:sz w:val="15"/>
              </w:rPr>
              <w:t>CVPR '21</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~72.0h</w:t>
            </w:r>
          </w:p>
        </w:tc>
        <w:tc>
          <w:tcPr>
            <w:tcW w:type="dxa" w:w="1259"/>
          </w:tcPr>
          <w:p>
            <w:pPr>
              <w:jc w:val="center"/>
            </w:pPr>
            <w:r/>
            <w:r>
              <w:rPr>
                <w:rFonts w:ascii="Times New Roman" w:hAnsi="Times New Roman"/>
                <w:b w:val="0"/>
                <w:sz w:val="15"/>
              </w:rPr>
              <w:t>29.07%</w:t>
            </w:r>
          </w:p>
        </w:tc>
        <w:tc>
          <w:tcPr>
            <w:tcW w:type="dxa" w:w="1259"/>
          </w:tcPr>
          <w:p>
            <w:pPr>
              <w:jc w:val="center"/>
            </w:pPr>
            <w:r/>
            <w:r>
              <w:rPr>
                <w:rFonts w:ascii="Times New Roman" w:hAnsi="Times New Roman"/>
                <w:b w:val="0"/>
                <w:sz w:val="15"/>
              </w:rPr>
              <w:t>21.85%</w:t>
            </w:r>
          </w:p>
        </w:tc>
        <w:tc>
          <w:tcPr>
            <w:tcW w:type="dxa" w:w="1259"/>
          </w:tcPr>
          <w:p>
            <w:pPr>
              <w:jc w:val="center"/>
            </w:pPr>
            <w:r/>
            <w:r>
              <w:rPr>
                <w:rFonts w:ascii="Times New Roman" w:hAnsi="Times New Roman"/>
                <w:b w:val="0"/>
                <w:sz w:val="15"/>
              </w:rPr>
              <w:t>31.23%</w:t>
            </w:r>
          </w:p>
        </w:tc>
      </w:tr>
      <w:tr>
        <w:tc>
          <w:tcPr>
            <w:tcW w:type="dxa" w:w="1259"/>
          </w:tcPr>
          <w:p>
            <w:pPr>
              <w:jc w:val="left"/>
            </w:pPr>
            <w:r/>
            <w:r>
              <w:rPr>
                <w:rFonts w:ascii="Times New Roman" w:hAnsi="Times New Roman"/>
                <w:b w:val="0"/>
                <w:sz w:val="15"/>
              </w:rPr>
              <w:t>CDN [8]</w:t>
            </w:r>
          </w:p>
        </w:tc>
        <w:tc>
          <w:tcPr>
            <w:tcW w:type="dxa" w:w="1259"/>
          </w:tcPr>
          <w:p>
            <w:pPr>
              <w:jc w:val="center"/>
            </w:pPr>
            <w:r/>
            <w:r>
              <w:rPr>
                <w:rFonts w:ascii="Times New Roman" w:hAnsi="Times New Roman"/>
                <w:b w:val="0"/>
                <w:sz w:val="15"/>
              </w:rPr>
              <w:t>NeurIPS '21</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~75.0h</w:t>
            </w:r>
          </w:p>
        </w:tc>
        <w:tc>
          <w:tcPr>
            <w:tcW w:type="dxa" w:w="1259"/>
          </w:tcPr>
          <w:p>
            <w:pPr>
              <w:jc w:val="center"/>
            </w:pPr>
            <w:r/>
            <w:r>
              <w:rPr>
                <w:rFonts w:ascii="Times New Roman" w:hAnsi="Times New Roman"/>
                <w:b w:val="0"/>
                <w:sz w:val="15"/>
              </w:rPr>
              <w:t>31.78%</w:t>
            </w:r>
          </w:p>
        </w:tc>
        <w:tc>
          <w:tcPr>
            <w:tcW w:type="dxa" w:w="1259"/>
          </w:tcPr>
          <w:p>
            <w:pPr>
              <w:jc w:val="center"/>
            </w:pPr>
            <w:r/>
            <w:r>
              <w:rPr>
                <w:rFonts w:ascii="Times New Roman" w:hAnsi="Times New Roman"/>
                <w:b w:val="0"/>
                <w:sz w:val="15"/>
              </w:rPr>
              <w:t>27.55%</w:t>
            </w:r>
          </w:p>
        </w:tc>
        <w:tc>
          <w:tcPr>
            <w:tcW w:type="dxa" w:w="1259"/>
          </w:tcPr>
          <w:p>
            <w:pPr>
              <w:jc w:val="center"/>
            </w:pPr>
            <w:r/>
            <w:r>
              <w:rPr>
                <w:rFonts w:ascii="Times New Roman" w:hAnsi="Times New Roman"/>
                <w:b w:val="0"/>
                <w:sz w:val="15"/>
              </w:rPr>
              <w:t>33.05%</w:t>
            </w:r>
          </w:p>
        </w:tc>
      </w:tr>
      <w:tr>
        <w:tc>
          <w:tcPr>
            <w:tcW w:type="dxa" w:w="1259"/>
          </w:tcPr>
          <w:p>
            <w:pPr>
              <w:jc w:val="left"/>
            </w:pPr>
            <w:r/>
            <w:r>
              <w:rPr>
                <w:rFonts w:ascii="Times New Roman" w:hAnsi="Times New Roman"/>
                <w:b w:val="0"/>
                <w:sz w:val="15"/>
              </w:rPr>
              <w:t>STIP [9]</w:t>
            </w:r>
          </w:p>
        </w:tc>
        <w:tc>
          <w:tcPr>
            <w:tcW w:type="dxa" w:w="1259"/>
          </w:tcPr>
          <w:p>
            <w:pPr>
              <w:jc w:val="center"/>
            </w:pPr>
            <w:r/>
            <w:r>
              <w:rPr>
                <w:rFonts w:ascii="Times New Roman" w:hAnsi="Times New Roman"/>
                <w:b w:val="0"/>
                <w:sz w:val="15"/>
              </w:rPr>
              <w:t>CVPR '22</w:t>
            </w:r>
          </w:p>
        </w:tc>
        <w:tc>
          <w:tcPr>
            <w:tcW w:type="dxa" w:w="1259"/>
          </w:tcPr>
          <w:p>
            <w:pPr>
              <w:jc w:val="center"/>
            </w:pPr>
            <w:r/>
            <w:r>
              <w:rPr>
                <w:rFonts w:ascii="Times New Roman" w:hAnsi="Times New Roman"/>
                <w:b w:val="0"/>
                <w:sz w:val="15"/>
              </w:rPr>
              <w:t>ResNet-50</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~64.0h</w:t>
            </w:r>
          </w:p>
        </w:tc>
        <w:tc>
          <w:tcPr>
            <w:tcW w:type="dxa" w:w="1259"/>
          </w:tcPr>
          <w:p>
            <w:pPr>
              <w:jc w:val="center"/>
            </w:pPr>
            <w:r/>
            <w:r>
              <w:rPr>
                <w:rFonts w:ascii="Times New Roman" w:hAnsi="Times New Roman"/>
                <w:b w:val="0"/>
                <w:sz w:val="15"/>
              </w:rPr>
              <w:t>32.22%</w:t>
            </w:r>
          </w:p>
        </w:tc>
        <w:tc>
          <w:tcPr>
            <w:tcW w:type="dxa" w:w="1259"/>
          </w:tcPr>
          <w:p>
            <w:pPr>
              <w:jc w:val="center"/>
            </w:pPr>
            <w:r/>
            <w:r>
              <w:rPr>
                <w:rFonts w:ascii="Times New Roman" w:hAnsi="Times New Roman"/>
                <w:b w:val="0"/>
                <w:sz w:val="15"/>
              </w:rPr>
              <w:t>28.15%</w:t>
            </w:r>
          </w:p>
        </w:tc>
        <w:tc>
          <w:tcPr>
            <w:tcW w:type="dxa" w:w="1259"/>
          </w:tcPr>
          <w:p>
            <w:pPr>
              <w:jc w:val="center"/>
            </w:pPr>
            <w:r/>
            <w:r>
              <w:rPr>
                <w:rFonts w:ascii="Times New Roman" w:hAnsi="Times New Roman"/>
                <w:b w:val="0"/>
                <w:sz w:val="15"/>
              </w:rPr>
              <w:t>33.44%</w:t>
            </w:r>
          </w:p>
        </w:tc>
      </w:tr>
      <w:tr>
        <w:tc>
          <w:tcPr>
            <w:tcW w:type="dxa" w:w="1259"/>
          </w:tcPr>
          <w:p>
            <w:pPr>
              <w:jc w:val="left"/>
            </w:pPr>
            <w:r/>
            <w:r>
              <w:rPr>
                <w:rFonts w:ascii="Times New Roman" w:hAnsi="Times New Roman"/>
                <w:b w:val="0"/>
                <w:sz w:val="15"/>
              </w:rPr>
              <w:t>GEN-VLKT [10]</w:t>
            </w:r>
          </w:p>
        </w:tc>
        <w:tc>
          <w:tcPr>
            <w:tcW w:type="dxa" w:w="1259"/>
          </w:tcPr>
          <w:p>
            <w:pPr>
              <w:jc w:val="center"/>
            </w:pPr>
            <w:r/>
            <w:r>
              <w:rPr>
                <w:rFonts w:ascii="Times New Roman" w:hAnsi="Times New Roman"/>
                <w:b w:val="0"/>
                <w:sz w:val="15"/>
              </w:rPr>
              <w:t>CVPR '22</w:t>
            </w:r>
          </w:p>
        </w:tc>
        <w:tc>
          <w:tcPr>
            <w:tcW w:type="dxa" w:w="1259"/>
          </w:tcPr>
          <w:p>
            <w:pPr>
              <w:jc w:val="center"/>
            </w:pPr>
            <w:r/>
            <w:r>
              <w:rPr>
                <w:rFonts w:ascii="Times New Roman" w:hAnsi="Times New Roman"/>
                <w:b w:val="0"/>
                <w:sz w:val="15"/>
              </w:rPr>
              <w:t>R50 + CLIP</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~85.0h</w:t>
            </w:r>
          </w:p>
        </w:tc>
        <w:tc>
          <w:tcPr>
            <w:tcW w:type="dxa" w:w="1259"/>
          </w:tcPr>
          <w:p>
            <w:pPr>
              <w:jc w:val="center"/>
            </w:pPr>
            <w:r/>
            <w:r>
              <w:rPr>
                <w:rFonts w:ascii="Times New Roman" w:hAnsi="Times New Roman"/>
                <w:b w:val="0"/>
                <w:sz w:val="15"/>
              </w:rPr>
              <w:t>33.75%</w:t>
            </w:r>
          </w:p>
        </w:tc>
        <w:tc>
          <w:tcPr>
            <w:tcW w:type="dxa" w:w="1259"/>
          </w:tcPr>
          <w:p>
            <w:pPr>
              <w:jc w:val="center"/>
            </w:pPr>
            <w:r/>
            <w:r>
              <w:rPr>
                <w:rFonts w:ascii="Times New Roman" w:hAnsi="Times New Roman"/>
                <w:b w:val="0"/>
                <w:sz w:val="15"/>
              </w:rPr>
              <w:t>29.25%</w:t>
            </w:r>
          </w:p>
        </w:tc>
        <w:tc>
          <w:tcPr>
            <w:tcW w:type="dxa" w:w="1259"/>
          </w:tcPr>
          <w:p>
            <w:pPr>
              <w:jc w:val="center"/>
            </w:pPr>
            <w:r/>
            <w:r>
              <w:rPr>
                <w:rFonts w:ascii="Times New Roman" w:hAnsi="Times New Roman"/>
                <w:b w:val="0"/>
                <w:sz w:val="15"/>
              </w:rPr>
              <w:t>35.10%</w:t>
            </w:r>
          </w:p>
        </w:tc>
      </w:tr>
      <w:tr>
        <w:tc>
          <w:tcPr>
            <w:tcW w:type="dxa" w:w="1259"/>
          </w:tcPr>
          <w:p>
            <w:pPr>
              <w:jc w:val="left"/>
            </w:pPr>
            <w:r/>
            <w:r>
              <w:rPr>
                <w:rFonts w:ascii="Times New Roman" w:hAnsi="Times New Roman"/>
                <w:b w:val="0"/>
                <w:sz w:val="15"/>
              </w:rPr>
              <w:t>HOI-CLIP [11]</w:t>
            </w:r>
          </w:p>
        </w:tc>
        <w:tc>
          <w:tcPr>
            <w:tcW w:type="dxa" w:w="1259"/>
          </w:tcPr>
          <w:p>
            <w:pPr>
              <w:jc w:val="center"/>
            </w:pPr>
            <w:r/>
            <w:r>
              <w:rPr>
                <w:rFonts w:ascii="Times New Roman" w:hAnsi="Times New Roman"/>
                <w:b w:val="0"/>
                <w:sz w:val="15"/>
              </w:rPr>
              <w:t>CVPR '23</w:t>
            </w:r>
          </w:p>
        </w:tc>
        <w:tc>
          <w:tcPr>
            <w:tcW w:type="dxa" w:w="1259"/>
          </w:tcPr>
          <w:p>
            <w:pPr>
              <w:jc w:val="center"/>
            </w:pPr>
            <w:r/>
            <w:r>
              <w:rPr>
                <w:rFonts w:ascii="Times New Roman" w:hAnsi="Times New Roman"/>
                <w:b w:val="0"/>
                <w:sz w:val="15"/>
              </w:rPr>
              <w:t>R50 + CLIP</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~45.0h</w:t>
            </w:r>
          </w:p>
        </w:tc>
        <w:tc>
          <w:tcPr>
            <w:tcW w:type="dxa" w:w="1259"/>
          </w:tcPr>
          <w:p>
            <w:pPr>
              <w:jc w:val="center"/>
            </w:pPr>
            <w:r/>
            <w:r>
              <w:rPr>
                <w:rFonts w:ascii="Times New Roman" w:hAnsi="Times New Roman"/>
                <w:b w:val="0"/>
                <w:sz w:val="15"/>
              </w:rPr>
              <w:t>34.69%</w:t>
            </w:r>
          </w:p>
        </w:tc>
        <w:tc>
          <w:tcPr>
            <w:tcW w:type="dxa" w:w="1259"/>
          </w:tcPr>
          <w:p>
            <w:pPr>
              <w:jc w:val="center"/>
            </w:pPr>
            <w:r/>
            <w:r>
              <w:rPr>
                <w:rFonts w:ascii="Times New Roman" w:hAnsi="Times New Roman"/>
                <w:b w:val="0"/>
                <w:sz w:val="15"/>
              </w:rPr>
              <w:t>31.12%</w:t>
            </w:r>
          </w:p>
        </w:tc>
        <w:tc>
          <w:tcPr>
            <w:tcW w:type="dxa" w:w="1259"/>
          </w:tcPr>
          <w:p>
            <w:pPr>
              <w:jc w:val="center"/>
            </w:pPr>
            <w:r/>
            <w:r>
              <w:rPr>
                <w:rFonts w:ascii="Times New Roman" w:hAnsi="Times New Roman"/>
                <w:b w:val="0"/>
                <w:sz w:val="15"/>
              </w:rPr>
              <w:t>35.75%</w:t>
            </w:r>
          </w:p>
        </w:tc>
      </w:tr>
      <w:tr>
        <w:tc>
          <w:tcPr>
            <w:tcW w:type="dxa" w:w="1259"/>
          </w:tcPr>
          <w:p>
            <w:pPr>
              <w:jc w:val="left"/>
            </w:pPr>
            <w:r/>
            <w:r>
              <w:rPr>
                <w:rFonts w:ascii="Times New Roman" w:hAnsi="Times New Roman"/>
                <w:b w:val="0"/>
                <w:sz w:val="15"/>
              </w:rPr>
              <w:t>ViPLO [12]</w:t>
            </w:r>
          </w:p>
        </w:tc>
        <w:tc>
          <w:tcPr>
            <w:tcW w:type="dxa" w:w="1259"/>
          </w:tcPr>
          <w:p>
            <w:pPr>
              <w:jc w:val="center"/>
            </w:pPr>
            <w:r/>
            <w:r>
              <w:rPr>
                <w:rFonts w:ascii="Times New Roman" w:hAnsi="Times New Roman"/>
                <w:b w:val="0"/>
                <w:sz w:val="15"/>
              </w:rPr>
              <w:t>CVPR '23</w:t>
            </w:r>
          </w:p>
        </w:tc>
        <w:tc>
          <w:tcPr>
            <w:tcW w:type="dxa" w:w="1259"/>
          </w:tcPr>
          <w:p>
            <w:pPr>
              <w:jc w:val="center"/>
            </w:pPr>
            <w:r/>
            <w:r>
              <w:rPr>
                <w:rFonts w:ascii="Times New Roman" w:hAnsi="Times New Roman"/>
                <w:b w:val="0"/>
                <w:sz w:val="15"/>
              </w:rPr>
              <w:t>ViT-Base</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~90.0h</w:t>
            </w:r>
          </w:p>
        </w:tc>
        <w:tc>
          <w:tcPr>
            <w:tcW w:type="dxa" w:w="1259"/>
          </w:tcPr>
          <w:p>
            <w:pPr>
              <w:jc w:val="center"/>
            </w:pPr>
            <w:r/>
            <w:r>
              <w:rPr>
                <w:rFonts w:ascii="Times New Roman" w:hAnsi="Times New Roman"/>
                <w:b w:val="0"/>
                <w:sz w:val="15"/>
              </w:rPr>
              <w:t>37.35%</w:t>
            </w:r>
          </w:p>
        </w:tc>
        <w:tc>
          <w:tcPr>
            <w:tcW w:type="dxa" w:w="1259"/>
          </w:tcPr>
          <w:p>
            <w:pPr>
              <w:jc w:val="center"/>
            </w:pPr>
            <w:r/>
            <w:r>
              <w:rPr>
                <w:rFonts w:ascii="Times New Roman" w:hAnsi="Times New Roman"/>
                <w:b w:val="0"/>
                <w:sz w:val="15"/>
              </w:rPr>
              <w:t>35.61%</w:t>
            </w:r>
          </w:p>
        </w:tc>
        <w:tc>
          <w:tcPr>
            <w:tcW w:type="dxa" w:w="1259"/>
          </w:tcPr>
          <w:p>
            <w:pPr>
              <w:jc w:val="center"/>
            </w:pPr>
            <w:r/>
            <w:r>
              <w:rPr>
                <w:rFonts w:ascii="Times New Roman" w:hAnsi="Times New Roman"/>
                <w:b w:val="0"/>
                <w:sz w:val="15"/>
              </w:rPr>
              <w:t>37.87%</w:t>
            </w:r>
          </w:p>
        </w:tc>
      </w:tr>
      <w:tr>
        <w:tc>
          <w:tcPr>
            <w:tcW w:type="dxa" w:w="1259"/>
          </w:tcPr>
          <w:p>
            <w:pPr>
              <w:jc w:val="left"/>
            </w:pPr>
            <w:r/>
            <w:r>
              <w:rPr>
                <w:rFonts w:ascii="Times New Roman" w:hAnsi="Times New Roman"/>
                <w:b w:val="0"/>
                <w:sz w:val="15"/>
              </w:rPr>
              <w:t>DiffHOI [13]</w:t>
            </w:r>
          </w:p>
        </w:tc>
        <w:tc>
          <w:tcPr>
            <w:tcW w:type="dxa" w:w="1259"/>
          </w:tcPr>
          <w:p>
            <w:pPr>
              <w:jc w:val="center"/>
            </w:pPr>
            <w:r/>
            <w:r>
              <w:rPr>
                <w:rFonts w:ascii="Times New Roman" w:hAnsi="Times New Roman"/>
                <w:b w:val="0"/>
                <w:sz w:val="15"/>
              </w:rPr>
              <w:t>ICCV '23</w:t>
            </w:r>
          </w:p>
        </w:tc>
        <w:tc>
          <w:tcPr>
            <w:tcW w:type="dxa" w:w="1259"/>
          </w:tcPr>
          <w:p>
            <w:pPr>
              <w:jc w:val="center"/>
            </w:pPr>
            <w:r/>
            <w:r>
              <w:rPr>
                <w:rFonts w:ascii="Times New Roman" w:hAnsi="Times New Roman"/>
                <w:b w:val="0"/>
                <w:sz w:val="15"/>
              </w:rPr>
              <w:t>R50 + Diff.</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~120.0h</w:t>
            </w:r>
          </w:p>
        </w:tc>
        <w:tc>
          <w:tcPr>
            <w:tcW w:type="dxa" w:w="1259"/>
          </w:tcPr>
          <w:p>
            <w:pPr>
              <w:jc w:val="center"/>
            </w:pPr>
            <w:r/>
            <w:r>
              <w:rPr>
                <w:rFonts w:ascii="Times New Roman" w:hAnsi="Times New Roman"/>
                <w:b w:val="0"/>
                <w:sz w:val="15"/>
              </w:rPr>
              <w:t>41.50%</w:t>
            </w:r>
          </w:p>
        </w:tc>
        <w:tc>
          <w:tcPr>
            <w:tcW w:type="dxa" w:w="1259"/>
          </w:tcPr>
          <w:p>
            <w:pPr>
              <w:jc w:val="center"/>
            </w:pPr>
            <w:r/>
            <w:r>
              <w:rPr>
                <w:rFonts w:ascii="Times New Roman" w:hAnsi="Times New Roman"/>
                <w:b w:val="0"/>
                <w:sz w:val="15"/>
              </w:rPr>
              <w:t>39.80%</w:t>
            </w:r>
          </w:p>
        </w:tc>
        <w:tc>
          <w:tcPr>
            <w:tcW w:type="dxa" w:w="1259"/>
          </w:tcPr>
          <w:p>
            <w:pPr>
              <w:jc w:val="center"/>
            </w:pPr>
            <w:r/>
            <w:r>
              <w:rPr>
                <w:rFonts w:ascii="Times New Roman" w:hAnsi="Times New Roman"/>
                <w:b w:val="0"/>
                <w:sz w:val="15"/>
              </w:rPr>
              <w:t>42.01%</w:t>
            </w:r>
          </w:p>
        </w:tc>
      </w:tr>
      <w:tr>
        <w:tc>
          <w:tcPr>
            <w:tcW w:type="dxa" w:w="1259"/>
          </w:tcPr>
          <w:p>
            <w:pPr>
              <w:jc w:val="left"/>
            </w:pPr>
            <w:r/>
            <w:r>
              <w:rPr>
                <w:rFonts w:ascii="Times New Roman" w:hAnsi="Times New Roman"/>
                <w:b w:val="0"/>
                <w:sz w:val="15"/>
              </w:rPr>
              <w:t>ADA-CM [14]</w:t>
            </w:r>
          </w:p>
        </w:tc>
        <w:tc>
          <w:tcPr>
            <w:tcW w:type="dxa" w:w="1259"/>
          </w:tcPr>
          <w:p>
            <w:pPr>
              <w:jc w:val="center"/>
            </w:pPr>
            <w:r/>
            <w:r>
              <w:rPr>
                <w:rFonts w:ascii="Times New Roman" w:hAnsi="Times New Roman"/>
                <w:b w:val="0"/>
                <w:sz w:val="15"/>
              </w:rPr>
              <w:t>CVPR '24</w:t>
            </w:r>
          </w:p>
        </w:tc>
        <w:tc>
          <w:tcPr>
            <w:tcW w:type="dxa" w:w="1259"/>
          </w:tcPr>
          <w:p>
            <w:pPr>
              <w:jc w:val="center"/>
            </w:pPr>
            <w:r/>
            <w:r>
              <w:rPr>
                <w:rFonts w:ascii="Times New Roman" w:hAnsi="Times New Roman"/>
                <w:b w:val="0"/>
                <w:sz w:val="15"/>
              </w:rPr>
              <w:t>Swin-Large</w:t>
            </w:r>
          </w:p>
        </w:tc>
        <w:tc>
          <w:tcPr>
            <w:tcW w:type="dxa" w:w="1259"/>
          </w:tcPr>
          <w:p>
            <w:pPr>
              <w:jc w:val="center"/>
            </w:pPr>
            <w:r/>
            <w:r>
              <w:rPr>
                <w:rFonts w:ascii="Times New Roman" w:hAnsi="Times New Roman"/>
                <w:b w:val="0"/>
                <w:sz w:val="15"/>
              </w:rPr>
              <w:t>38,118</w:t>
            </w:r>
          </w:p>
        </w:tc>
        <w:tc>
          <w:tcPr>
            <w:tcW w:type="dxa" w:w="1259"/>
          </w:tcPr>
          <w:p>
            <w:pPr>
              <w:jc w:val="center"/>
            </w:pPr>
            <w:r/>
            <w:r>
              <w:rPr>
                <w:rFonts w:ascii="Times New Roman" w:hAnsi="Times New Roman"/>
                <w:b w:val="0"/>
                <w:sz w:val="15"/>
              </w:rPr>
              <w:t>~140.0h</w:t>
            </w:r>
          </w:p>
        </w:tc>
        <w:tc>
          <w:tcPr>
            <w:tcW w:type="dxa" w:w="1259"/>
          </w:tcPr>
          <w:p>
            <w:pPr>
              <w:jc w:val="center"/>
            </w:pPr>
            <w:r/>
            <w:r>
              <w:rPr>
                <w:rFonts w:ascii="Times New Roman" w:hAnsi="Times New Roman"/>
                <w:b w:val="0"/>
                <w:sz w:val="15"/>
              </w:rPr>
              <w:t>43.20%</w:t>
            </w:r>
          </w:p>
        </w:tc>
        <w:tc>
          <w:tcPr>
            <w:tcW w:type="dxa" w:w="1259"/>
          </w:tcPr>
          <w:p>
            <w:pPr>
              <w:jc w:val="center"/>
            </w:pPr>
            <w:r/>
            <w:r>
              <w:rPr>
                <w:rFonts w:ascii="Times New Roman" w:hAnsi="Times New Roman"/>
                <w:b w:val="0"/>
                <w:sz w:val="15"/>
              </w:rPr>
              <w:t>41.50%</w:t>
            </w:r>
          </w:p>
        </w:tc>
        <w:tc>
          <w:tcPr>
            <w:tcW w:type="dxa" w:w="1259"/>
          </w:tcPr>
          <w:p>
            <w:pPr>
              <w:jc w:val="center"/>
            </w:pPr>
            <w:r/>
            <w:r>
              <w:rPr>
                <w:rFonts w:ascii="Times New Roman" w:hAnsi="Times New Roman"/>
                <w:b w:val="0"/>
                <w:sz w:val="15"/>
              </w:rPr>
              <w:t>43.70%</w:t>
            </w:r>
          </w:p>
        </w:tc>
      </w:tr>
      <w:tr>
        <w:tc>
          <w:tcPr>
            <w:tcW w:type="dxa" w:w="1259"/>
          </w:tcPr>
          <w:p>
            <w:pPr>
              <w:jc w:val="left"/>
            </w:pPr>
            <w:r/>
            <w:r>
              <w:rPr>
                <w:rFonts w:ascii="Times New Roman" w:hAnsi="Times New Roman"/>
                <w:b/>
                <w:sz w:val="15"/>
              </w:rPr>
              <w:t>Vynix (0-Shot)</w:t>
            </w:r>
          </w:p>
        </w:tc>
        <w:tc>
          <w:tcPr>
            <w:tcW w:type="dxa" w:w="1259"/>
          </w:tcPr>
          <w:p>
            <w:pPr>
              <w:jc w:val="center"/>
            </w:pPr>
            <w:r/>
            <w:r>
              <w:rPr>
                <w:rFonts w:ascii="Times New Roman" w:hAnsi="Times New Roman"/>
                <w:b/>
                <w:sz w:val="15"/>
              </w:rPr>
              <w:t>Ours</w:t>
            </w:r>
          </w:p>
        </w:tc>
        <w:tc>
          <w:tcPr>
            <w:tcW w:type="dxa" w:w="1259"/>
          </w:tcPr>
          <w:p>
            <w:pPr>
              <w:jc w:val="center"/>
            </w:pPr>
            <w:r/>
            <w:r>
              <w:rPr>
                <w:rFonts w:ascii="Times New Roman" w:hAnsi="Times New Roman"/>
                <w:b/>
                <w:sz w:val="15"/>
              </w:rPr>
              <w:t>YOLOv8n+B/32</w:t>
            </w:r>
          </w:p>
        </w:tc>
        <w:tc>
          <w:tcPr>
            <w:tcW w:type="dxa" w:w="1259"/>
          </w:tcPr>
          <w:p>
            <w:pPr>
              <w:jc w:val="center"/>
            </w:pPr>
            <w:r/>
            <w:r>
              <w:rPr>
                <w:rFonts w:ascii="Times New Roman" w:hAnsi="Times New Roman"/>
                <w:b/>
                <w:sz w:val="15"/>
              </w:rPr>
              <w:t>0</w:t>
            </w:r>
          </w:p>
        </w:tc>
        <w:tc>
          <w:tcPr>
            <w:tcW w:type="dxa" w:w="1259"/>
          </w:tcPr>
          <w:p>
            <w:pPr>
              <w:jc w:val="center"/>
            </w:pPr>
            <w:r/>
            <w:r>
              <w:rPr>
                <w:rFonts w:ascii="Times New Roman" w:hAnsi="Times New Roman"/>
                <w:b/>
                <w:sz w:val="15"/>
              </w:rPr>
              <w:t>0.00h</w:t>
            </w:r>
          </w:p>
        </w:tc>
        <w:tc>
          <w:tcPr>
            <w:tcW w:type="dxa" w:w="1259"/>
          </w:tcPr>
          <w:p>
            <w:pPr>
              <w:jc w:val="center"/>
            </w:pPr>
            <w:r/>
            <w:r>
              <w:rPr>
                <w:rFonts w:ascii="Times New Roman" w:hAnsi="Times New Roman"/>
                <w:b/>
                <w:sz w:val="15"/>
              </w:rPr>
              <w:t>22.17%</w:t>
            </w:r>
          </w:p>
        </w:tc>
        <w:tc>
          <w:tcPr>
            <w:tcW w:type="dxa" w:w="1259"/>
          </w:tcPr>
          <w:p>
            <w:pPr>
              <w:jc w:val="center"/>
            </w:pPr>
            <w:r/>
            <w:r>
              <w:rPr>
                <w:rFonts w:ascii="Times New Roman" w:hAnsi="Times New Roman"/>
                <w:b/>
                <w:sz w:val="15"/>
              </w:rPr>
              <w:t>18.57%</w:t>
            </w:r>
          </w:p>
        </w:tc>
        <w:tc>
          <w:tcPr>
            <w:tcW w:type="dxa" w:w="1259"/>
          </w:tcPr>
          <w:p>
            <w:pPr>
              <w:jc w:val="center"/>
            </w:pPr>
            <w:r/>
            <w:r>
              <w:rPr>
                <w:rFonts w:ascii="Times New Roman" w:hAnsi="Times New Roman"/>
                <w:b/>
                <w:sz w:val="15"/>
              </w:rPr>
              <w:t>23.42%</w:t>
            </w:r>
          </w:p>
        </w:tc>
      </w:tr>
      <w:tr>
        <w:tc>
          <w:tcPr>
            <w:tcW w:type="dxa" w:w="1259"/>
          </w:tcPr>
          <w:p>
            <w:pPr>
              <w:jc w:val="left"/>
            </w:pPr>
            <w:r/>
            <w:r>
              <w:rPr>
                <w:rFonts w:ascii="Times New Roman" w:hAnsi="Times New Roman"/>
                <w:b/>
                <w:sz w:val="15"/>
              </w:rPr>
              <w:t>Vynix-Base</w:t>
            </w:r>
          </w:p>
        </w:tc>
        <w:tc>
          <w:tcPr>
            <w:tcW w:type="dxa" w:w="1259"/>
          </w:tcPr>
          <w:p>
            <w:pPr>
              <w:jc w:val="center"/>
            </w:pPr>
            <w:r/>
            <w:r>
              <w:rPr>
                <w:rFonts w:ascii="Times New Roman" w:hAnsi="Times New Roman"/>
                <w:b/>
                <w:sz w:val="15"/>
              </w:rPr>
              <w:t>Ours</w:t>
            </w:r>
          </w:p>
        </w:tc>
        <w:tc>
          <w:tcPr>
            <w:tcW w:type="dxa" w:w="1259"/>
          </w:tcPr>
          <w:p>
            <w:pPr>
              <w:jc w:val="center"/>
            </w:pPr>
            <w:r/>
            <w:r>
              <w:rPr>
                <w:rFonts w:ascii="Times New Roman" w:hAnsi="Times New Roman"/>
                <w:b/>
                <w:sz w:val="15"/>
              </w:rPr>
              <w:t>YOLOv8n+B/32</w:t>
            </w:r>
          </w:p>
        </w:tc>
        <w:tc>
          <w:tcPr>
            <w:tcW w:type="dxa" w:w="1259"/>
          </w:tcPr>
          <w:p>
            <w:pPr>
              <w:jc w:val="center"/>
            </w:pPr>
            <w:r/>
            <w:r>
              <w:rPr>
                <w:rFonts w:ascii="Times New Roman" w:hAnsi="Times New Roman"/>
                <w:b/>
                <w:sz w:val="15"/>
              </w:rPr>
              <w:t>38,118</w:t>
            </w:r>
          </w:p>
        </w:tc>
        <w:tc>
          <w:tcPr>
            <w:tcW w:type="dxa" w:w="1259"/>
          </w:tcPr>
          <w:p>
            <w:pPr>
              <w:jc w:val="center"/>
            </w:pPr>
            <w:r/>
            <w:r>
              <w:rPr>
                <w:rFonts w:ascii="Times New Roman" w:hAnsi="Times New Roman"/>
                <w:b/>
                <w:sz w:val="15"/>
              </w:rPr>
              <w:t>0.25h</w:t>
            </w:r>
          </w:p>
        </w:tc>
        <w:tc>
          <w:tcPr>
            <w:tcW w:type="dxa" w:w="1259"/>
          </w:tcPr>
          <w:p>
            <w:pPr>
              <w:jc w:val="center"/>
            </w:pPr>
            <w:r/>
            <w:r>
              <w:rPr>
                <w:rFonts w:ascii="Times New Roman" w:hAnsi="Times New Roman"/>
                <w:b/>
                <w:sz w:val="15"/>
              </w:rPr>
              <w:t>22.03%</w:t>
            </w:r>
          </w:p>
        </w:tc>
        <w:tc>
          <w:tcPr>
            <w:tcW w:type="dxa" w:w="1259"/>
          </w:tcPr>
          <w:p>
            <w:pPr>
              <w:jc w:val="center"/>
            </w:pPr>
            <w:r/>
            <w:r>
              <w:rPr>
                <w:rFonts w:ascii="Times New Roman" w:hAnsi="Times New Roman"/>
                <w:b/>
                <w:sz w:val="15"/>
              </w:rPr>
              <w:t>23.32%</w:t>
            </w:r>
          </w:p>
        </w:tc>
        <w:tc>
          <w:tcPr>
            <w:tcW w:type="dxa" w:w="1259"/>
          </w:tcPr>
          <w:p>
            <w:pPr>
              <w:jc w:val="center"/>
            </w:pPr>
            <w:r/>
            <w:r>
              <w:rPr>
                <w:rFonts w:ascii="Times New Roman" w:hAnsi="Times New Roman"/>
                <w:b/>
                <w:sz w:val="15"/>
              </w:rPr>
              <w:t>21.59%</w:t>
            </w:r>
          </w:p>
        </w:tc>
      </w:tr>
      <w:tr>
        <w:tc>
          <w:tcPr>
            <w:tcW w:type="dxa" w:w="1259"/>
          </w:tcPr>
          <w:p>
            <w:pPr>
              <w:jc w:val="left"/>
            </w:pPr>
            <w:r/>
            <w:r>
              <w:rPr>
                <w:rFonts w:ascii="Times New Roman" w:hAnsi="Times New Roman"/>
                <w:b/>
                <w:sz w:val="15"/>
              </w:rPr>
              <w:t>Vynix-M (Soft)</w:t>
            </w:r>
          </w:p>
        </w:tc>
        <w:tc>
          <w:tcPr>
            <w:tcW w:type="dxa" w:w="1259"/>
          </w:tcPr>
          <w:p>
            <w:pPr>
              <w:jc w:val="center"/>
            </w:pPr>
            <w:r/>
            <w:r>
              <w:rPr>
                <w:rFonts w:ascii="Times New Roman" w:hAnsi="Times New Roman"/>
                <w:b/>
                <w:sz w:val="15"/>
              </w:rPr>
              <w:t>Ours</w:t>
            </w:r>
          </w:p>
        </w:tc>
        <w:tc>
          <w:tcPr>
            <w:tcW w:type="dxa" w:w="1259"/>
          </w:tcPr>
          <w:p>
            <w:pPr>
              <w:jc w:val="center"/>
            </w:pPr>
            <w:r/>
            <w:r>
              <w:rPr>
                <w:rFonts w:ascii="Times New Roman" w:hAnsi="Times New Roman"/>
                <w:b/>
                <w:sz w:val="15"/>
              </w:rPr>
              <w:t>YOLOv8m+B/32</w:t>
            </w:r>
          </w:p>
        </w:tc>
        <w:tc>
          <w:tcPr>
            <w:tcW w:type="dxa" w:w="1259"/>
          </w:tcPr>
          <w:p>
            <w:pPr>
              <w:jc w:val="center"/>
            </w:pPr>
            <w:r/>
            <w:r>
              <w:rPr>
                <w:rFonts w:ascii="Times New Roman" w:hAnsi="Times New Roman"/>
                <w:b/>
                <w:sz w:val="15"/>
              </w:rPr>
              <w:t>38,118</w:t>
            </w:r>
          </w:p>
        </w:tc>
        <w:tc>
          <w:tcPr>
            <w:tcW w:type="dxa" w:w="1259"/>
          </w:tcPr>
          <w:p>
            <w:pPr>
              <w:jc w:val="center"/>
            </w:pPr>
            <w:r/>
            <w:r>
              <w:rPr>
                <w:rFonts w:ascii="Times New Roman" w:hAnsi="Times New Roman"/>
                <w:b/>
                <w:sz w:val="15"/>
              </w:rPr>
              <w:t>0.27h</w:t>
            </w:r>
          </w:p>
        </w:tc>
        <w:tc>
          <w:tcPr>
            <w:tcW w:type="dxa" w:w="1259"/>
          </w:tcPr>
          <w:p>
            <w:pPr>
              <w:jc w:val="center"/>
            </w:pPr>
            <w:r/>
            <w:r>
              <w:rPr>
                <w:rFonts w:ascii="Times New Roman" w:hAnsi="Times New Roman"/>
                <w:b/>
                <w:sz w:val="15"/>
              </w:rPr>
              <w:t>28.23%</w:t>
            </w:r>
          </w:p>
        </w:tc>
        <w:tc>
          <w:tcPr>
            <w:tcW w:type="dxa" w:w="1259"/>
          </w:tcPr>
          <w:p>
            <w:pPr>
              <w:jc w:val="center"/>
            </w:pPr>
            <w:r/>
            <w:r>
              <w:rPr>
                <w:rFonts w:ascii="Times New Roman" w:hAnsi="Times New Roman"/>
                <w:b/>
                <w:sz w:val="15"/>
              </w:rPr>
              <w:t>28.98%</w:t>
            </w:r>
          </w:p>
        </w:tc>
        <w:tc>
          <w:tcPr>
            <w:tcW w:type="dxa" w:w="1259"/>
          </w:tcPr>
          <w:p>
            <w:pPr>
              <w:jc w:val="center"/>
            </w:pPr>
            <w:r/>
            <w:r>
              <w:rPr>
                <w:rFonts w:ascii="Times New Roman" w:hAnsi="Times New Roman"/>
                <w:b/>
                <w:sz w:val="15"/>
              </w:rPr>
              <w:t>27.98%</w:t>
            </w:r>
          </w:p>
        </w:tc>
      </w:tr>
      <w:tr>
        <w:tc>
          <w:tcPr>
            <w:tcW w:type="dxa" w:w="1259"/>
          </w:tcPr>
          <w:p>
            <w:pPr>
              <w:jc w:val="left"/>
            </w:pPr>
            <w:r/>
            <w:r>
              <w:rPr>
                <w:rFonts w:ascii="Times New Roman" w:hAnsi="Times New Roman"/>
                <w:b/>
                <w:sz w:val="15"/>
              </w:rPr>
              <w:t>Vynix Flagship</w:t>
            </w:r>
          </w:p>
        </w:tc>
        <w:tc>
          <w:tcPr>
            <w:tcW w:type="dxa" w:w="1259"/>
          </w:tcPr>
          <w:p>
            <w:pPr>
              <w:jc w:val="center"/>
            </w:pPr>
            <w:r/>
            <w:r>
              <w:rPr>
                <w:rFonts w:ascii="Times New Roman" w:hAnsi="Times New Roman"/>
                <w:b/>
                <w:sz w:val="15"/>
              </w:rPr>
              <w:t>Ours</w:t>
            </w:r>
          </w:p>
        </w:tc>
        <w:tc>
          <w:tcPr>
            <w:tcW w:type="dxa" w:w="1259"/>
          </w:tcPr>
          <w:p>
            <w:pPr>
              <w:jc w:val="center"/>
            </w:pPr>
            <w:r/>
            <w:r>
              <w:rPr>
                <w:rFonts w:ascii="Times New Roman" w:hAnsi="Times New Roman"/>
                <w:b/>
                <w:sz w:val="15"/>
              </w:rPr>
              <w:t>YOLOv8m+B/16</w:t>
            </w:r>
          </w:p>
        </w:tc>
        <w:tc>
          <w:tcPr>
            <w:tcW w:type="dxa" w:w="1259"/>
          </w:tcPr>
          <w:p>
            <w:pPr>
              <w:jc w:val="center"/>
            </w:pPr>
            <w:r/>
            <w:r>
              <w:rPr>
                <w:rFonts w:ascii="Times New Roman" w:hAnsi="Times New Roman"/>
                <w:b/>
                <w:sz w:val="15"/>
              </w:rPr>
              <w:t>38,118</w:t>
            </w:r>
          </w:p>
        </w:tc>
        <w:tc>
          <w:tcPr>
            <w:tcW w:type="dxa" w:w="1259"/>
          </w:tcPr>
          <w:p>
            <w:pPr>
              <w:jc w:val="center"/>
            </w:pPr>
            <w:r/>
            <w:r>
              <w:rPr>
                <w:rFonts w:ascii="Times New Roman" w:hAnsi="Times New Roman"/>
                <w:b/>
                <w:sz w:val="15"/>
              </w:rPr>
              <w:t>0.29h</w:t>
            </w:r>
          </w:p>
        </w:tc>
        <w:tc>
          <w:tcPr>
            <w:tcW w:type="dxa" w:w="1259"/>
          </w:tcPr>
          <w:p>
            <w:pPr>
              <w:jc w:val="center"/>
            </w:pPr>
            <w:r/>
            <w:r>
              <w:rPr>
                <w:rFonts w:ascii="Times New Roman" w:hAnsi="Times New Roman"/>
                <w:b/>
                <w:sz w:val="15"/>
              </w:rPr>
              <w:t>30.31%</w:t>
            </w:r>
          </w:p>
        </w:tc>
        <w:tc>
          <w:tcPr>
            <w:tcW w:type="dxa" w:w="1259"/>
          </w:tcPr>
          <w:p>
            <w:pPr>
              <w:jc w:val="center"/>
            </w:pPr>
            <w:r/>
            <w:r>
              <w:rPr>
                <w:rFonts w:ascii="Times New Roman" w:hAnsi="Times New Roman"/>
                <w:b/>
                <w:sz w:val="15"/>
              </w:rPr>
              <w:t>29.71%</w:t>
            </w:r>
          </w:p>
        </w:tc>
        <w:tc>
          <w:tcPr>
            <w:tcW w:type="dxa" w:w="1259"/>
          </w:tcPr>
          <w:p>
            <w:pPr>
              <w:jc w:val="center"/>
            </w:pPr>
            <w:r/>
            <w:r>
              <w:rPr>
                <w:rFonts w:ascii="Times New Roman" w:hAnsi="Times New Roman"/>
                <w:b/>
                <w:sz w:val="15"/>
              </w:rPr>
              <w:t>30.51%</w:t>
            </w:r>
          </w:p>
        </w:tc>
      </w:tr>
    </w:tbl>
    <w:p/>
    <w:p>
      <w:pPr>
        <w:spacing w:before="200" w:after="80"/>
        <w:jc w:val="center"/>
      </w:pPr>
      <w:r>
        <w:rPr>
          <w:rFonts w:ascii="Times New Roman" w:hAnsi="Times New Roman"/>
          <w:smallCaps/>
          <w:sz w:val="18"/>
        </w:rPr>
        <w:t>TABLE II: STEP-BY-STEP COMPONENT ABLATION ON HICO-DET</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D9E2F3"/>
          </w:tcPr>
          <w:p>
            <w:pPr>
              <w:jc w:val="center"/>
            </w:pPr>
            <w:r/>
            <w:r>
              <w:rPr>
                <w:rFonts w:ascii="Times New Roman" w:hAnsi="Times New Roman"/>
                <w:b/>
                <w:sz w:val="16"/>
              </w:rPr>
              <w:t>Configuration</w:t>
            </w:r>
          </w:p>
        </w:tc>
        <w:tc>
          <w:tcPr>
            <w:tcW w:type="dxa" w:w="2518"/>
            <w:shd w:fill="D9E2F3"/>
          </w:tcPr>
          <w:p>
            <w:pPr>
              <w:jc w:val="center"/>
            </w:pPr>
            <w:r/>
            <w:r>
              <w:rPr>
                <w:rFonts w:ascii="Times New Roman" w:hAnsi="Times New Roman"/>
                <w:b/>
                <w:sz w:val="16"/>
              </w:rPr>
              <w:t>Full mAP</w:t>
            </w:r>
          </w:p>
        </w:tc>
        <w:tc>
          <w:tcPr>
            <w:tcW w:type="dxa" w:w="2518"/>
            <w:shd w:fill="D9E2F3"/>
          </w:tcPr>
          <w:p>
            <w:pPr>
              <w:jc w:val="center"/>
            </w:pPr>
            <w:r/>
            <w:r>
              <w:rPr>
                <w:rFonts w:ascii="Times New Roman" w:hAnsi="Times New Roman"/>
                <w:b/>
                <w:sz w:val="16"/>
              </w:rPr>
              <w:t>Rare mAP</w:t>
            </w:r>
          </w:p>
        </w:tc>
        <w:tc>
          <w:tcPr>
            <w:tcW w:type="dxa" w:w="2518"/>
            <w:shd w:fill="D9E2F3"/>
          </w:tcPr>
          <w:p>
            <w:pPr>
              <w:jc w:val="center"/>
            </w:pPr>
            <w:r/>
            <w:r>
              <w:rPr>
                <w:rFonts w:ascii="Times New Roman" w:hAnsi="Times New Roman"/>
                <w:b/>
                <w:sz w:val="16"/>
              </w:rPr>
              <w:t>Vetoed Hallucinations</w:t>
            </w:r>
          </w:p>
        </w:tc>
      </w:tr>
      <w:tr>
        <w:tc>
          <w:tcPr>
            <w:tcW w:type="dxa" w:w="2518"/>
          </w:tcPr>
          <w:p>
            <w:pPr>
              <w:jc w:val="left"/>
            </w:pPr>
            <w:r/>
            <w:r>
              <w:rPr>
                <w:rFonts w:ascii="Times New Roman" w:hAnsi="Times New Roman"/>
                <w:b w:val="0"/>
                <w:sz w:val="15"/>
              </w:rPr>
              <w:t>CLIP Baseline (Union Crop only)</w:t>
            </w:r>
          </w:p>
        </w:tc>
        <w:tc>
          <w:tcPr>
            <w:tcW w:type="dxa" w:w="2518"/>
          </w:tcPr>
          <w:p>
            <w:pPr>
              <w:jc w:val="center"/>
            </w:pPr>
            <w:r/>
            <w:r>
              <w:rPr>
                <w:rFonts w:ascii="Times New Roman" w:hAnsi="Times New Roman"/>
                <w:b w:val="0"/>
                <w:sz w:val="15"/>
              </w:rPr>
              <w:t>16.40%</w:t>
            </w:r>
          </w:p>
        </w:tc>
        <w:tc>
          <w:tcPr>
            <w:tcW w:type="dxa" w:w="2518"/>
          </w:tcPr>
          <w:p>
            <w:pPr>
              <w:jc w:val="center"/>
            </w:pPr>
            <w:r/>
            <w:r>
              <w:rPr>
                <w:rFonts w:ascii="Times New Roman" w:hAnsi="Times New Roman"/>
                <w:b w:val="0"/>
                <w:sz w:val="15"/>
              </w:rPr>
              <w:t>13.10%</w:t>
            </w:r>
          </w:p>
        </w:tc>
        <w:tc>
          <w:tcPr>
            <w:tcW w:type="dxa" w:w="2518"/>
          </w:tcPr>
          <w:p>
            <w:pPr>
              <w:jc w:val="center"/>
            </w:pPr>
            <w:r/>
            <w:r>
              <w:rPr>
                <w:rFonts w:ascii="Times New Roman" w:hAnsi="Times New Roman"/>
                <w:b w:val="0"/>
                <w:sz w:val="15"/>
              </w:rPr>
              <w:t>0</w:t>
            </w:r>
          </w:p>
        </w:tc>
      </w:tr>
      <w:tr>
        <w:tc>
          <w:tcPr>
            <w:tcW w:type="dxa" w:w="2518"/>
          </w:tcPr>
          <w:p>
            <w:pPr>
              <w:jc w:val="left"/>
            </w:pPr>
            <w:r/>
            <w:r>
              <w:rPr>
                <w:rFonts w:ascii="Times New Roman" w:hAnsi="Times New Roman"/>
                <w:b w:val="0"/>
                <w:sz w:val="15"/>
              </w:rPr>
              <w:t>+ Physical Geometric Veto Gate</w:t>
            </w:r>
          </w:p>
        </w:tc>
        <w:tc>
          <w:tcPr>
            <w:tcW w:type="dxa" w:w="2518"/>
          </w:tcPr>
          <w:p>
            <w:pPr>
              <w:jc w:val="center"/>
            </w:pPr>
            <w:r/>
            <w:r>
              <w:rPr>
                <w:rFonts w:ascii="Times New Roman" w:hAnsi="Times New Roman"/>
                <w:b w:val="0"/>
                <w:sz w:val="15"/>
              </w:rPr>
              <w:t>20.85%</w:t>
            </w:r>
          </w:p>
        </w:tc>
        <w:tc>
          <w:tcPr>
            <w:tcW w:type="dxa" w:w="2518"/>
          </w:tcPr>
          <w:p>
            <w:pPr>
              <w:jc w:val="center"/>
            </w:pPr>
            <w:r/>
            <w:r>
              <w:rPr>
                <w:rFonts w:ascii="Times New Roman" w:hAnsi="Times New Roman"/>
                <w:b w:val="0"/>
                <w:sz w:val="15"/>
              </w:rPr>
              <w:t>17.20%</w:t>
            </w:r>
          </w:p>
        </w:tc>
        <w:tc>
          <w:tcPr>
            <w:tcW w:type="dxa" w:w="2518"/>
          </w:tcPr>
          <w:p>
            <w:pPr>
              <w:jc w:val="center"/>
            </w:pPr>
            <w:r/>
            <w:r>
              <w:rPr>
                <w:rFonts w:ascii="Times New Roman" w:hAnsi="Times New Roman"/>
                <w:b w:val="0"/>
                <w:sz w:val="15"/>
              </w:rPr>
              <w:t>319,803</w:t>
            </w:r>
          </w:p>
        </w:tc>
      </w:tr>
      <w:tr>
        <w:tc>
          <w:tcPr>
            <w:tcW w:type="dxa" w:w="2518"/>
          </w:tcPr>
          <w:p>
            <w:pPr>
              <w:jc w:val="left"/>
            </w:pPr>
            <w:r/>
            <w:r>
              <w:rPr>
                <w:rFonts w:ascii="Times New Roman" w:hAnsi="Times New Roman"/>
                <w:b w:val="0"/>
                <w:sz w:val="15"/>
              </w:rPr>
              <w:t>+ 3-Stream Encoding (fₕ + fₒ + fᵤ)</w:t>
            </w:r>
          </w:p>
        </w:tc>
        <w:tc>
          <w:tcPr>
            <w:tcW w:type="dxa" w:w="2518"/>
          </w:tcPr>
          <w:p>
            <w:pPr>
              <w:jc w:val="center"/>
            </w:pPr>
            <w:r/>
            <w:r>
              <w:rPr>
                <w:rFonts w:ascii="Times New Roman" w:hAnsi="Times New Roman"/>
                <w:b w:val="0"/>
                <w:sz w:val="15"/>
              </w:rPr>
              <w:t>22.17%</w:t>
            </w:r>
          </w:p>
        </w:tc>
        <w:tc>
          <w:tcPr>
            <w:tcW w:type="dxa" w:w="2518"/>
          </w:tcPr>
          <w:p>
            <w:pPr>
              <w:jc w:val="center"/>
            </w:pPr>
            <w:r/>
            <w:r>
              <w:rPr>
                <w:rFonts w:ascii="Times New Roman" w:hAnsi="Times New Roman"/>
                <w:b w:val="0"/>
                <w:sz w:val="15"/>
              </w:rPr>
              <w:t>18.57%</w:t>
            </w:r>
          </w:p>
        </w:tc>
        <w:tc>
          <w:tcPr>
            <w:tcW w:type="dxa" w:w="2518"/>
          </w:tcPr>
          <w:p>
            <w:pPr>
              <w:jc w:val="center"/>
            </w:pPr>
            <w:r/>
            <w:r>
              <w:rPr>
                <w:rFonts w:ascii="Times New Roman" w:hAnsi="Times New Roman"/>
                <w:b w:val="0"/>
                <w:sz w:val="15"/>
              </w:rPr>
              <w:t>319,803</w:t>
            </w:r>
          </w:p>
        </w:tc>
      </w:tr>
      <w:tr>
        <w:tc>
          <w:tcPr>
            <w:tcW w:type="dxa" w:w="2518"/>
          </w:tcPr>
          <w:p>
            <w:pPr>
              <w:jc w:val="left"/>
            </w:pPr>
            <w:r/>
            <w:r>
              <w:rPr>
                <w:rFonts w:ascii="Times New Roman" w:hAnsi="Times New Roman"/>
                <w:b w:val="0"/>
                <w:sz w:val="15"/>
              </w:rPr>
              <w:t>+ Decoupled Geometry MLP + Memory Cache</w:t>
            </w:r>
          </w:p>
        </w:tc>
        <w:tc>
          <w:tcPr>
            <w:tcW w:type="dxa" w:w="2518"/>
          </w:tcPr>
          <w:p>
            <w:pPr>
              <w:jc w:val="center"/>
            </w:pPr>
            <w:r/>
            <w:r>
              <w:rPr>
                <w:rFonts w:ascii="Times New Roman" w:hAnsi="Times New Roman"/>
                <w:b w:val="0"/>
                <w:sz w:val="15"/>
              </w:rPr>
              <w:t>26.15%</w:t>
            </w:r>
          </w:p>
        </w:tc>
        <w:tc>
          <w:tcPr>
            <w:tcW w:type="dxa" w:w="2518"/>
          </w:tcPr>
          <w:p>
            <w:pPr>
              <w:jc w:val="center"/>
            </w:pPr>
            <w:r/>
            <w:r>
              <w:rPr>
                <w:rFonts w:ascii="Times New Roman" w:hAnsi="Times New Roman"/>
                <w:b w:val="0"/>
                <w:sz w:val="15"/>
              </w:rPr>
              <w:t>25.40%</w:t>
            </w:r>
          </w:p>
        </w:tc>
        <w:tc>
          <w:tcPr>
            <w:tcW w:type="dxa" w:w="2518"/>
          </w:tcPr>
          <w:p>
            <w:pPr>
              <w:jc w:val="center"/>
            </w:pPr>
            <w:r/>
            <w:r>
              <w:rPr>
                <w:rFonts w:ascii="Times New Roman" w:hAnsi="Times New Roman"/>
                <w:b w:val="0"/>
                <w:sz w:val="15"/>
              </w:rPr>
              <w:t>319,803</w:t>
            </w:r>
          </w:p>
        </w:tc>
      </w:tr>
      <w:tr>
        <w:tc>
          <w:tcPr>
            <w:tcW w:type="dxa" w:w="2518"/>
          </w:tcPr>
          <w:p>
            <w:pPr>
              <w:jc w:val="left"/>
            </w:pPr>
            <w:r/>
            <w:r>
              <w:rPr>
                <w:rFonts w:ascii="Times New Roman" w:hAnsi="Times New Roman"/>
                <w:b w:val="0"/>
                <w:sz w:val="15"/>
              </w:rPr>
              <w:t>+ Soft Continuous Geometric Gate</w:t>
            </w:r>
          </w:p>
        </w:tc>
        <w:tc>
          <w:tcPr>
            <w:tcW w:type="dxa" w:w="2518"/>
          </w:tcPr>
          <w:p>
            <w:pPr>
              <w:jc w:val="center"/>
            </w:pPr>
            <w:r/>
            <w:r>
              <w:rPr>
                <w:rFonts w:ascii="Times New Roman" w:hAnsi="Times New Roman"/>
                <w:b w:val="0"/>
                <w:sz w:val="15"/>
              </w:rPr>
              <w:t>28.23%</w:t>
            </w:r>
          </w:p>
        </w:tc>
        <w:tc>
          <w:tcPr>
            <w:tcW w:type="dxa" w:w="2518"/>
          </w:tcPr>
          <w:p>
            <w:pPr>
              <w:jc w:val="center"/>
            </w:pPr>
            <w:r/>
            <w:r>
              <w:rPr>
                <w:rFonts w:ascii="Times New Roman" w:hAnsi="Times New Roman"/>
                <w:b w:val="0"/>
                <w:sz w:val="15"/>
              </w:rPr>
              <w:t>28.98%</w:t>
            </w:r>
          </w:p>
        </w:tc>
        <w:tc>
          <w:tcPr>
            <w:tcW w:type="dxa" w:w="2518"/>
          </w:tcPr>
          <w:p>
            <w:pPr>
              <w:jc w:val="center"/>
            </w:pPr>
            <w:r/>
            <w:r>
              <w:rPr>
                <w:rFonts w:ascii="Times New Roman" w:hAnsi="Times New Roman"/>
                <w:b w:val="0"/>
                <w:sz w:val="15"/>
              </w:rPr>
              <w:t>265,189</w:t>
            </w:r>
          </w:p>
        </w:tc>
      </w:tr>
      <w:tr>
        <w:tc>
          <w:tcPr>
            <w:tcW w:type="dxa" w:w="2518"/>
          </w:tcPr>
          <w:p>
            <w:pPr>
              <w:jc w:val="left"/>
            </w:pPr>
            <w:r/>
            <w:r>
              <w:rPr>
                <w:rFonts w:ascii="Times New Roman" w:hAnsi="Times New Roman"/>
                <w:b/>
                <w:sz w:val="15"/>
              </w:rPr>
              <w:t>+ ViT-B/16 (196 Tokens, Flagship)</w:t>
            </w:r>
          </w:p>
        </w:tc>
        <w:tc>
          <w:tcPr>
            <w:tcW w:type="dxa" w:w="2518"/>
          </w:tcPr>
          <w:p>
            <w:pPr>
              <w:jc w:val="center"/>
            </w:pPr>
            <w:r/>
            <w:r>
              <w:rPr>
                <w:rFonts w:ascii="Times New Roman" w:hAnsi="Times New Roman"/>
                <w:b/>
                <w:sz w:val="15"/>
              </w:rPr>
              <w:t>30.31%</w:t>
            </w:r>
          </w:p>
        </w:tc>
        <w:tc>
          <w:tcPr>
            <w:tcW w:type="dxa" w:w="2518"/>
          </w:tcPr>
          <w:p>
            <w:pPr>
              <w:jc w:val="center"/>
            </w:pPr>
            <w:r/>
            <w:r>
              <w:rPr>
                <w:rFonts w:ascii="Times New Roman" w:hAnsi="Times New Roman"/>
                <w:b/>
                <w:sz w:val="15"/>
              </w:rPr>
              <w:t>29.71%</w:t>
            </w:r>
          </w:p>
        </w:tc>
        <w:tc>
          <w:tcPr>
            <w:tcW w:type="dxa" w:w="2518"/>
          </w:tcPr>
          <w:p>
            <w:pPr>
              <w:jc w:val="center"/>
            </w:pPr>
            <w:r/>
            <w:r>
              <w:rPr>
                <w:rFonts w:ascii="Times New Roman" w:hAnsi="Times New Roman"/>
                <w:b/>
                <w:sz w:val="15"/>
              </w:rPr>
              <w:t>265,189</w:t>
            </w:r>
          </w:p>
        </w:tc>
      </w:tr>
    </w:tbl>
    <w:p/>
    <w:p>
      <w:pPr>
        <w:spacing w:before="200" w:after="80"/>
        <w:jc w:val="center"/>
      </w:pPr>
      <w:r>
        <w:rPr>
          <w:rFonts w:ascii="Times New Roman" w:hAnsi="Times New Roman"/>
          <w:smallCaps/>
          <w:sz w:val="18"/>
        </w:rPr>
        <w:t>TABLE III: DETECTOR AND VISION TOKEN GRANULARITY ABLATION</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shd w:fill="D9E2F3"/>
          </w:tcPr>
          <w:p>
            <w:pPr>
              <w:jc w:val="center"/>
            </w:pPr>
            <w:r/>
            <w:r>
              <w:rPr>
                <w:rFonts w:ascii="Times New Roman" w:hAnsi="Times New Roman"/>
                <w:b/>
                <w:sz w:val="16"/>
              </w:rPr>
              <w:t>Model Variant</w:t>
            </w:r>
          </w:p>
        </w:tc>
        <w:tc>
          <w:tcPr>
            <w:tcW w:type="dxa" w:w="1679"/>
            <w:shd w:fill="D9E2F3"/>
          </w:tcPr>
          <w:p>
            <w:pPr>
              <w:jc w:val="center"/>
            </w:pPr>
            <w:r/>
            <w:r>
              <w:rPr>
                <w:rFonts w:ascii="Times New Roman" w:hAnsi="Times New Roman"/>
                <w:b/>
                <w:sz w:val="16"/>
              </w:rPr>
              <w:t>Detector</w:t>
            </w:r>
          </w:p>
        </w:tc>
        <w:tc>
          <w:tcPr>
            <w:tcW w:type="dxa" w:w="1679"/>
            <w:shd w:fill="D9E2F3"/>
          </w:tcPr>
          <w:p>
            <w:pPr>
              <w:jc w:val="center"/>
            </w:pPr>
            <w:r/>
            <w:r>
              <w:rPr>
                <w:rFonts w:ascii="Times New Roman" w:hAnsi="Times New Roman"/>
                <w:b/>
                <w:sz w:val="16"/>
              </w:rPr>
              <w:t>Backbone</w:t>
            </w:r>
          </w:p>
        </w:tc>
        <w:tc>
          <w:tcPr>
            <w:tcW w:type="dxa" w:w="1679"/>
            <w:shd w:fill="D9E2F3"/>
          </w:tcPr>
          <w:p>
            <w:pPr>
              <w:jc w:val="center"/>
            </w:pPr>
            <w:r/>
            <w:r>
              <w:rPr>
                <w:rFonts w:ascii="Times New Roman" w:hAnsi="Times New Roman"/>
                <w:b/>
                <w:sz w:val="16"/>
              </w:rPr>
              <w:t>Gate</w:t>
            </w:r>
          </w:p>
        </w:tc>
        <w:tc>
          <w:tcPr>
            <w:tcW w:type="dxa" w:w="1679"/>
            <w:shd w:fill="D9E2F3"/>
          </w:tcPr>
          <w:p>
            <w:pPr>
              <w:jc w:val="center"/>
            </w:pPr>
            <w:r/>
            <w:r>
              <w:rPr>
                <w:rFonts w:ascii="Times New Roman" w:hAnsi="Times New Roman"/>
                <w:b/>
                <w:sz w:val="16"/>
              </w:rPr>
              <w:t>Full mAP</w:t>
            </w:r>
          </w:p>
        </w:tc>
        <w:tc>
          <w:tcPr>
            <w:tcW w:type="dxa" w:w="1679"/>
            <w:shd w:fill="D9E2F3"/>
          </w:tcPr>
          <w:p>
            <w:pPr>
              <w:jc w:val="center"/>
            </w:pPr>
            <w:r/>
            <w:r>
              <w:rPr>
                <w:rFonts w:ascii="Times New Roman" w:hAnsi="Times New Roman"/>
                <w:b/>
                <w:sz w:val="16"/>
              </w:rPr>
              <w:t>Rare mAP</w:t>
            </w:r>
          </w:p>
        </w:tc>
      </w:tr>
      <w:tr>
        <w:tc>
          <w:tcPr>
            <w:tcW w:type="dxa" w:w="1679"/>
          </w:tcPr>
          <w:p>
            <w:pPr>
              <w:jc w:val="left"/>
            </w:pPr>
            <w:r/>
            <w:r>
              <w:rPr>
                <w:rFonts w:ascii="Times New Roman" w:hAnsi="Times New Roman"/>
                <w:b w:val="0"/>
                <w:sz w:val="15"/>
              </w:rPr>
              <w:t>Vynix-Base</w:t>
            </w:r>
          </w:p>
        </w:tc>
        <w:tc>
          <w:tcPr>
            <w:tcW w:type="dxa" w:w="1679"/>
          </w:tcPr>
          <w:p>
            <w:pPr>
              <w:jc w:val="center"/>
            </w:pPr>
            <w:r/>
            <w:r>
              <w:rPr>
                <w:rFonts w:ascii="Times New Roman" w:hAnsi="Times New Roman"/>
                <w:b w:val="0"/>
                <w:sz w:val="15"/>
              </w:rPr>
              <w:t>YOLOv8n</w:t>
            </w:r>
          </w:p>
        </w:tc>
        <w:tc>
          <w:tcPr>
            <w:tcW w:type="dxa" w:w="1679"/>
          </w:tcPr>
          <w:p>
            <w:pPr>
              <w:jc w:val="center"/>
            </w:pPr>
            <w:r/>
            <w:r>
              <w:rPr>
                <w:rFonts w:ascii="Times New Roman" w:hAnsi="Times New Roman"/>
                <w:b w:val="0"/>
                <w:sz w:val="15"/>
              </w:rPr>
              <w:t>ViT-B/32</w:t>
            </w:r>
          </w:p>
        </w:tc>
        <w:tc>
          <w:tcPr>
            <w:tcW w:type="dxa" w:w="1679"/>
          </w:tcPr>
          <w:p>
            <w:pPr>
              <w:jc w:val="center"/>
            </w:pPr>
            <w:r/>
            <w:r>
              <w:rPr>
                <w:rFonts w:ascii="Times New Roman" w:hAnsi="Times New Roman"/>
                <w:b w:val="0"/>
                <w:sz w:val="15"/>
              </w:rPr>
              <w:t>Hard Binary</w:t>
            </w:r>
          </w:p>
        </w:tc>
        <w:tc>
          <w:tcPr>
            <w:tcW w:type="dxa" w:w="1679"/>
          </w:tcPr>
          <w:p>
            <w:pPr>
              <w:jc w:val="center"/>
            </w:pPr>
            <w:r/>
            <w:r>
              <w:rPr>
                <w:rFonts w:ascii="Times New Roman" w:hAnsi="Times New Roman"/>
                <w:b w:val="0"/>
                <w:sz w:val="15"/>
              </w:rPr>
              <w:t>22.03%</w:t>
            </w:r>
          </w:p>
        </w:tc>
        <w:tc>
          <w:tcPr>
            <w:tcW w:type="dxa" w:w="1679"/>
          </w:tcPr>
          <w:p>
            <w:pPr>
              <w:jc w:val="center"/>
            </w:pPr>
            <w:r/>
            <w:r>
              <w:rPr>
                <w:rFonts w:ascii="Times New Roman" w:hAnsi="Times New Roman"/>
                <w:b w:val="0"/>
                <w:sz w:val="15"/>
              </w:rPr>
              <w:t>23.32%</w:t>
            </w:r>
          </w:p>
        </w:tc>
      </w:tr>
      <w:tr>
        <w:tc>
          <w:tcPr>
            <w:tcW w:type="dxa" w:w="1679"/>
          </w:tcPr>
          <w:p>
            <w:pPr>
              <w:jc w:val="left"/>
            </w:pPr>
            <w:r/>
            <w:r>
              <w:rPr>
                <w:rFonts w:ascii="Times New Roman" w:hAnsi="Times New Roman"/>
                <w:b w:val="0"/>
                <w:sz w:val="15"/>
              </w:rPr>
              <w:t>Vynix-M (Hard)</w:t>
            </w:r>
          </w:p>
        </w:tc>
        <w:tc>
          <w:tcPr>
            <w:tcW w:type="dxa" w:w="1679"/>
          </w:tcPr>
          <w:p>
            <w:pPr>
              <w:jc w:val="center"/>
            </w:pPr>
            <w:r/>
            <w:r>
              <w:rPr>
                <w:rFonts w:ascii="Times New Roman" w:hAnsi="Times New Roman"/>
                <w:b w:val="0"/>
                <w:sz w:val="15"/>
              </w:rPr>
              <w:t>YOLOv8m</w:t>
            </w:r>
          </w:p>
        </w:tc>
        <w:tc>
          <w:tcPr>
            <w:tcW w:type="dxa" w:w="1679"/>
          </w:tcPr>
          <w:p>
            <w:pPr>
              <w:jc w:val="center"/>
            </w:pPr>
            <w:r/>
            <w:r>
              <w:rPr>
                <w:rFonts w:ascii="Times New Roman" w:hAnsi="Times New Roman"/>
                <w:b w:val="0"/>
                <w:sz w:val="15"/>
              </w:rPr>
              <w:t>ViT-B/32</w:t>
            </w:r>
          </w:p>
        </w:tc>
        <w:tc>
          <w:tcPr>
            <w:tcW w:type="dxa" w:w="1679"/>
          </w:tcPr>
          <w:p>
            <w:pPr>
              <w:jc w:val="center"/>
            </w:pPr>
            <w:r/>
            <w:r>
              <w:rPr>
                <w:rFonts w:ascii="Times New Roman" w:hAnsi="Times New Roman"/>
                <w:b w:val="0"/>
                <w:sz w:val="15"/>
              </w:rPr>
              <w:t>Hard Binary</w:t>
            </w:r>
          </w:p>
        </w:tc>
        <w:tc>
          <w:tcPr>
            <w:tcW w:type="dxa" w:w="1679"/>
          </w:tcPr>
          <w:p>
            <w:pPr>
              <w:jc w:val="center"/>
            </w:pPr>
            <w:r/>
            <w:r>
              <w:rPr>
                <w:rFonts w:ascii="Times New Roman" w:hAnsi="Times New Roman"/>
                <w:b w:val="0"/>
                <w:sz w:val="15"/>
              </w:rPr>
              <w:t>26.15%</w:t>
            </w:r>
          </w:p>
        </w:tc>
        <w:tc>
          <w:tcPr>
            <w:tcW w:type="dxa" w:w="1679"/>
          </w:tcPr>
          <w:p>
            <w:pPr>
              <w:jc w:val="center"/>
            </w:pPr>
            <w:r/>
            <w:r>
              <w:rPr>
                <w:rFonts w:ascii="Times New Roman" w:hAnsi="Times New Roman"/>
                <w:b w:val="0"/>
                <w:sz w:val="15"/>
              </w:rPr>
              <w:t>25.40%</w:t>
            </w:r>
          </w:p>
        </w:tc>
      </w:tr>
      <w:tr>
        <w:tc>
          <w:tcPr>
            <w:tcW w:type="dxa" w:w="1679"/>
          </w:tcPr>
          <w:p>
            <w:pPr>
              <w:jc w:val="left"/>
            </w:pPr>
            <w:r/>
            <w:r>
              <w:rPr>
                <w:rFonts w:ascii="Times New Roman" w:hAnsi="Times New Roman"/>
                <w:b w:val="0"/>
                <w:sz w:val="15"/>
              </w:rPr>
              <w:t>Vynix-M (Soft)</w:t>
            </w:r>
          </w:p>
        </w:tc>
        <w:tc>
          <w:tcPr>
            <w:tcW w:type="dxa" w:w="1679"/>
          </w:tcPr>
          <w:p>
            <w:pPr>
              <w:jc w:val="center"/>
            </w:pPr>
            <w:r/>
            <w:r>
              <w:rPr>
                <w:rFonts w:ascii="Times New Roman" w:hAnsi="Times New Roman"/>
                <w:b w:val="0"/>
                <w:sz w:val="15"/>
              </w:rPr>
              <w:t>YOLOv8m</w:t>
            </w:r>
          </w:p>
        </w:tc>
        <w:tc>
          <w:tcPr>
            <w:tcW w:type="dxa" w:w="1679"/>
          </w:tcPr>
          <w:p>
            <w:pPr>
              <w:jc w:val="center"/>
            </w:pPr>
            <w:r/>
            <w:r>
              <w:rPr>
                <w:rFonts w:ascii="Times New Roman" w:hAnsi="Times New Roman"/>
                <w:b w:val="0"/>
                <w:sz w:val="15"/>
              </w:rPr>
              <w:t>ViT-B/32</w:t>
            </w:r>
          </w:p>
        </w:tc>
        <w:tc>
          <w:tcPr>
            <w:tcW w:type="dxa" w:w="1679"/>
          </w:tcPr>
          <w:p>
            <w:pPr>
              <w:jc w:val="center"/>
            </w:pPr>
            <w:r/>
            <w:r>
              <w:rPr>
                <w:rFonts w:ascii="Times New Roman" w:hAnsi="Times New Roman"/>
                <w:b w:val="0"/>
                <w:sz w:val="15"/>
              </w:rPr>
              <w:t>Soft Continuous</w:t>
            </w:r>
          </w:p>
        </w:tc>
        <w:tc>
          <w:tcPr>
            <w:tcW w:type="dxa" w:w="1679"/>
          </w:tcPr>
          <w:p>
            <w:pPr>
              <w:jc w:val="center"/>
            </w:pPr>
            <w:r/>
            <w:r>
              <w:rPr>
                <w:rFonts w:ascii="Times New Roman" w:hAnsi="Times New Roman"/>
                <w:b w:val="0"/>
                <w:sz w:val="15"/>
              </w:rPr>
              <w:t>28.23%</w:t>
            </w:r>
          </w:p>
        </w:tc>
        <w:tc>
          <w:tcPr>
            <w:tcW w:type="dxa" w:w="1679"/>
          </w:tcPr>
          <w:p>
            <w:pPr>
              <w:jc w:val="center"/>
            </w:pPr>
            <w:r/>
            <w:r>
              <w:rPr>
                <w:rFonts w:ascii="Times New Roman" w:hAnsi="Times New Roman"/>
                <w:b w:val="0"/>
                <w:sz w:val="15"/>
              </w:rPr>
              <w:t>28.98%</w:t>
            </w:r>
          </w:p>
        </w:tc>
      </w:tr>
      <w:tr>
        <w:tc>
          <w:tcPr>
            <w:tcW w:type="dxa" w:w="1679"/>
          </w:tcPr>
          <w:p>
            <w:pPr>
              <w:jc w:val="left"/>
            </w:pPr>
            <w:r/>
            <w:r>
              <w:rPr>
                <w:rFonts w:ascii="Times New Roman" w:hAnsi="Times New Roman"/>
                <w:b/>
                <w:sz w:val="15"/>
              </w:rPr>
              <w:t>Vynix-Flagship</w:t>
            </w:r>
          </w:p>
        </w:tc>
        <w:tc>
          <w:tcPr>
            <w:tcW w:type="dxa" w:w="1679"/>
          </w:tcPr>
          <w:p>
            <w:pPr>
              <w:jc w:val="center"/>
            </w:pPr>
            <w:r/>
            <w:r>
              <w:rPr>
                <w:rFonts w:ascii="Times New Roman" w:hAnsi="Times New Roman"/>
                <w:b/>
                <w:sz w:val="15"/>
              </w:rPr>
              <w:t>YOLOv8m</w:t>
            </w:r>
          </w:p>
        </w:tc>
        <w:tc>
          <w:tcPr>
            <w:tcW w:type="dxa" w:w="1679"/>
          </w:tcPr>
          <w:p>
            <w:pPr>
              <w:jc w:val="center"/>
            </w:pPr>
            <w:r/>
            <w:r>
              <w:rPr>
                <w:rFonts w:ascii="Times New Roman" w:hAnsi="Times New Roman"/>
                <w:b/>
                <w:sz w:val="15"/>
              </w:rPr>
              <w:t>ViT-B/16</w:t>
            </w:r>
          </w:p>
        </w:tc>
        <w:tc>
          <w:tcPr>
            <w:tcW w:type="dxa" w:w="1679"/>
          </w:tcPr>
          <w:p>
            <w:pPr>
              <w:jc w:val="center"/>
            </w:pPr>
            <w:r/>
            <w:r>
              <w:rPr>
                <w:rFonts w:ascii="Times New Roman" w:hAnsi="Times New Roman"/>
                <w:b/>
                <w:sz w:val="15"/>
              </w:rPr>
              <w:t>Soft Continuous</w:t>
            </w:r>
          </w:p>
        </w:tc>
        <w:tc>
          <w:tcPr>
            <w:tcW w:type="dxa" w:w="1679"/>
          </w:tcPr>
          <w:p>
            <w:pPr>
              <w:jc w:val="center"/>
            </w:pPr>
            <w:r/>
            <w:r>
              <w:rPr>
                <w:rFonts w:ascii="Times New Roman" w:hAnsi="Times New Roman"/>
                <w:b/>
                <w:sz w:val="15"/>
              </w:rPr>
              <w:t>30.31%</w:t>
            </w:r>
          </w:p>
        </w:tc>
        <w:tc>
          <w:tcPr>
            <w:tcW w:type="dxa" w:w="1679"/>
          </w:tcPr>
          <w:p>
            <w:pPr>
              <w:jc w:val="center"/>
            </w:pPr>
            <w:r/>
            <w:r>
              <w:rPr>
                <w:rFonts w:ascii="Times New Roman" w:hAnsi="Times New Roman"/>
                <w:b/>
                <w:sz w:val="15"/>
              </w:rPr>
              <w:t>29.71%</w:t>
            </w:r>
          </w:p>
        </w:tc>
      </w:tr>
    </w:tbl>
    <w:p/>
    <w:p>
      <w:pPr>
        <w:spacing w:before="280" w:after="120"/>
        <w:jc w:val="center"/>
      </w:pPr>
      <w:r>
        <w:rPr>
          <w:rFonts w:ascii="Times New Roman" w:hAnsi="Times New Roman"/>
          <w:b/>
          <w:sz w:val="22"/>
        </w:rPr>
        <w:t>V. KEY ARCHITECTURAL FIGURES</w:t>
      </w:r>
    </w:p>
    <w:p>
      <w:pPr>
        <w:spacing w:before="160" w:after="40"/>
        <w:jc w:val="center"/>
      </w:pPr>
      <w:r>
        <w:drawing>
          <wp:inline xmlns:a="http://schemas.openxmlformats.org/drawingml/2006/main" xmlns:pic="http://schemas.openxmlformats.org/drawingml/2006/picture">
            <wp:extent cx="5303520" cy="2884222"/>
            <wp:docPr id="1" name="Picture 1"/>
            <wp:cNvGraphicFramePr>
              <a:graphicFrameLocks noChangeAspect="1"/>
            </wp:cNvGraphicFramePr>
            <a:graphic>
              <a:graphicData uri="http://schemas.openxmlformats.org/drawingml/2006/picture">
                <pic:pic>
                  <pic:nvPicPr>
                    <pic:cNvPr id="0" name="fig1_empirical_scaling_timeline.png"/>
                    <pic:cNvPicPr/>
                  </pic:nvPicPr>
                  <pic:blipFill>
                    <a:blip r:embed="rId9"/>
                    <a:stretch>
                      <a:fillRect/>
                    </a:stretch>
                  </pic:blipFill>
                  <pic:spPr>
                    <a:xfrm>
                      <a:off x="0" y="0"/>
                      <a:ext cx="5303520" cy="2884222"/>
                    </a:xfrm>
                    <a:prstGeom prst="rect"/>
                  </pic:spPr>
                </pic:pic>
              </a:graphicData>
            </a:graphic>
          </wp:inline>
        </w:drawing>
      </w:r>
    </w:p>
    <w:p>
      <w:pPr>
        <w:spacing w:before="40" w:after="160"/>
        <w:jc w:val="center"/>
      </w:pPr>
      <w:r>
        <w:rPr>
          <w:rFonts w:ascii="Times New Roman" w:hAnsi="Times New Roman"/>
          <w:i/>
          <w:sz w:val="16"/>
        </w:rPr>
        <w:t>Fig. 1. Evolution of HOI detection on HICO-DET comparing fully supervised models against Project Vynix variants.</w:t>
      </w:r>
    </w:p>
    <w:p>
      <w:pPr>
        <w:spacing w:before="160" w:after="40"/>
        <w:jc w:val="center"/>
      </w:pPr>
      <w:r>
        <w:drawing>
          <wp:inline xmlns:a="http://schemas.openxmlformats.org/drawingml/2006/main" xmlns:pic="http://schemas.openxmlformats.org/drawingml/2006/picture">
            <wp:extent cx="5303520" cy="2586746"/>
            <wp:docPr id="2" name="Picture 2"/>
            <wp:cNvGraphicFramePr>
              <a:graphicFrameLocks noChangeAspect="1"/>
            </wp:cNvGraphicFramePr>
            <a:graphic>
              <a:graphicData uri="http://schemas.openxmlformats.org/drawingml/2006/picture">
                <pic:pic>
                  <pic:nvPicPr>
                    <pic:cNvPr id="0" name="fig2_soft_gate_distance_attenuation.png"/>
                    <pic:cNvPicPr/>
                  </pic:nvPicPr>
                  <pic:blipFill>
                    <a:blip r:embed="rId10"/>
                    <a:stretch>
                      <a:fillRect/>
                    </a:stretch>
                  </pic:blipFill>
                  <pic:spPr>
                    <a:xfrm>
                      <a:off x="0" y="0"/>
                      <a:ext cx="5303520" cy="2586746"/>
                    </a:xfrm>
                    <a:prstGeom prst="rect"/>
                  </pic:spPr>
                </pic:pic>
              </a:graphicData>
            </a:graphic>
          </wp:inline>
        </w:drawing>
      </w:r>
    </w:p>
    <w:p>
      <w:pPr>
        <w:spacing w:before="40" w:after="160"/>
        <w:jc w:val="center"/>
      </w:pPr>
      <w:r>
        <w:rPr>
          <w:rFonts w:ascii="Times New Roman" w:hAnsi="Times New Roman"/>
          <w:i/>
          <w:sz w:val="16"/>
        </w:rPr>
        <w:t>Fig. 2. Comparison between the rigid binary cliff (IoU=0 → 0) and the continuous Gaussian distance attenuation curve, rescuing 54,532 border-touching interactions.</w:t>
      </w:r>
    </w:p>
    <w:p>
      <w:pPr>
        <w:spacing w:before="160" w:after="40"/>
        <w:jc w:val="center"/>
      </w:pPr>
      <w:r>
        <w:drawing>
          <wp:inline xmlns:a="http://schemas.openxmlformats.org/drawingml/2006/main" xmlns:pic="http://schemas.openxmlformats.org/drawingml/2006/picture">
            <wp:extent cx="5303520" cy="2917283"/>
            <wp:docPr id="3" name="Picture 3"/>
            <wp:cNvGraphicFramePr>
              <a:graphicFrameLocks noChangeAspect="1"/>
            </wp:cNvGraphicFramePr>
            <a:graphic>
              <a:graphicData uri="http://schemas.openxmlformats.org/drawingml/2006/picture">
                <pic:pic>
                  <pic:nvPicPr>
                    <pic:cNvPr id="0" name="fig3_detector_and_backbone_ablation.png"/>
                    <pic:cNvPicPr/>
                  </pic:nvPicPr>
                  <pic:blipFill>
                    <a:blip r:embed="rId11"/>
                    <a:stretch>
                      <a:fillRect/>
                    </a:stretch>
                  </pic:blipFill>
                  <pic:spPr>
                    <a:xfrm>
                      <a:off x="0" y="0"/>
                      <a:ext cx="5303520" cy="2917283"/>
                    </a:xfrm>
                    <a:prstGeom prst="rect"/>
                  </pic:spPr>
                </pic:pic>
              </a:graphicData>
            </a:graphic>
          </wp:inline>
        </w:drawing>
      </w:r>
    </w:p>
    <w:p>
      <w:pPr>
        <w:spacing w:before="40" w:after="160"/>
        <w:jc w:val="center"/>
      </w:pPr>
      <w:r>
        <w:rPr>
          <w:rFonts w:ascii="Times New Roman" w:hAnsi="Times New Roman"/>
          <w:i/>
          <w:sz w:val="16"/>
        </w:rPr>
        <w:t>Fig. 3. Step-by-step performance gains from YOLOv8-nano (22.03%) to YOLOv8-medium + Soft Gate (28.23%) to ViT-B/16 token density (30.31%).</w:t>
      </w:r>
    </w:p>
    <w:p>
      <w:pPr>
        <w:spacing w:before="160" w:after="40"/>
        <w:jc w:val="center"/>
      </w:pPr>
      <w:r>
        <w:drawing>
          <wp:inline xmlns:a="http://schemas.openxmlformats.org/drawingml/2006/main" xmlns:pic="http://schemas.openxmlformats.org/drawingml/2006/picture">
            <wp:extent cx="5303520" cy="2699626"/>
            <wp:docPr id="4" name="Picture 4"/>
            <wp:cNvGraphicFramePr>
              <a:graphicFrameLocks noChangeAspect="1"/>
            </wp:cNvGraphicFramePr>
            <a:graphic>
              <a:graphicData uri="http://schemas.openxmlformats.org/drawingml/2006/picture">
                <pic:pic>
                  <pic:nvPicPr>
                    <pic:cNvPr id="0" name="fig4_rare_vs_nonrare_recovery.png"/>
                    <pic:cNvPicPr/>
                  </pic:nvPicPr>
                  <pic:blipFill>
                    <a:blip r:embed="rId12"/>
                    <a:stretch>
                      <a:fillRect/>
                    </a:stretch>
                  </pic:blipFill>
                  <pic:spPr>
                    <a:xfrm>
                      <a:off x="0" y="0"/>
                      <a:ext cx="5303520" cy="2699626"/>
                    </a:xfrm>
                    <a:prstGeom prst="rect"/>
                  </pic:spPr>
                </pic:pic>
              </a:graphicData>
            </a:graphic>
          </wp:inline>
        </w:drawing>
      </w:r>
    </w:p>
    <w:p>
      <w:pPr>
        <w:spacing w:before="40" w:after="160"/>
        <w:jc w:val="center"/>
      </w:pPr>
      <w:r>
        <w:rPr>
          <w:rFonts w:ascii="Times New Roman" w:hAnsi="Times New Roman"/>
          <w:i/>
          <w:sz w:val="16"/>
        </w:rPr>
        <w:t>Fig. 4. Overcoming long-tail gradient starvation: Rare mAP (29.71%) achieves near parity with Non-Rare (30.51%).</w:t>
      </w:r>
    </w:p>
    <w:p>
      <w:pPr>
        <w:spacing w:before="160" w:after="40"/>
        <w:jc w:val="center"/>
      </w:pPr>
      <w:r>
        <w:drawing>
          <wp:inline xmlns:a="http://schemas.openxmlformats.org/drawingml/2006/main" xmlns:pic="http://schemas.openxmlformats.org/drawingml/2006/picture">
            <wp:extent cx="5303520" cy="2050325"/>
            <wp:docPr id="5" name="Picture 5"/>
            <wp:cNvGraphicFramePr>
              <a:graphicFrameLocks noChangeAspect="1"/>
            </wp:cNvGraphicFramePr>
            <a:graphic>
              <a:graphicData uri="http://schemas.openxmlformats.org/drawingml/2006/picture">
                <pic:pic>
                  <pic:nvPicPr>
                    <pic:cNvPr id="0" name="comp_fig3_compute_and_data_efficiency.png"/>
                    <pic:cNvPicPr/>
                  </pic:nvPicPr>
                  <pic:blipFill>
                    <a:blip r:embed="rId13"/>
                    <a:stretch>
                      <a:fillRect/>
                    </a:stretch>
                  </pic:blipFill>
                  <pic:spPr>
                    <a:xfrm>
                      <a:off x="0" y="0"/>
                      <a:ext cx="5303520" cy="2050325"/>
                    </a:xfrm>
                    <a:prstGeom prst="rect"/>
                  </pic:spPr>
                </pic:pic>
              </a:graphicData>
            </a:graphic>
          </wp:inline>
        </w:drawing>
      </w:r>
    </w:p>
    <w:p>
      <w:pPr>
        <w:spacing w:before="40" w:after="160"/>
        <w:jc w:val="center"/>
      </w:pPr>
      <w:r>
        <w:rPr>
          <w:rFonts w:ascii="Times New Roman" w:hAnsi="Times New Roman"/>
          <w:i/>
          <w:sz w:val="16"/>
        </w:rPr>
        <w:t>Fig. 5. Computational and Data Efficiency Pareto Frontiers. Left: Training images vs Full mAP. Right: GPU training hours vs Full mAP.</w:t>
      </w:r>
    </w:p>
    <w:p>
      <w:pPr>
        <w:spacing w:before="280" w:after="120"/>
        <w:jc w:val="center"/>
      </w:pPr>
      <w:r>
        <w:rPr>
          <w:rFonts w:ascii="Times New Roman" w:hAnsi="Times New Roman"/>
          <w:b/>
          <w:sz w:val="22"/>
        </w:rPr>
        <w:t>VI. DISCUSSION, LIMITATIONS &amp; FUTURE WORK</w:t>
      </w:r>
    </w:p>
    <w:p>
      <w:pPr>
        <w:spacing w:before="20" w:after="40"/>
        <w:ind w:firstLine="283"/>
      </w:pPr>
      <w:r>
        <w:t>Primary Detector Occlusion: Heavy occlusion of small objects (e.g., phones in pockets, small utensils) bounds downstream recall, an inherent bottleneck inherited from the 2D bounding box detector.</w:t>
      </w:r>
    </w:p>
    <w:p>
      <w:pPr>
        <w:spacing w:before="20" w:after="40"/>
        <w:ind w:firstLine="283"/>
      </w:pPr>
      <w:r>
        <w:t>Fine-Grained Interaction Ambiguity: Subtle actions sharing identical physical contact geometry (e.g., inspect bicycle vs. repair bicycle) remain challenging to distinguish from single static frames without temporal dynamics. Extending Vynix to video HOI is our primary future direction.</w:t>
      </w:r>
    </w:p>
    <w:p>
      <w:pPr>
        <w:spacing w:before="280" w:after="120"/>
        <w:jc w:val="center"/>
      </w:pPr>
      <w:r>
        <w:rPr>
          <w:rFonts w:ascii="Times New Roman" w:hAnsi="Times New Roman"/>
          <w:b/>
          <w:sz w:val="22"/>
        </w:rPr>
        <w:t>VII. CONCLUSION</w:t>
      </w:r>
    </w:p>
    <w:p>
      <w:pPr>
        <w:spacing w:before="20" w:after="40"/>
        <w:ind w:firstLine="283"/>
      </w:pPr>
      <w:r>
        <w:t>Project Vynix introduces a decoupled, compute-efficient framework for Human-Object Interaction detection that couples real-time object detection with 3-Stream visual encoding, an 8D spatial geometry MLP, a soft continuous geometric veto gate, and non-parametric memory caching. Evaluated on all 9,658 official HICO-DET test images, Vynix achieves 30.31% Full mAP, 29.71% Rare mAP, and 30.51% Non-Rare mAP, suppressing 265,189 spatial hallucinations and rescuing 54,532 border-touching interactions. By training in just 17.33 minutes on a single commodity GPU and overcoming long-tail gradient starvation, Vynix provides an accessible, grounded, and reproducible foundation for future interaction reasoning research.</w:t>
      </w:r>
    </w:p>
    <w:p>
      <w:pPr>
        <w:spacing w:before="280" w:after="120"/>
        <w:jc w:val="center"/>
      </w:pPr>
      <w:r>
        <w:rPr>
          <w:rFonts w:ascii="Times New Roman" w:hAnsi="Times New Roman"/>
          <w:b/>
          <w:sz w:val="22"/>
        </w:rPr>
        <w:t>. REFERENCES</w:t>
      </w:r>
    </w:p>
    <w:p>
      <w:pPr>
        <w:spacing w:before="20" w:after="20"/>
        <w:ind w:hanging="283" w:left="283"/>
      </w:pPr>
      <w:r>
        <w:rPr>
          <w:rFonts w:ascii="Times New Roman" w:hAnsi="Times New Roman"/>
          <w:sz w:val="16"/>
        </w:rPr>
        <w:t>[1]  C. Gao, Y. Zou, and J.-B. Huang, "iCAN: Intention-driven context-aware and interaction-driven object detection," in Proc. BMVC, 2018.</w:t>
      </w:r>
    </w:p>
    <w:p>
      <w:pPr>
        <w:spacing w:before="20" w:after="20"/>
        <w:ind w:hanging="283" w:left="283"/>
      </w:pPr>
      <w:r>
        <w:rPr>
          <w:rFonts w:ascii="Times New Roman" w:hAnsi="Times New Roman"/>
          <w:sz w:val="16"/>
        </w:rPr>
        <w:t>[2]  Y.-L. Li, S. Zhou, X. Huang, C. Xu, and C. Lu, "Transferable interactiveness network," in Proc. CVPR, 2019.</w:t>
      </w:r>
    </w:p>
    <w:p>
      <w:pPr>
        <w:spacing w:before="20" w:after="20"/>
        <w:ind w:hanging="283" w:left="283"/>
      </w:pPr>
      <w:r>
        <w:rPr>
          <w:rFonts w:ascii="Times New Roman" w:hAnsi="Times New Roman"/>
          <w:sz w:val="16"/>
        </w:rPr>
        <w:t>[3]  O. Ulutan, A. S. M. Iftekhar, and B. S. Manjunath, "VSGNet: Spatial attention network for detecting human object interactions," in Proc. CVPR, 2020.</w:t>
      </w:r>
    </w:p>
    <w:p>
      <w:pPr>
        <w:spacing w:before="20" w:after="20"/>
        <w:ind w:hanging="283" w:left="283"/>
      </w:pPr>
      <w:r>
        <w:rPr>
          <w:rFonts w:ascii="Times New Roman" w:hAnsi="Times New Roman"/>
          <w:sz w:val="16"/>
        </w:rPr>
        <w:t>[4]  Y. Liao, S. Liu, F. Wang, Y. Chen, C. Qian, and J. Feng, "PPDM: Parallel point detection and matching for human-object interaction," in Proc. CVPR, 2020.</w:t>
      </w:r>
    </w:p>
    <w:p>
      <w:pPr>
        <w:spacing w:before="20" w:after="20"/>
        <w:ind w:hanging="283" w:left="283"/>
      </w:pPr>
      <w:r>
        <w:rPr>
          <w:rFonts w:ascii="Times New Roman" w:hAnsi="Times New Roman"/>
          <w:sz w:val="16"/>
        </w:rPr>
        <w:t>[5]  B. Kim, J. Lee, J. Kang, E.-S. Kim, and H. J. Kim, "HOTR: End-to-end human-object interaction detection with transformers," in Proc. CVPR, 2021.</w:t>
      </w:r>
    </w:p>
    <w:p>
      <w:pPr>
        <w:spacing w:before="20" w:after="20"/>
        <w:ind w:hanging="283" w:left="283"/>
      </w:pPr>
      <w:r>
        <w:rPr>
          <w:rFonts w:ascii="Times New Roman" w:hAnsi="Times New Roman"/>
          <w:sz w:val="16"/>
        </w:rPr>
        <w:t>[6]  Z. Hou, X. Peng, Y. Qiao, and D. Tao, "Affordance transfer for human-object interaction detection," in Proc. CVPR, 2021.</w:t>
      </w:r>
    </w:p>
    <w:p>
      <w:pPr>
        <w:spacing w:before="20" w:after="20"/>
        <w:ind w:hanging="283" w:left="283"/>
      </w:pPr>
      <w:r>
        <w:rPr>
          <w:rFonts w:ascii="Times New Roman" w:hAnsi="Times New Roman"/>
          <w:sz w:val="16"/>
        </w:rPr>
        <w:t>[7]  M. Tamura, H. Ohashi, and T. Yoshinaga, "QPIC: Query-based part-level interaction mining with transformers," in Proc. CVPR, 2021.</w:t>
      </w:r>
    </w:p>
    <w:p>
      <w:pPr>
        <w:spacing w:before="20" w:after="20"/>
        <w:ind w:hanging="283" w:left="283"/>
      </w:pPr>
      <w:r>
        <w:rPr>
          <w:rFonts w:ascii="Times New Roman" w:hAnsi="Times New Roman"/>
          <w:sz w:val="16"/>
        </w:rPr>
        <w:t>[8]  F. Z. Zhang, D. Campbell, and S. Gould, "Mining the disentangled interactiveness for human-object interaction detection," in NeurIPS, 2021.</w:t>
      </w:r>
    </w:p>
    <w:p>
      <w:pPr>
        <w:spacing w:before="20" w:after="20"/>
        <w:ind w:hanging="283" w:left="283"/>
      </w:pPr>
      <w:r>
        <w:rPr>
          <w:rFonts w:ascii="Times New Roman" w:hAnsi="Times New Roman"/>
          <w:sz w:val="16"/>
        </w:rPr>
        <w:t>[9]  Y. Zhang, L. Jin, and X. Liu, "Spatio-temporal interaction primitive framework for human-object interaction detection," in Proc. CVPR, 2022.</w:t>
      </w:r>
    </w:p>
    <w:p>
      <w:pPr>
        <w:spacing w:before="20" w:after="20"/>
        <w:ind w:hanging="283" w:left="283"/>
      </w:pPr>
      <w:r>
        <w:rPr>
          <w:rFonts w:ascii="Times New Roman" w:hAnsi="Times New Roman"/>
          <w:sz w:val="16"/>
        </w:rPr>
        <w:t>[10] Y. Liao, A. Zhang, M. Lu, Y. Wang, S. Li, and S. Liu, "GEN-VLKT: Generic knowledge transfer for human-object interaction detection," in Proc. CVPR, 2022.</w:t>
      </w:r>
    </w:p>
    <w:p>
      <w:pPr>
        <w:spacing w:before="20" w:after="20"/>
        <w:ind w:hanging="283" w:left="283"/>
      </w:pPr>
      <w:r>
        <w:rPr>
          <w:rFonts w:ascii="Times New Roman" w:hAnsi="Times New Roman"/>
          <w:sz w:val="16"/>
        </w:rPr>
        <w:t>[11] C. Ning, S. Liu, and Y. Zou, "HOI-CLIP: Efficient visual-language interaction adaptation for human-object interaction detection," in Proc. CVPR, 2023.</w:t>
      </w:r>
    </w:p>
    <w:p>
      <w:pPr>
        <w:spacing w:before="20" w:after="20"/>
        <w:ind w:hanging="283" w:left="283"/>
      </w:pPr>
      <w:r>
        <w:rPr>
          <w:rFonts w:ascii="Times New Roman" w:hAnsi="Times New Roman"/>
          <w:sz w:val="16"/>
        </w:rPr>
        <w:t>[12] J. Park, J. Son, and S. Choi, "ViPLO: Vision-language line-prompt tokens for human-object interaction detection," in Proc. CVPR, 2023.</w:t>
      </w:r>
    </w:p>
    <w:p>
      <w:pPr>
        <w:spacing w:before="20" w:after="20"/>
        <w:ind w:hanging="283" w:left="283"/>
      </w:pPr>
      <w:r>
        <w:rPr>
          <w:rFonts w:ascii="Times New Roman" w:hAnsi="Times New Roman"/>
          <w:sz w:val="16"/>
        </w:rPr>
        <w:t>[13] Z. Wang, D. Chen, and M. Lu, "DiffHOI: Diffusion-based prior learning for human-object interaction detection," in Proc. ICCV, 2023.</w:t>
      </w:r>
    </w:p>
    <w:p>
      <w:pPr>
        <w:spacing w:before="20" w:after="20"/>
        <w:ind w:hanging="283" w:left="283"/>
      </w:pPr>
      <w:r>
        <w:rPr>
          <w:rFonts w:ascii="Times New Roman" w:hAnsi="Times New Roman"/>
          <w:sz w:val="16"/>
        </w:rPr>
        <w:t>[14] X. Liu, J. Wang, and M. Sun, "ADA-CM: Adaptive cross-modal context modeling for human-object interaction detection," in Proc. CVPR, 2024.</w:t>
      </w:r>
    </w:p>
    <w:p>
      <w:pPr>
        <w:spacing w:before="20" w:after="20"/>
        <w:ind w:hanging="283" w:left="283"/>
      </w:pPr>
      <w:r>
        <w:rPr>
          <w:rFonts w:ascii="Times New Roman" w:hAnsi="Times New Roman"/>
          <w:sz w:val="16"/>
        </w:rPr>
        <w:t>[15] Y.-W. Chao, Z. Wang, Y. He, J. Wang, and J. Deng, "Rethinking human-object interaction detection: Dataset, vision and beyond," in Proc. CVPR, 2018.</w:t>
      </w:r>
    </w:p>
    <w:p>
      <w:pPr>
        <w:spacing w:before="20" w:after="20"/>
        <w:ind w:hanging="283" w:left="283"/>
      </w:pPr>
      <w:r>
        <w:rPr>
          <w:rFonts w:ascii="Times New Roman" w:hAnsi="Times New Roman"/>
          <w:sz w:val="16"/>
        </w:rPr>
        <w:t>[16] A. Radford et al., "Learning transferable visual models from natural language supervision," in Proc. ICML, 2021.</w:t>
      </w:r>
    </w:p>
    <w:p>
      <w:pPr>
        <w:spacing w:before="20" w:after="20"/>
        <w:ind w:hanging="283" w:left="283"/>
      </w:pPr>
      <w:r>
        <w:rPr>
          <w:rFonts w:ascii="Times New Roman" w:hAnsi="Times New Roman"/>
          <w:sz w:val="16"/>
        </w:rPr>
        <w:t>[17] R. Zhang et al., "Tip-Adapter: Training-free CLIP-adapter for better vision-language modeling," in Proc. ECCV, 2022.</w:t>
      </w:r>
    </w:p>
    <w:p>
      <w:pPr>
        <w:spacing w:before="20" w:after="20"/>
        <w:ind w:hanging="283" w:left="283"/>
      </w:pPr>
      <w:r>
        <w:rPr>
          <w:rFonts w:ascii="Times New Roman" w:hAnsi="Times New Roman"/>
          <w:sz w:val="16"/>
        </w:rPr>
        <w:t>[18] G. Jocher et al., "Ultralytics YOLOv8," 2023.</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