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4472C4"/>
          <w:sz w:val="32"/>
          <w:szCs w:val="32"/>
        </w:rPr>
        <w:t xml:space="preserve">PRODUCT REQUIREMENT DOCUMENT (PRD)</w:t>
      </w:r>
    </w:p>
    <w:p>
      <w:pPr>
        <w:spacing w:after="400"/>
        <w:jc w:val="center"/>
      </w:pPr>
      <w:r>
        <w:rPr>
          <w:rFonts w:ascii="Calibri" w:cs="Calibri" w:eastAsia="Calibri" w:hAnsi="Calibri"/>
          <w:b/>
          <w:bCs/>
          <w:color w:val="1B8A4A"/>
          <w:sz w:val="24"/>
          <w:szCs w:val="24"/>
        </w:rPr>
        <w:t xml:space="preserve">PRAGATI AI — Industrial Sustainability Intelligence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4F5F4"/>
            <w:tcMar>
              <w:top w:type="dxa" w:w="120"/>
              <w:left w:type="dxa" w:w="180"/>
              <w:bottom w:type="dxa" w:w="120"/>
              <w:right w:type="dxa" w:w="180"/>
            </w:tcMar>
          </w:tcPr>
          <w:p>
            <w:r>
              <w:rPr>
                <w:rFonts w:ascii="Calibri" w:cs="Calibri" w:eastAsia="Calibri" w:hAnsi="Calibri"/>
                <w:b/>
                <w:bCs/>
                <w:sz w:val="18"/>
                <w:szCs w:val="18"/>
              </w:rPr>
              <w:t xml:space="preserve">Version: </w:t>
            </w:r>
            <w:r>
              <w:rPr>
                <w:rFonts w:ascii="Calibri" w:cs="Calibri" w:eastAsia="Calibri" w:hAnsi="Calibri"/>
                <w:sz w:val="18"/>
                <w:szCs w:val="18"/>
              </w:rPr>
              <w:t xml:space="preserve">1.0.0      </w:t>
            </w:r>
            <w:r>
              <w:rPr>
                <w:rFonts w:ascii="Calibri" w:cs="Calibri" w:eastAsia="Calibri" w:hAnsi="Calibri"/>
                <w:b/>
                <w:bCs/>
                <w:sz w:val="18"/>
                <w:szCs w:val="18"/>
              </w:rPr>
              <w:t xml:space="preserve">Date: </w:t>
            </w:r>
            <w:r>
              <w:rPr>
                <w:rFonts w:ascii="Calibri" w:cs="Calibri" w:eastAsia="Calibri" w:hAnsi="Calibri"/>
                <w:sz w:val="18"/>
                <w:szCs w:val="18"/>
              </w:rPr>
              <w:t xml:space="preserve">May 30, 2026      </w:t>
            </w:r>
            <w:r>
              <w:rPr>
                <w:rFonts w:ascii="Calibri" w:cs="Calibri" w:eastAsia="Calibri" w:hAnsi="Calibri"/>
                <w:b/>
                <w:bCs/>
                <w:sz w:val="18"/>
                <w:szCs w:val="18"/>
              </w:rPr>
              <w:t xml:space="preserve">Author: </w:t>
            </w:r>
            <w:r>
              <w:rPr>
                <w:rFonts w:ascii="Calibri" w:cs="Calibri" w:eastAsia="Calibri" w:hAnsi="Calibri"/>
                <w:sz w:val="18"/>
                <w:szCs w:val="18"/>
              </w:rPr>
              <w:t xml:space="preserve">Team PRAGATI      </w:t>
            </w:r>
            <w:r>
              <w:rPr>
                <w:rFonts w:ascii="Calibri" w:cs="Calibri" w:eastAsia="Calibri" w:hAnsi="Calibri"/>
                <w:b/>
                <w:bCs/>
                <w:sz w:val="18"/>
                <w:szCs w:val="18"/>
              </w:rPr>
              <w:t xml:space="preserve">Target: </w:t>
            </w:r>
            <w:r>
              <w:rPr>
                <w:rFonts w:ascii="Calibri" w:cs="Calibri" w:eastAsia="Calibri" w:hAnsi="Calibri"/>
                <w:sz w:val="18"/>
                <w:szCs w:val="18"/>
              </w:rPr>
              <w:t xml:space="preserve">Cambridge Hackathon 2026</w:t>
            </w:r>
          </w:p>
        </w:tc>
      </w:tr>
    </w:tbl>
    <w:p>
      <w:pPr>
        <w:spacing w:after="120" w:before="240"/>
      </w:pPr>
      <w:r>
        <w:rPr>
          <w:rFonts w:ascii="Calibri" w:cs="Calibri" w:eastAsia="Calibri" w:hAnsi="Calibri"/>
          <w:b/>
          <w:bCs/>
          <w:color w:val="4472C4"/>
          <w:sz w:val="28"/>
          <w:szCs w:val="28"/>
        </w:rPr>
        <w:t xml:space="preserve">1. Executive Summary</w:t>
      </w:r>
    </w:p>
    <w:p>
      <w:pPr>
        <w:spacing w:after="180"/>
      </w:pPr>
      <w:r>
        <w:rPr>
          <w:rFonts w:ascii="Calibri" w:cs="Calibri" w:eastAsia="Calibri" w:hAnsi="Calibri"/>
          <w:color w:val="333333"/>
          <w:sz w:val="22"/>
          <w:szCs w:val="22"/>
        </w:rPr>
        <w:t xml:space="preserve">PRAGATI AI is an enterprise-grade AI-powered SaaS platform designed to transform factory floor operations from reactive energy monitoring to intelligent sustainability optimization. By ingesting real-time IoT sensor telemetry, smart energy meter streams, and regional grid carbon intensity data, the platform detects energy anomalies, forecasts carbon footprints, schedules heavy machine workloads to match renewable availability, and automates ESG compliance auditing.</w:t>
      </w:r>
    </w:p>
    <w:p>
      <w:pPr>
        <w:spacing w:after="180"/>
      </w:pPr>
      <w:r>
        <w:rPr>
          <w:rFonts w:ascii="Calibri" w:cs="Calibri" w:eastAsia="Calibri" w:hAnsi="Calibri"/>
          <w:b/>
          <w:bCs/>
          <w:color w:val="1B8A4A"/>
          <w:sz w:val="20"/>
          <w:szCs w:val="20"/>
        </w:rPr>
        <w:t xml:space="preserve">Core Tagline: </w:t>
      </w:r>
      <w:r>
        <w:rPr>
          <w:rFonts w:ascii="Calibri" w:cs="Calibri" w:eastAsia="Calibri" w:hAnsi="Calibri"/>
          <w:color w:val="14693A"/>
          <w:sz w:val="20"/>
          <w:szCs w:val="20"/>
        </w:rPr>
        <w:t xml:space="preserve">"Transforming Industries from Reactive Monitoring to Intelligent Sustainability Optimization"</w:t>
      </w:r>
    </w:p>
    <w:p>
      <w:pPr>
        <w:spacing w:after="120" w:before="240"/>
      </w:pPr>
      <w:r>
        <w:rPr>
          <w:rFonts w:ascii="Calibri" w:cs="Calibri" w:eastAsia="Calibri" w:hAnsi="Calibri"/>
          <w:b/>
          <w:bCs/>
          <w:color w:val="4472C4"/>
          <w:sz w:val="28"/>
          <w:szCs w:val="28"/>
        </w:rPr>
        <w:t xml:space="preserve">2. Problem Statement</w:t>
      </w:r>
    </w:p>
    <w:p>
      <w:pPr>
        <w:spacing w:after="120"/>
      </w:pPr>
      <w:r>
        <w:rPr>
          <w:rFonts w:ascii="Calibri" w:cs="Calibri" w:eastAsia="Calibri" w:hAnsi="Calibri"/>
          <w:color w:val="333333"/>
          <w:sz w:val="22"/>
          <w:szCs w:val="22"/>
        </w:rPr>
        <w:t xml:space="preserve">Modern industrial manufacturing plants face a compounding sustainability and operational crisis:</w:t>
      </w:r>
    </w:p>
    <w:p>
      <w:pPr>
        <w:spacing w:after="100"/>
      </w:pPr>
      <w:r>
        <w:rPr>
          <w:rFonts w:ascii="Calibri" w:cs="Calibri" w:eastAsia="Calibri" w:hAnsi="Calibri"/>
          <w:b/>
          <w:bCs/>
          <w:color w:val="1A1A1A"/>
          <w:sz w:val="21"/>
          <w:szCs w:val="21"/>
        </w:rPr>
        <w:t xml:space="preserve">•  Severe Energy Wastage: </w:t>
      </w:r>
      <w:r>
        <w:rPr>
          <w:rFonts w:ascii="Calibri" w:cs="Calibri" w:eastAsia="Calibri" w:hAnsi="Calibri"/>
          <w:color w:val="333333"/>
          <w:sz w:val="21"/>
          <w:szCs w:val="21"/>
        </w:rPr>
        <w:t xml:space="preserve">On average, factories waste 30% to 40% of their total energy intake due to unoptimized machine cycles, left-on idle machinery, and inefficient heating/cooling.</w:t>
      </w:r>
    </w:p>
    <w:p>
      <w:pPr>
        <w:spacing w:after="100"/>
      </w:pPr>
      <w:r>
        <w:rPr>
          <w:rFonts w:ascii="Calibri" w:cs="Calibri" w:eastAsia="Calibri" w:hAnsi="Calibri"/>
          <w:b/>
          <w:bCs/>
          <w:color w:val="1A1A1A"/>
          <w:sz w:val="21"/>
          <w:szCs w:val="21"/>
        </w:rPr>
        <w:t xml:space="preserve">•  Rising Carbon Footprint: </w:t>
      </w:r>
      <w:r>
        <w:rPr>
          <w:rFonts w:ascii="Calibri" w:cs="Calibri" w:eastAsia="Calibri" w:hAnsi="Calibri"/>
          <w:color w:val="333333"/>
          <w:sz w:val="21"/>
          <w:szCs w:val="21"/>
        </w:rPr>
        <w:t xml:space="preserve">The industrial sector contributes 21% of global greenhouse gas emissions. Tightening regional carbon taxation makes high emissions a severe financial liability.</w:t>
      </w:r>
    </w:p>
    <w:p>
      <w:pPr>
        <w:spacing w:after="100"/>
      </w:pPr>
      <w:r>
        <w:rPr>
          <w:rFonts w:ascii="Calibri" w:cs="Calibri" w:eastAsia="Calibri" w:hAnsi="Calibri"/>
          <w:b/>
          <w:bCs/>
          <w:color w:val="1A1A1A"/>
          <w:sz w:val="21"/>
          <w:szCs w:val="21"/>
        </w:rPr>
        <w:t xml:space="preserve">•  Manual, Error-Prone ESG Audits: </w:t>
      </w:r>
      <w:r>
        <w:rPr>
          <w:rFonts w:ascii="Calibri" w:cs="Calibri" w:eastAsia="Calibri" w:hAnsi="Calibri"/>
          <w:color w:val="333333"/>
          <w:sz w:val="21"/>
          <w:szCs w:val="21"/>
        </w:rPr>
        <w:t xml:space="preserve">Over 70% of companies still rely on manual data collection for sustainability reporting (CDP, GRI, TCFD), leading to audit delays, lack of transparency, and regulatory penalties.</w:t>
      </w:r>
    </w:p>
    <w:p>
      <w:pPr>
        <w:spacing w:after="180"/>
      </w:pPr>
      <w:r>
        <w:rPr>
          <w:rFonts w:ascii="Calibri" w:cs="Calibri" w:eastAsia="Calibri" w:hAnsi="Calibri"/>
          <w:b/>
          <w:bCs/>
          <w:color w:val="1A1A1A"/>
          <w:sz w:val="21"/>
          <w:szCs w:val="21"/>
        </w:rPr>
        <w:t xml:space="preserve">•  Poor Renewable Integration: </w:t>
      </w:r>
      <w:r>
        <w:rPr>
          <w:rFonts w:ascii="Calibri" w:cs="Calibri" w:eastAsia="Calibri" w:hAnsi="Calibri"/>
          <w:color w:val="333333"/>
          <w:sz w:val="21"/>
          <w:szCs w:val="21"/>
        </w:rPr>
        <w:t xml:space="preserve">Only 12% of factories run active scheduling that aligns production runs with on-site renewable energy generation (like solar/wind), wasting clean power.</w:t>
      </w:r>
    </w:p>
    <w:p>
      <w:pPr>
        <w:spacing w:after="120" w:before="240"/>
      </w:pPr>
      <w:r>
        <w:rPr>
          <w:rFonts w:ascii="Calibri" w:cs="Calibri" w:eastAsia="Calibri" w:hAnsi="Calibri"/>
          <w:b/>
          <w:bCs/>
          <w:color w:val="4472C4"/>
          <w:sz w:val="28"/>
          <w:szCs w:val="28"/>
        </w:rPr>
        <w:t xml:space="preserve">3. Product Vision &amp; Target Audience</w:t>
      </w:r>
    </w:p>
    <w:p>
      <w:pPr>
        <w:spacing w:after="120"/>
      </w:pPr>
      <w:r>
        <w:rPr>
          <w:rFonts w:ascii="Calibri" w:cs="Calibri" w:eastAsia="Calibri" w:hAnsi="Calibri"/>
          <w:color w:val="333333"/>
          <w:sz w:val="22"/>
          <w:szCs w:val="22"/>
        </w:rPr>
        <w:t xml:space="preserve">Our vision is to become the standard AI-driven operating system for sustainable industrial operations, enabling carbon-neutral manufacturing worldwide.</w:t>
      </w:r>
    </w:p>
    <w:p>
      <w:pPr>
        <w:spacing w:after="100" w:before="100"/>
      </w:pPr>
      <w:r>
        <w:rPr>
          <w:rFonts w:ascii="Calibri" w:cs="Calibri" w:eastAsia="Calibri" w:hAnsi="Calibri"/>
          <w:b/>
          <w:bCs/>
          <w:color w:val="1B8A4A"/>
          <w:sz w:val="22"/>
          <w:szCs w:val="22"/>
        </w:rPr>
        <w:t xml:space="preserve">Key User Personas:</w:t>
      </w:r>
    </w:p>
    <w:p>
      <w:pPr>
        <w:spacing w:after="100"/>
      </w:pPr>
      <w:r>
        <w:rPr>
          <w:rFonts w:ascii="Calibri" w:cs="Calibri" w:eastAsia="Calibri" w:hAnsi="Calibri"/>
          <w:b/>
          <w:bCs/>
          <w:color w:val="1A1A1A"/>
          <w:sz w:val="21"/>
          <w:szCs w:val="21"/>
        </w:rPr>
        <w:t xml:space="preserve">1.  Factory Operations Manager: </w:t>
      </w:r>
      <w:r>
        <w:rPr>
          <w:rFonts w:ascii="Calibri" w:cs="Calibri" w:eastAsia="Calibri" w:hAnsi="Calibri"/>
          <w:color w:val="666666"/>
          <w:sz w:val="21"/>
          <w:szCs w:val="21"/>
        </w:rPr>
        <w:t xml:space="preserve">Responsible for daily production throughput. Requires visibility into which machine is wasting energy, and when to schedule high-power operations to avoid peak grid rates.</w:t>
      </w:r>
    </w:p>
    <w:p>
      <w:pPr>
        <w:spacing w:after="100"/>
      </w:pPr>
      <w:r>
        <w:rPr>
          <w:rFonts w:ascii="Calibri" w:cs="Calibri" w:eastAsia="Calibri" w:hAnsi="Calibri"/>
          <w:b/>
          <w:bCs/>
          <w:color w:val="1A1A1A"/>
          <w:sz w:val="21"/>
          <w:szCs w:val="21"/>
        </w:rPr>
        <w:t xml:space="preserve">2.  Corporate Sustainability/ESG Officer: </w:t>
      </w:r>
      <w:r>
        <w:rPr>
          <w:rFonts w:ascii="Calibri" w:cs="Calibri" w:eastAsia="Calibri" w:hAnsi="Calibri"/>
          <w:color w:val="666666"/>
          <w:sz w:val="21"/>
          <w:szCs w:val="21"/>
        </w:rPr>
        <w:t xml:space="preserve">Responsible for Scope 1, 2, and 3 carbon reports. Pain point is spending months collecting energy bills and spreadsheets, with high risk of regulatory audit failure.</w:t>
      </w:r>
    </w:p>
    <w:p>
      <w:pPr>
        <w:spacing w:after="180"/>
      </w:pPr>
      <w:r>
        <w:rPr>
          <w:rFonts w:ascii="Calibri" w:cs="Calibri" w:eastAsia="Calibri" w:hAnsi="Calibri"/>
          <w:b/>
          <w:bCs/>
          <w:color w:val="1A1A1A"/>
          <w:sz w:val="21"/>
          <w:szCs w:val="21"/>
        </w:rPr>
        <w:t xml:space="preserve">3.  CFO / Executive Leadership: </w:t>
      </w:r>
      <w:r>
        <w:rPr>
          <w:rFonts w:ascii="Calibri" w:cs="Calibri" w:eastAsia="Calibri" w:hAnsi="Calibri"/>
          <w:color w:val="666666"/>
          <w:sz w:val="21"/>
          <w:szCs w:val="21"/>
        </w:rPr>
        <w:t xml:space="preserve">Needs to achieve ESG pledges while safeguarding operational margins. Requires clean ROI simulation data before authorizing green capital investments.</w:t>
      </w:r>
    </w:p>
    <w:p>
      <w:pPr>
        <w:spacing w:after="120" w:before="240"/>
      </w:pPr>
      <w:r>
        <w:rPr>
          <w:rFonts w:ascii="Calibri" w:cs="Calibri" w:eastAsia="Calibri" w:hAnsi="Calibri"/>
          <w:b/>
          <w:bCs/>
          <w:color w:val="4472C4"/>
          <w:sz w:val="28"/>
          <w:szCs w:val="28"/>
        </w:rPr>
        <w:t xml:space="preserve">4. Functional Specifications &amp; Modules</w:t>
      </w:r>
    </w:p>
    <w:p>
      <w:pPr>
        <w:spacing w:after="80" w:before="120"/>
      </w:pPr>
      <w:r>
        <w:rPr>
          <w:rFonts w:ascii="Calibri" w:cs="Calibri" w:eastAsia="Calibri" w:hAnsi="Calibri"/>
          <w:b/>
          <w:bCs/>
          <w:color w:val="1B8A4A"/>
          <w:sz w:val="24"/>
          <w:szCs w:val="24"/>
        </w:rPr>
        <w:t xml:space="preserve">4.1 Real-Time Telemetry &amp; Data Ingestion</w:t>
      </w:r>
    </w:p>
    <w:p>
      <w:pPr>
        <w:spacing w:after="120"/>
      </w:pPr>
      <w:r>
        <w:rPr>
          <w:rFonts w:ascii="Calibri" w:cs="Calibri" w:eastAsia="Calibri" w:hAnsi="Calibri"/>
          <w:color w:val="333333"/>
          <w:sz w:val="21"/>
          <w:szCs w:val="21"/>
        </w:rPr>
        <w:t xml:space="preserve">Ingests sub-second metrics from factory hardware and environmental sources. Connects directly to smart electricity meters (Active/Reactive Power), IoT vibration/temp sensors on machinery, and live grid carbon intensity APIs.</w:t>
      </w:r>
    </w:p>
    <w:p>
      <w:pPr>
        <w:spacing w:after="80" w:before="120"/>
      </w:pPr>
      <w:r>
        <w:rPr>
          <w:rFonts w:ascii="Calibri" w:cs="Calibri" w:eastAsia="Calibri" w:hAnsi="Calibri"/>
          <w:b/>
          <w:bCs/>
          <w:color w:val="1B8A4A"/>
          <w:sz w:val="24"/>
          <w:szCs w:val="24"/>
        </w:rPr>
        <w:t xml:space="preserve">4.2 AI-Powered Carbon &amp; Energy Forecasting</w:t>
      </w:r>
    </w:p>
    <w:p>
      <w:pPr>
        <w:spacing w:after="120"/>
      </w:pPr>
      <w:r>
        <w:rPr>
          <w:rFonts w:ascii="Calibri" w:cs="Calibri" w:eastAsia="Calibri" w:hAnsi="Calibri"/>
          <w:color w:val="333333"/>
          <w:sz w:val="21"/>
          <w:szCs w:val="21"/>
        </w:rPr>
        <w:t xml:space="preserve">Predicts future factory consumption and emissions using Meta's Prophet time-series models. Predicts grid carbon intensity trends and factory demand curves for 30/60/90 days to support proactive energy load shifting.</w:t>
      </w:r>
    </w:p>
    <w:p>
      <w:pPr>
        <w:spacing w:after="80" w:before="120"/>
      </w:pPr>
      <w:r>
        <w:rPr>
          <w:rFonts w:ascii="Calibri" w:cs="Calibri" w:eastAsia="Calibri" w:hAnsi="Calibri"/>
          <w:b/>
          <w:bCs/>
          <w:color w:val="1B8A4A"/>
          <w:sz w:val="24"/>
          <w:szCs w:val="24"/>
        </w:rPr>
        <w:t xml:space="preserve">4.3 Anomaly &amp; Energy Leak Detection</w:t>
      </w:r>
    </w:p>
    <w:p>
      <w:pPr>
        <w:spacing w:after="120"/>
      </w:pPr>
      <w:r>
        <w:rPr>
          <w:rFonts w:ascii="Calibri" w:cs="Calibri" w:eastAsia="Calibri" w:hAnsi="Calibri"/>
          <w:color w:val="333333"/>
          <w:sz w:val="21"/>
          <w:szCs w:val="21"/>
        </w:rPr>
        <w:t xml:space="preserve">Automatically flags anomalous power spikes, machine idling, and sub-system failures. Uses unsupervised machine learning models (Isolation Forest) to identify machinery left running idle overnight (drawing 60%+ baseline power) and alert managers.</w:t>
      </w:r>
    </w:p>
    <w:p>
      <w:pPr>
        <w:spacing w:after="80" w:before="120"/>
      </w:pPr>
      <w:r>
        <w:rPr>
          <w:rFonts w:ascii="Calibri" w:cs="Calibri" w:eastAsia="Calibri" w:hAnsi="Calibri"/>
          <w:b/>
          <w:bCs/>
          <w:color w:val="1B8A4A"/>
          <w:sz w:val="24"/>
          <w:szCs w:val="24"/>
        </w:rPr>
        <w:t xml:space="preserve">4.4 Renewable Load Balancing &amp; Scheduling</w:t>
      </w:r>
    </w:p>
    <w:p>
      <w:pPr>
        <w:spacing w:after="120"/>
      </w:pPr>
      <w:r>
        <w:rPr>
          <w:rFonts w:ascii="Calibri" w:cs="Calibri" w:eastAsia="Calibri" w:hAnsi="Calibri"/>
          <w:color w:val="333333"/>
          <w:sz w:val="21"/>
          <w:szCs w:val="21"/>
        </w:rPr>
        <w:t xml:space="preserve">Matches energy-intensive production cycles with cheap, on-site solar or low-tariff grid periods. Heuristic scheduling algorithms recommend optimal run-times for high-power machines to maximize solar self-consumption.</w:t>
      </w:r>
    </w:p>
    <w:p>
      <w:pPr>
        <w:spacing w:after="80" w:before="120"/>
      </w:pPr>
      <w:r>
        <w:rPr>
          <w:rFonts w:ascii="Calibri" w:cs="Calibri" w:eastAsia="Calibri" w:hAnsi="Calibri"/>
          <w:b/>
          <w:bCs/>
          <w:color w:val="1B8A4A"/>
          <w:sz w:val="24"/>
          <w:szCs w:val="24"/>
        </w:rPr>
        <w:t xml:space="preserve">4.5 Digital Twin Sandbox &amp; Simulation</w:t>
      </w:r>
    </w:p>
    <w:p>
      <w:pPr>
        <w:spacing w:after="120"/>
      </w:pPr>
      <w:r>
        <w:rPr>
          <w:rFonts w:ascii="Calibri" w:cs="Calibri" w:eastAsia="Calibri" w:hAnsi="Calibri"/>
          <w:color w:val="333333"/>
          <w:sz w:val="21"/>
          <w:szCs w:val="21"/>
        </w:rPr>
        <w:t xml:space="preserve">A virtual testing environment. Runs "what-if" simulations (e.g., "What is the emission ROI if I add 150kW solar panels?") to calculate estimated payback period and annual CO₂ reductions before executing capital expenditures.</w:t>
      </w:r>
    </w:p>
    <w:p>
      <w:pPr>
        <w:spacing w:after="80" w:before="120"/>
      </w:pPr>
      <w:r>
        <w:rPr>
          <w:rFonts w:ascii="Calibri" w:cs="Calibri" w:eastAsia="Calibri" w:hAnsi="Calibri"/>
          <w:b/>
          <w:bCs/>
          <w:color w:val="1B8A4A"/>
          <w:sz w:val="24"/>
          <w:szCs w:val="24"/>
        </w:rPr>
        <w:t xml:space="preserve">4.6 ESG Reporting &amp; AI Copilot Chat</w:t>
      </w:r>
    </w:p>
    <w:p>
      <w:pPr>
        <w:spacing w:after="180"/>
      </w:pPr>
      <w:r>
        <w:rPr>
          <w:rFonts w:ascii="Calibri" w:cs="Calibri" w:eastAsia="Calibri" w:hAnsi="Calibri"/>
          <w:color w:val="333333"/>
          <w:sz w:val="21"/>
          <w:szCs w:val="21"/>
        </w:rPr>
        <w:t xml:space="preserve">Generates one-click compliance reports matching GRI, TCFD, and CDP standards. Features an AI Copilot chat assistant that accepts natural language queries (e.g., "Which assembly line wasted the most energy last week?") and provides immediate, floor-ready advice.</w:t>
      </w:r>
    </w:p>
    <w:p>
      <w:pPr>
        <w:spacing w:after="120" w:before="240"/>
      </w:pPr>
      <w:r>
        <w:rPr>
          <w:rFonts w:ascii="Calibri" w:cs="Calibri" w:eastAsia="Calibri" w:hAnsi="Calibri"/>
          <w:b/>
          <w:bCs/>
          <w:color w:val="4472C4"/>
          <w:sz w:val="28"/>
          <w:szCs w:val="28"/>
        </w:rPr>
        <w:t xml:space="preserve">5. Technical Architecture</w:t>
      </w:r>
    </w:p>
    <w:p>
      <w:pPr>
        <w:spacing w:after="100"/>
      </w:pPr>
      <w:r>
        <w:rPr>
          <w:rFonts w:ascii="Calibri" w:cs="Calibri" w:eastAsia="Calibri" w:hAnsi="Calibri"/>
          <w:color w:val="333333"/>
          <w:sz w:val="21"/>
          <w:szCs w:val="21"/>
        </w:rPr>
        <w:t xml:space="preserve">1.  Data Ingestion Layer: Smart Electricity meters and IoT sensors publish metrics via MQTT to AWS IoT Core; grid carbon factors and weather forecasts are fetched via REST APIs.</w:t>
      </w:r>
    </w:p>
    <w:p>
      <w:pPr>
        <w:spacing w:after="100"/>
      </w:pPr>
      <w:r>
        <w:rPr>
          <w:rFonts w:ascii="Calibri" w:cs="Calibri" w:eastAsia="Calibri" w:hAnsi="Calibri"/>
          <w:color w:val="333333"/>
          <w:sz w:val="21"/>
          <w:szCs w:val="21"/>
        </w:rPr>
        <w:t xml:space="preserve">2.  Data Pipeline &amp; Processing: FastAPI backend processes the data stream and writes to TimescaleDB (time-series) and PostgreSQL (user metadata).</w:t>
      </w:r>
    </w:p>
    <w:p>
      <w:pPr>
        <w:spacing w:after="100"/>
      </w:pPr>
      <w:r>
        <w:rPr>
          <w:rFonts w:ascii="Calibri" w:cs="Calibri" w:eastAsia="Calibri" w:hAnsi="Calibri"/>
          <w:color w:val="333333"/>
          <w:sz w:val="21"/>
          <w:szCs w:val="21"/>
        </w:rPr>
        <w:t xml:space="preserve">3.  AI &amp; Modeling Core: Background Python workers run the Isolation Forest model for anomaly detection, Meta Prophet for carbon forecasting, and custom heuristic optimization models for scheduling.</w:t>
      </w:r>
    </w:p>
    <w:p>
      <w:pPr>
        <w:spacing w:after="180"/>
      </w:pPr>
      <w:r>
        <w:rPr>
          <w:rFonts w:ascii="Calibri" w:cs="Calibri" w:eastAsia="Calibri" w:hAnsi="Calibri"/>
          <w:color w:val="333333"/>
          <w:sz w:val="21"/>
          <w:szCs w:val="21"/>
        </w:rPr>
        <w:t xml:space="preserve">4.  Presentation Layer: A Next.js frontend fetches results via REST APIs, rendering real-time graphs, anomaly alerts, and RAG-based AI Copilot chat screens.</w:t>
      </w:r>
    </w:p>
    <w:p>
      <w:pPr>
        <w:spacing w:after="120" w:before="240"/>
      </w:pPr>
      <w:r>
        <w:rPr>
          <w:rFonts w:ascii="Calibri" w:cs="Calibri" w:eastAsia="Calibri" w:hAnsi="Calibri"/>
          <w:b/>
          <w:bCs/>
          <w:color w:val="4472C4"/>
          <w:sz w:val="28"/>
          <w:szCs w:val="28"/>
        </w:rPr>
        <w:t xml:space="preserve">6. Success Metrics &amp; Key Performance Indicators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4472C4"/>
            <w:tcMar>
              <w:top w:type="dxa" w:w="100"/>
              <w:left w:type="dxa" w:w="120"/>
              <w:bottom w:type="dxa" w:w="100"/>
              <w:right w:type="dxa" w:w="120"/>
            </w:tcMar>
          </w:tcPr>
          <w:p>
            <w:r>
              <w:rPr>
                <w:rFonts w:ascii="Calibri" w:cs="Calibri" w:eastAsia="Calibri" w:hAnsi="Calibri"/>
                <w:b/>
                <w:bCs/>
                <w:color w:val="FFFFFF"/>
                <w:sz w:val="18"/>
                <w:szCs w:val="18"/>
              </w:rPr>
              <w:t xml:space="preserve">Category</w:t>
            </w:r>
          </w:p>
        </w:tc>
        <w:tc>
          <w:tcPr>
            <w:shd w:fill="4472C4"/>
            <w:tcMar>
              <w:top w:type="dxa" w:w="100"/>
              <w:left w:type="dxa" w:w="120"/>
              <w:bottom w:type="dxa" w:w="100"/>
              <w:right w:type="dxa" w:w="120"/>
            </w:tcMar>
          </w:tcPr>
          <w:p>
            <w:r>
              <w:rPr>
                <w:rFonts w:ascii="Calibri" w:cs="Calibri" w:eastAsia="Calibri" w:hAnsi="Calibri"/>
                <w:b/>
                <w:bCs/>
                <w:color w:val="FFFFFF"/>
                <w:sz w:val="18"/>
                <w:szCs w:val="18"/>
              </w:rPr>
              <w:t xml:space="preserve">Metric</w:t>
            </w:r>
          </w:p>
        </w:tc>
        <w:tc>
          <w:tcPr>
            <w:shd w:fill="4472C4"/>
            <w:tcMar>
              <w:top w:type="dxa" w:w="100"/>
              <w:left w:type="dxa" w:w="120"/>
              <w:bottom w:type="dxa" w:w="100"/>
              <w:right w:type="dxa" w:w="120"/>
            </w:tcMar>
          </w:tcPr>
          <w:p>
            <w:r>
              <w:rPr>
                <w:rFonts w:ascii="Calibri" w:cs="Calibri" w:eastAsia="Calibri" w:hAnsi="Calibri"/>
                <w:b/>
                <w:bCs/>
                <w:color w:val="FFFFFF"/>
                <w:sz w:val="18"/>
                <w:szCs w:val="18"/>
              </w:rPr>
              <w:t xml:space="preserve">Target Goal</w:t>
            </w:r>
          </w:p>
        </w:tc>
        <w:tc>
          <w:tcPr>
            <w:shd w:fill="4472C4"/>
            <w:tcMar>
              <w:top w:type="dxa" w:w="100"/>
              <w:left w:type="dxa" w:w="120"/>
              <w:bottom w:type="dxa" w:w="100"/>
              <w:right w:type="dxa" w:w="120"/>
            </w:tcMar>
          </w:tcPr>
          <w:p>
            <w:r>
              <w:rPr>
                <w:rFonts w:ascii="Calibri" w:cs="Calibri" w:eastAsia="Calibri" w:hAnsi="Calibri"/>
                <w:b/>
                <w:bCs/>
                <w:color w:val="FFFFFF"/>
                <w:sz w:val="18"/>
                <w:szCs w:val="18"/>
              </w:rPr>
              <w:t xml:space="preserve">Measurement / Formula</w:t>
            </w:r>
          </w:p>
        </w:tc>
      </w:tr>
      <w:tr>
        <w:tc>
          <w:tcPr>
            <w:tcMar>
              <w:top w:type="dxa" w:w="80"/>
              <w:left w:type="dxa" w:w="120"/>
              <w:bottom w:type="dxa" w:w="80"/>
              <w:right w:type="dxa" w:w="120"/>
            </w:tcMar>
          </w:tcPr>
          <w:p>
            <w:r>
              <w:rPr>
                <w:rFonts w:ascii="Calibri" w:cs="Calibri" w:eastAsia="Calibri" w:hAnsi="Calibri"/>
                <w:sz w:val="18"/>
                <w:szCs w:val="18"/>
              </w:rPr>
              <w:t xml:space="preserve">Sustainability</w:t>
            </w:r>
          </w:p>
        </w:tc>
        <w:tc>
          <w:tcPr>
            <w:tcMar>
              <w:top w:type="dxa" w:w="80"/>
              <w:left w:type="dxa" w:w="120"/>
              <w:bottom w:type="dxa" w:w="80"/>
              <w:right w:type="dxa" w:w="120"/>
            </w:tcMar>
          </w:tcPr>
          <w:p>
            <w:r>
              <w:rPr>
                <w:rFonts w:ascii="Calibri" w:cs="Calibri" w:eastAsia="Calibri" w:hAnsi="Calibri"/>
                <w:sz w:val="18"/>
                <w:szCs w:val="18"/>
              </w:rPr>
              <w:t xml:space="preserve">Carbon Footprint Reduction</w:t>
            </w:r>
          </w:p>
        </w:tc>
        <w:tc>
          <w:tcPr>
            <w:tcMar>
              <w:top w:type="dxa" w:w="80"/>
              <w:left w:type="dxa" w:w="120"/>
              <w:bottom w:type="dxa" w:w="80"/>
              <w:right w:type="dxa" w:w="120"/>
            </w:tcMar>
          </w:tcPr>
          <w:p>
            <w:r>
              <w:rPr>
                <w:rFonts w:ascii="Calibri" w:cs="Calibri" w:eastAsia="Calibri" w:hAnsi="Calibri"/>
                <w:b/>
                <w:bCs/>
                <w:color w:val="1B8A4A"/>
                <w:sz w:val="18"/>
                <w:szCs w:val="18"/>
              </w:rPr>
              <w:t xml:space="preserve">-40% to -45%</w:t>
            </w:r>
          </w:p>
        </w:tc>
        <w:tc>
          <w:tcPr>
            <w:tcMar>
              <w:top w:type="dxa" w:w="80"/>
              <w:left w:type="dxa" w:w="120"/>
              <w:bottom w:type="dxa" w:w="80"/>
              <w:right w:type="dxa" w:w="120"/>
            </w:tcMar>
          </w:tcPr>
          <w:p>
            <w:r>
              <w:rPr>
                <w:rFonts w:ascii="Calibri" w:cs="Calibri" w:eastAsia="Calibri" w:hAnsi="Calibri"/>
                <w:sz w:val="18"/>
                <w:szCs w:val="18"/>
              </w:rPr>
              <w:t xml:space="preserve">(Pre-install CO2 - Post-install CO2) / Pre-install CO2</w:t>
            </w:r>
          </w:p>
        </w:tc>
      </w:tr>
      <w:tr>
        <w:tc>
          <w:tcPr>
            <w:tcMar>
              <w:top w:type="dxa" w:w="80"/>
              <w:left w:type="dxa" w:w="120"/>
              <w:bottom w:type="dxa" w:w="80"/>
              <w:right w:type="dxa" w:w="120"/>
            </w:tcMar>
          </w:tcPr>
          <w:p>
            <w:r>
              <w:rPr>
                <w:rFonts w:ascii="Calibri" w:cs="Calibri" w:eastAsia="Calibri" w:hAnsi="Calibri"/>
                <w:sz w:val="18"/>
                <w:szCs w:val="18"/>
              </w:rPr>
              <w:t xml:space="preserve">Financial</w:t>
            </w:r>
          </w:p>
        </w:tc>
        <w:tc>
          <w:tcPr>
            <w:tcMar>
              <w:top w:type="dxa" w:w="80"/>
              <w:left w:type="dxa" w:w="120"/>
              <w:bottom w:type="dxa" w:w="80"/>
              <w:right w:type="dxa" w:w="120"/>
            </w:tcMar>
          </w:tcPr>
          <w:p>
            <w:r>
              <w:rPr>
                <w:rFonts w:ascii="Calibri" w:cs="Calibri" w:eastAsia="Calibri" w:hAnsi="Calibri"/>
                <w:sz w:val="18"/>
                <w:szCs w:val="18"/>
              </w:rPr>
              <w:t xml:space="preserve">Utility Bill Savings</w:t>
            </w:r>
          </w:p>
        </w:tc>
        <w:tc>
          <w:tcPr>
            <w:tcMar>
              <w:top w:type="dxa" w:w="80"/>
              <w:left w:type="dxa" w:w="120"/>
              <w:bottom w:type="dxa" w:w="80"/>
              <w:right w:type="dxa" w:w="120"/>
            </w:tcMar>
          </w:tcPr>
          <w:p>
            <w:r>
              <w:rPr>
                <w:rFonts w:ascii="Calibri" w:cs="Calibri" w:eastAsia="Calibri" w:hAnsi="Calibri"/>
                <w:b/>
                <w:bCs/>
                <w:color w:val="1B8A4A"/>
                <w:sz w:val="18"/>
                <w:szCs w:val="18"/>
              </w:rPr>
              <w:t xml:space="preserve">-25% to -30%</w:t>
            </w:r>
          </w:p>
        </w:tc>
        <w:tc>
          <w:tcPr>
            <w:tcMar>
              <w:top w:type="dxa" w:w="80"/>
              <w:left w:type="dxa" w:w="120"/>
              <w:bottom w:type="dxa" w:w="80"/>
              <w:right w:type="dxa" w:w="120"/>
            </w:tcMar>
          </w:tcPr>
          <w:p>
            <w:r>
              <w:rPr>
                <w:rFonts w:ascii="Calibri" w:cs="Calibri" w:eastAsia="Calibri" w:hAnsi="Calibri"/>
                <w:sz w:val="18"/>
                <w:szCs w:val="18"/>
              </w:rPr>
              <w:t xml:space="preserve">(Pre-install Cost - Post-install Cost) / Pre-install Cost</w:t>
            </w:r>
          </w:p>
        </w:tc>
      </w:tr>
      <w:tr>
        <w:tc>
          <w:tcPr>
            <w:tcMar>
              <w:top w:type="dxa" w:w="80"/>
              <w:left w:type="dxa" w:w="120"/>
              <w:bottom w:type="dxa" w:w="80"/>
              <w:right w:type="dxa" w:w="120"/>
            </w:tcMar>
          </w:tcPr>
          <w:p>
            <w:r>
              <w:rPr>
                <w:rFonts w:ascii="Calibri" w:cs="Calibri" w:eastAsia="Calibri" w:hAnsi="Calibri"/>
                <w:sz w:val="18"/>
                <w:szCs w:val="18"/>
              </w:rPr>
              <w:t xml:space="preserve">Operational</w:t>
            </w:r>
          </w:p>
        </w:tc>
        <w:tc>
          <w:tcPr>
            <w:tcMar>
              <w:top w:type="dxa" w:w="80"/>
              <w:left w:type="dxa" w:w="120"/>
              <w:bottom w:type="dxa" w:w="80"/>
              <w:right w:type="dxa" w:w="120"/>
            </w:tcMar>
          </w:tcPr>
          <w:p>
            <w:r>
              <w:rPr>
                <w:rFonts w:ascii="Calibri" w:cs="Calibri" w:eastAsia="Calibri" w:hAnsi="Calibri"/>
                <w:sz w:val="18"/>
                <w:szCs w:val="18"/>
              </w:rPr>
              <w:t xml:space="preserve">Machine Idle Wastage</w:t>
            </w:r>
          </w:p>
        </w:tc>
        <w:tc>
          <w:tcPr>
            <w:tcMar>
              <w:top w:type="dxa" w:w="80"/>
              <w:left w:type="dxa" w:w="120"/>
              <w:bottom w:type="dxa" w:w="80"/>
              <w:right w:type="dxa" w:w="120"/>
            </w:tcMar>
          </w:tcPr>
          <w:p>
            <w:r>
              <w:rPr>
                <w:rFonts w:ascii="Calibri" w:cs="Calibri" w:eastAsia="Calibri" w:hAnsi="Calibri"/>
                <w:b/>
                <w:bCs/>
                <w:color w:val="1B8A4A"/>
                <w:sz w:val="18"/>
                <w:szCs w:val="18"/>
              </w:rPr>
              <w:t xml:space="preserve">-50% Reduction</w:t>
            </w:r>
          </w:p>
        </w:tc>
        <w:tc>
          <w:tcPr>
            <w:tcMar>
              <w:top w:type="dxa" w:w="80"/>
              <w:left w:type="dxa" w:w="120"/>
              <w:bottom w:type="dxa" w:w="80"/>
              <w:right w:type="dxa" w:w="120"/>
            </w:tcMar>
          </w:tcPr>
          <w:p>
            <w:r>
              <w:rPr>
                <w:rFonts w:ascii="Calibri" w:cs="Calibri" w:eastAsia="Calibri" w:hAnsi="Calibri"/>
                <w:sz w:val="18"/>
                <w:szCs w:val="18"/>
              </w:rPr>
              <w:t xml:space="preserve">Reduction in hours machines draw power without active workloads</w:t>
            </w:r>
          </w:p>
        </w:tc>
      </w:tr>
      <w:tr>
        <w:tc>
          <w:tcPr>
            <w:tcMar>
              <w:top w:type="dxa" w:w="80"/>
              <w:left w:type="dxa" w:w="120"/>
              <w:bottom w:type="dxa" w:w="80"/>
              <w:right w:type="dxa" w:w="120"/>
            </w:tcMar>
          </w:tcPr>
          <w:p>
            <w:r>
              <w:rPr>
                <w:rFonts w:ascii="Calibri" w:cs="Calibri" w:eastAsia="Calibri" w:hAnsi="Calibri"/>
                <w:sz w:val="18"/>
                <w:szCs w:val="18"/>
              </w:rPr>
              <w:t xml:space="preserve">Compliance</w:t>
            </w:r>
          </w:p>
        </w:tc>
        <w:tc>
          <w:tcPr>
            <w:tcMar>
              <w:top w:type="dxa" w:w="80"/>
              <w:left w:type="dxa" w:w="120"/>
              <w:bottom w:type="dxa" w:w="80"/>
              <w:right w:type="dxa" w:w="120"/>
            </w:tcMar>
          </w:tcPr>
          <w:p>
            <w:r>
              <w:rPr>
                <w:rFonts w:ascii="Calibri" w:cs="Calibri" w:eastAsia="Calibri" w:hAnsi="Calibri"/>
                <w:sz w:val="18"/>
                <w:szCs w:val="18"/>
              </w:rPr>
              <w:t xml:space="preserve">ESG Audit Assembly Time</w:t>
            </w:r>
          </w:p>
        </w:tc>
        <w:tc>
          <w:tcPr>
            <w:tcMar>
              <w:top w:type="dxa" w:w="80"/>
              <w:left w:type="dxa" w:w="120"/>
              <w:bottom w:type="dxa" w:w="80"/>
              <w:right w:type="dxa" w:w="120"/>
            </w:tcMar>
          </w:tcPr>
          <w:p>
            <w:r>
              <w:rPr>
                <w:rFonts w:ascii="Calibri" w:cs="Calibri" w:eastAsia="Calibri" w:hAnsi="Calibri"/>
                <w:b/>
                <w:bCs/>
                <w:color w:val="1B8A4A"/>
                <w:sz w:val="18"/>
                <w:szCs w:val="18"/>
              </w:rPr>
              <w:t xml:space="preserve">&lt; 5 Minutes</w:t>
            </w:r>
          </w:p>
        </w:tc>
        <w:tc>
          <w:tcPr>
            <w:tcMar>
              <w:top w:type="dxa" w:w="80"/>
              <w:left w:type="dxa" w:w="120"/>
              <w:bottom w:type="dxa" w:w="80"/>
              <w:right w:type="dxa" w:w="120"/>
            </w:tcMar>
          </w:tcPr>
          <w:p>
            <w:r>
              <w:rPr>
                <w:rFonts w:ascii="Calibri" w:cs="Calibri" w:eastAsia="Calibri" w:hAnsi="Calibri"/>
                <w:sz w:val="18"/>
                <w:szCs w:val="18"/>
              </w:rPr>
              <w:t xml:space="preserve">Reduces audit compile time from average of 30 days to instant export</w:t>
            </w:r>
          </w:p>
        </w:tc>
      </w:tr>
    </w:tbl>
    <w:p>
      <w:pPr>
        <w:spacing w:before="400"/>
        <w:jc w:val="center"/>
      </w:pPr>
      <w:r>
        <w:rPr>
          <w:rFonts w:ascii="Calibri" w:cs="Calibri" w:eastAsia="Calibri" w:hAnsi="Calibri"/>
          <w:color w:val="666666"/>
          <w:sz w:val="18"/>
          <w:szCs w:val="18"/>
        </w:rPr>
        <w:t xml:space="preserve">
PRAGATI AI — End of Product Requirement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2026-05-30T11:11:02.102Z</dcterms:created>
  <dcterms:modified xsi:type="dcterms:W3CDTF">2026-05-30T11:11:02.102Z</dcterms:modified>
</cp:coreProperties>
</file>

<file path=docProps/custom.xml><?xml version="1.0" encoding="utf-8"?>
<Properties xmlns="http://schemas.openxmlformats.org/officeDocument/2006/custom-properties" xmlns:vt="http://schemas.openxmlformats.org/officeDocument/2006/docPropsVTypes"/>
</file>