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F3A"/>
          <w:sz w:val="60"/>
        </w:rPr>
        <w:t>PacketIQ</w:t>
      </w:r>
    </w:p>
    <w:p>
      <w:pPr>
        <w:jc w:val="center"/>
      </w:pPr>
      <w:r>
        <w:rPr>
          <w:b/>
          <w:color w:val="1D4ED8"/>
          <w:sz w:val="34"/>
        </w:rPr>
        <w:t>Security Audit Report</w:t>
      </w:r>
    </w:p>
    <w:p>
      <w:pPr>
        <w:jc w:val="center"/>
      </w:pPr>
      <w:r>
        <w:rPr>
          <w:color w:val="475569"/>
          <w:sz w:val="22"/>
        </w:rPr>
        <w:t>AI PCAP Forensics &amp; SOC Copilot — Static, Dependency &amp; Secret Assessment</w:t>
      </w:r>
    </w:p>
    <w:p/>
    <w:tbl>
      <w:tblPr>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B91C1C"/>
          </w:tcPr>
          <w:p>
            <w:pPr>
              <w:spacing w:after="20" w:before="20"/>
              <w:jc w:val="center"/>
            </w:pPr>
            <w:r/>
            <w:r>
              <w:rPr>
                <w:b/>
                <w:color w:val="FFFFFF"/>
                <w:sz w:val="32"/>
              </w:rPr>
              <w:t>1</w:t>
            </w:r>
          </w:p>
        </w:tc>
        <w:tc>
          <w:tcPr>
            <w:tcW w:type="dxa" w:w="1728"/>
            <w:shd w:val="clear" w:fill="C2410C"/>
          </w:tcPr>
          <w:p>
            <w:pPr>
              <w:spacing w:after="20" w:before="20"/>
              <w:jc w:val="center"/>
            </w:pPr>
            <w:r/>
            <w:r>
              <w:rPr>
                <w:b/>
                <w:color w:val="FFFFFF"/>
                <w:sz w:val="32"/>
              </w:rPr>
              <w:t>0</w:t>
            </w:r>
          </w:p>
        </w:tc>
        <w:tc>
          <w:tcPr>
            <w:tcW w:type="dxa" w:w="1728"/>
            <w:shd w:val="clear" w:fill="A16207"/>
          </w:tcPr>
          <w:p>
            <w:pPr>
              <w:spacing w:after="20" w:before="20"/>
              <w:jc w:val="center"/>
            </w:pPr>
            <w:r/>
            <w:r>
              <w:rPr>
                <w:b/>
                <w:color w:val="FFFFFF"/>
                <w:sz w:val="32"/>
              </w:rPr>
              <w:t>6</w:t>
            </w:r>
          </w:p>
        </w:tc>
        <w:tc>
          <w:tcPr>
            <w:tcW w:type="dxa" w:w="1728"/>
            <w:shd w:val="clear" w:fill="15803D"/>
          </w:tcPr>
          <w:p>
            <w:pPr>
              <w:spacing w:after="20" w:before="20"/>
              <w:jc w:val="center"/>
            </w:pPr>
            <w:r/>
            <w:r>
              <w:rPr>
                <w:b/>
                <w:color w:val="FFFFFF"/>
                <w:sz w:val="32"/>
              </w:rPr>
              <w:t>3</w:t>
            </w:r>
          </w:p>
        </w:tc>
        <w:tc>
          <w:tcPr>
            <w:tcW w:type="dxa" w:w="1728"/>
            <w:shd w:val="clear" w:fill="475569"/>
          </w:tcPr>
          <w:p>
            <w:pPr>
              <w:spacing w:after="20" w:before="20"/>
              <w:jc w:val="center"/>
            </w:pPr>
            <w:r/>
            <w:r>
              <w:rPr>
                <w:b/>
                <w:color w:val="FFFFFF"/>
                <w:sz w:val="32"/>
              </w:rPr>
              <w:t>2</w:t>
            </w:r>
          </w:p>
        </w:tc>
      </w:tr>
      <w:tr>
        <w:tc>
          <w:tcPr>
            <w:tcW w:type="dxa" w:w="1728"/>
            <w:shd w:val="clear" w:fill="B91C1C"/>
          </w:tcPr>
          <w:p>
            <w:pPr>
              <w:spacing w:after="20" w:before="20"/>
              <w:jc w:val="center"/>
            </w:pPr>
            <w:r/>
            <w:r>
              <w:rPr>
                <w:b/>
                <w:color w:val="FFFFFF"/>
                <w:sz w:val="16"/>
              </w:rPr>
              <w:t>CRITICAL</w:t>
            </w:r>
          </w:p>
        </w:tc>
        <w:tc>
          <w:tcPr>
            <w:tcW w:type="dxa" w:w="1728"/>
            <w:shd w:val="clear" w:fill="C2410C"/>
          </w:tcPr>
          <w:p>
            <w:pPr>
              <w:spacing w:after="20" w:before="20"/>
              <w:jc w:val="center"/>
            </w:pPr>
            <w:r/>
            <w:r>
              <w:rPr>
                <w:b/>
                <w:color w:val="FFFFFF"/>
                <w:sz w:val="16"/>
              </w:rPr>
              <w:t>HIGH</w:t>
            </w:r>
          </w:p>
        </w:tc>
        <w:tc>
          <w:tcPr>
            <w:tcW w:type="dxa" w:w="1728"/>
            <w:shd w:val="clear" w:fill="A16207"/>
          </w:tcPr>
          <w:p>
            <w:pPr>
              <w:spacing w:after="20" w:before="20"/>
              <w:jc w:val="center"/>
            </w:pPr>
            <w:r/>
            <w:r>
              <w:rPr>
                <w:b/>
                <w:color w:val="FFFFFF"/>
                <w:sz w:val="16"/>
              </w:rPr>
              <w:t>MEDIUM</w:t>
            </w:r>
          </w:p>
        </w:tc>
        <w:tc>
          <w:tcPr>
            <w:tcW w:type="dxa" w:w="1728"/>
            <w:shd w:val="clear" w:fill="15803D"/>
          </w:tcPr>
          <w:p>
            <w:pPr>
              <w:spacing w:after="20" w:before="20"/>
              <w:jc w:val="center"/>
            </w:pPr>
            <w:r/>
            <w:r>
              <w:rPr>
                <w:b/>
                <w:color w:val="FFFFFF"/>
                <w:sz w:val="16"/>
              </w:rPr>
              <w:t>LOW</w:t>
            </w:r>
          </w:p>
        </w:tc>
        <w:tc>
          <w:tcPr>
            <w:tcW w:type="dxa" w:w="1728"/>
            <w:shd w:val="clear" w:fill="475569"/>
          </w:tcPr>
          <w:p>
            <w:pPr>
              <w:spacing w:after="20" w:before="20"/>
              <w:jc w:val="center"/>
            </w:pPr>
            <w:r/>
            <w:r>
              <w:rPr>
                <w:b/>
                <w:color w:val="FFFFFF"/>
                <w:sz w:val="16"/>
              </w:rPr>
              <w:t>INFO</w:t>
            </w:r>
          </w:p>
        </w:tc>
      </w:tr>
    </w:tbl>
    <w:p/>
    <w:tbl>
      <w:tblPr>
        <w:tblStyle w:val="TableGrid"/>
        <w:tblW w:type="auto" w:w="0"/>
        <w:tblLook w:firstColumn="1" w:firstRow="1" w:lastColumn="0" w:lastRow="0" w:noHBand="0" w:noVBand="1" w:val="04A0"/>
      </w:tblPr>
      <w:tblGrid>
        <w:gridCol w:w="1800"/>
        <w:gridCol w:w="4320"/>
      </w:tblGrid>
      <w:tr>
        <w:tc>
          <w:tcPr>
            <w:tcW w:type="dxa" w:w="4320"/>
            <w:shd w:val="clear" w:fill="EEF2F7"/>
          </w:tcPr>
          <w:p>
            <w:pPr>
              <w:spacing w:after="20" w:before="20"/>
            </w:pPr>
            <w:r/>
            <w:r>
              <w:rPr>
                <w:b/>
                <w:sz w:val="18"/>
              </w:rPr>
              <w:t>Target</w:t>
            </w:r>
          </w:p>
        </w:tc>
        <w:tc>
          <w:tcPr>
            <w:tcW w:type="dxa" w:w="4320"/>
          </w:tcPr>
          <w:p>
            <w:pPr>
              <w:spacing w:after="20" w:before="20"/>
            </w:pPr>
            <w:r/>
            <w:r>
              <w:rPr>
                <w:b w:val="0"/>
                <w:sz w:val="18"/>
              </w:rPr>
              <w:t>PacketIQ v1.0.0 — Python network-forensics tool (CLI + FastAPI web app)</w:t>
            </w:r>
          </w:p>
        </w:tc>
      </w:tr>
      <w:tr>
        <w:tc>
          <w:tcPr>
            <w:tcW w:type="dxa" w:w="4320"/>
            <w:shd w:val="clear" w:fill="EEF2F7"/>
          </w:tcPr>
          <w:p>
            <w:pPr>
              <w:spacing w:after="20" w:before="20"/>
            </w:pPr>
            <w:r/>
            <w:r>
              <w:rPr>
                <w:b/>
                <w:sz w:val="18"/>
              </w:rPr>
              <w:t>Audit type</w:t>
            </w:r>
          </w:p>
        </w:tc>
        <w:tc>
          <w:tcPr>
            <w:tcW w:type="dxa" w:w="4320"/>
          </w:tcPr>
          <w:p>
            <w:pPr>
              <w:spacing w:after="20" w:before="20"/>
            </w:pPr>
            <w:r/>
            <w:r>
              <w:rPr>
                <w:b w:val="0"/>
                <w:sz w:val="18"/>
              </w:rPr>
              <w:t>White-box: manual code review + SAST (bandit) + dependency CVE scan (pip-audit) + git secret scan + live exploitation</w:t>
            </w:r>
          </w:p>
        </w:tc>
      </w:tr>
      <w:tr>
        <w:tc>
          <w:tcPr>
            <w:tcW w:type="dxa" w:w="4320"/>
            <w:shd w:val="clear" w:fill="EEF2F7"/>
          </w:tcPr>
          <w:p>
            <w:pPr>
              <w:spacing w:after="20" w:before="20"/>
            </w:pPr>
            <w:r/>
            <w:r>
              <w:rPr>
                <w:b/>
                <w:sz w:val="18"/>
              </w:rPr>
              <w:t>Scope</w:t>
            </w:r>
          </w:p>
        </w:tc>
        <w:tc>
          <w:tcPr>
            <w:tcW w:type="dxa" w:w="4320"/>
          </w:tcPr>
          <w:p>
            <w:pPr>
              <w:spacing w:after="20" w:before="20"/>
            </w:pPr>
            <w:r/>
            <w:r>
              <w:rPr>
                <w:b w:val="0"/>
                <w:sz w:val="18"/>
              </w:rPr>
              <w:t>All Python source under packetiq/, dependencies, git history. Authorised self-assessment of the author's own project.</w:t>
            </w:r>
          </w:p>
        </w:tc>
      </w:tr>
      <w:tr>
        <w:tc>
          <w:tcPr>
            <w:tcW w:type="dxa" w:w="4320"/>
            <w:shd w:val="clear" w:fill="EEF2F7"/>
          </w:tcPr>
          <w:p>
            <w:pPr>
              <w:spacing w:after="20" w:before="20"/>
            </w:pPr>
            <w:r/>
            <w:r>
              <w:rPr>
                <w:b/>
                <w:sz w:val="18"/>
              </w:rPr>
              <w:t>Environment</w:t>
            </w:r>
          </w:p>
        </w:tc>
        <w:tc>
          <w:tcPr>
            <w:tcW w:type="dxa" w:w="4320"/>
          </w:tcPr>
          <w:p>
            <w:pPr>
              <w:spacing w:after="20" w:before="20"/>
            </w:pPr>
            <w:r/>
            <w:r>
              <w:rPr>
                <w:b w:val="0"/>
                <w:sz w:val="18"/>
              </w:rPr>
              <w:t>Sandboxed local venv · Python 3.12.13 · Darwin</w:t>
            </w:r>
          </w:p>
        </w:tc>
      </w:tr>
      <w:tr>
        <w:tc>
          <w:tcPr>
            <w:tcW w:type="dxa" w:w="4320"/>
            <w:shd w:val="clear" w:fill="EEF2F7"/>
          </w:tcPr>
          <w:p>
            <w:pPr>
              <w:spacing w:after="20" w:before="20"/>
            </w:pPr>
            <w:r/>
            <w:r>
              <w:rPr>
                <w:b/>
                <w:sz w:val="18"/>
              </w:rPr>
              <w:t>Date</w:t>
            </w:r>
          </w:p>
        </w:tc>
        <w:tc>
          <w:tcPr>
            <w:tcW w:type="dxa" w:w="4320"/>
          </w:tcPr>
          <w:p>
            <w:pPr>
              <w:spacing w:after="20" w:before="20"/>
            </w:pPr>
            <w:r/>
            <w:r>
              <w:rPr>
                <w:b w:val="0"/>
                <w:sz w:val="18"/>
              </w:rPr>
              <w:t>2026-07-15 12:18 UTC</w:t>
            </w:r>
          </w:p>
        </w:tc>
      </w:tr>
      <w:tr>
        <w:tc>
          <w:tcPr>
            <w:tcW w:type="dxa" w:w="4320"/>
            <w:shd w:val="clear" w:fill="EEF2F7"/>
          </w:tcPr>
          <w:p>
            <w:pPr>
              <w:spacing w:after="20" w:before="20"/>
            </w:pPr>
            <w:r/>
            <w:r>
              <w:rPr>
                <w:b/>
                <w:sz w:val="18"/>
              </w:rPr>
              <w:t>Result</w:t>
            </w:r>
          </w:p>
        </w:tc>
        <w:tc>
          <w:tcPr>
            <w:tcW w:type="dxa" w:w="4320"/>
          </w:tcPr>
          <w:p>
            <w:pPr>
              <w:spacing w:after="20" w:before="20"/>
            </w:pPr>
            <w:r/>
            <w:r>
              <w:rPr>
                <w:b w:val="0"/>
                <w:sz w:val="18"/>
              </w:rPr>
              <w:t>1 Critical, 6 Medium, 3 Low, 2 Info. All findings remediated: every code-level fix is in place and the Critical (leaked keys) was closed by owner key-revocation on 2026-07-12.</w:t>
            </w:r>
          </w:p>
        </w:tc>
      </w:tr>
    </w:tbl>
    <w:p>
      <w:r>
        <w:br w:type="page"/>
      </w:r>
    </w:p>
    <w:p>
      <w:pPr>
        <w:pStyle w:val="Heading1"/>
      </w:pPr>
      <w:r>
        <w:t>1. Executive Summary</w:t>
      </w:r>
    </w:p>
    <w:p>
      <w:pPr>
        <w:pBdr>
          <w:bottom w:val="single" w:sz="6" w:space="1" w:color="1D4ED8"/>
        </w:pBdr>
      </w:pPr>
    </w:p>
    <w:p>
      <w:r>
        <w:t>PacketIQ was assessed with a white-box methodology combining manual source review of every security-sensitive code path with automated tooling (bandit SAST, pip-audit dependency scan, git-history secret scan) and — in a second round — live exploitation attempts against the running server. The codebase is fundamentally sound: parameterised SQL, file paths validated against a server-side job registry, no dangerous execution sinks, timeouts on every outbound request, and HTML-escaping of all rendered data.</w:t>
      </w:r>
    </w:p>
    <w:p>
      <w:r>
        <w:t>Twelve findings were raised across two rounds. The single Critical was operational, not code: live AI keys committed to git history. The account owner has since revoked those keys (2026-07-12), so they are now dead and the finding is closed, with an optional history scrub remaining only for tidiness. Six Medium findings were fixed — an upload memory-exhaustion DoS, oversized HTTP buffers, vulnerable dependencies, and (found by actively attempting the exploits) a path-traversal / arbitrary file write, DNS-rebinding, and CSRF against the local server. Three Low findings were also fixed. Every code-level fix is covered by a new regression test and, where exploitable, re-tested live to confirm it is blocked.</w:t>
      </w:r>
    </w:p>
    <w:p>
      <w:pPr>
        <w:pStyle w:val="Heading2"/>
      </w:pPr>
      <w:r>
        <w:t>Findings overview</w:t>
      </w:r>
    </w:p>
    <w:tbl>
      <w:tblPr>
        <w:tblStyle w:val="TableGrid"/>
        <w:tblW w:type="auto" w:w="0"/>
        <w:tblLook w:firstColumn="1" w:firstRow="1" w:lastColumn="0" w:lastRow="0" w:noHBand="0" w:noVBand="1" w:val="04A0"/>
      </w:tblPr>
      <w:tblGrid>
        <w:gridCol w:w="1000"/>
        <w:gridCol w:w="4600"/>
        <w:gridCol w:w="1200"/>
        <w:gridCol w:w="2600"/>
      </w:tblGrid>
      <w:tr>
        <w:tc>
          <w:tcPr>
            <w:tcW w:type="dxa" w:w="2160"/>
            <w:shd w:val="clear" w:fill="0B1F3A"/>
          </w:tcPr>
          <w:p>
            <w:pPr>
              <w:spacing w:after="20" w:before="20"/>
            </w:pPr>
            <w:r/>
            <w:r>
              <w:rPr>
                <w:b/>
                <w:color w:val="FFFFFF"/>
                <w:sz w:val="18"/>
              </w:rPr>
              <w:t>ID</w:t>
            </w:r>
          </w:p>
        </w:tc>
        <w:tc>
          <w:tcPr>
            <w:tcW w:type="dxa" w:w="2160"/>
            <w:shd w:val="clear" w:fill="0B1F3A"/>
          </w:tcPr>
          <w:p>
            <w:pPr>
              <w:spacing w:after="20" w:before="20"/>
            </w:pPr>
            <w:r/>
            <w:r>
              <w:rPr>
                <w:b/>
                <w:color w:val="FFFFFF"/>
                <w:sz w:val="18"/>
              </w:rPr>
              <w:t>Finding</w:t>
            </w:r>
          </w:p>
        </w:tc>
        <w:tc>
          <w:tcPr>
            <w:tcW w:type="dxa" w:w="2160"/>
            <w:shd w:val="clear" w:fill="0B1F3A"/>
          </w:tcPr>
          <w:p>
            <w:pPr>
              <w:spacing w:after="20" w:before="20"/>
            </w:pPr>
            <w:r/>
            <w:r>
              <w:rPr>
                <w:b/>
                <w:color w:val="FFFFFF"/>
                <w:sz w:val="18"/>
              </w:rPr>
              <w:t>Severity</w:t>
            </w:r>
          </w:p>
        </w:tc>
        <w:tc>
          <w:tcPr>
            <w:tcW w:type="dxa" w:w="2160"/>
            <w:shd w:val="clear" w:fill="0B1F3A"/>
          </w:tcPr>
          <w:p>
            <w:pPr>
              <w:spacing w:after="20" w:before="20"/>
            </w:pPr>
            <w:r/>
            <w:r>
              <w:rPr>
                <w:b/>
                <w:color w:val="FFFFFF"/>
                <w:sz w:val="18"/>
              </w:rPr>
              <w:t>Status</w:t>
            </w:r>
          </w:p>
        </w:tc>
      </w:tr>
      <w:tr>
        <w:tc>
          <w:tcPr>
            <w:tcW w:type="dxa" w:w="2160"/>
          </w:tcPr>
          <w:p>
            <w:pPr>
              <w:spacing w:after="20" w:before="20"/>
            </w:pPr>
            <w:r/>
            <w:r>
              <w:rPr>
                <w:b w:val="0"/>
                <w:sz w:val="18"/>
              </w:rPr>
              <w:t>F-01</w:t>
            </w:r>
          </w:p>
        </w:tc>
        <w:tc>
          <w:tcPr>
            <w:tcW w:type="dxa" w:w="2160"/>
          </w:tcPr>
          <w:p>
            <w:pPr>
              <w:spacing w:after="20" w:before="20"/>
            </w:pPr>
            <w:r/>
            <w:r>
              <w:rPr>
                <w:b w:val="0"/>
                <w:sz w:val="18"/>
              </w:rPr>
              <w:t>Live API keys committed to git history</w:t>
            </w:r>
          </w:p>
        </w:tc>
        <w:tc>
          <w:tcPr>
            <w:tcW w:type="dxa" w:w="2160"/>
          </w:tcPr>
          <w:p>
            <w:pPr>
              <w:spacing w:after="20" w:before="20"/>
            </w:pPr>
            <w:r/>
            <w:r>
              <w:rPr>
                <w:b/>
                <w:color w:val="B91C1C"/>
                <w:sz w:val="18"/>
              </w:rPr>
              <w:t>CRITICAL</w:t>
            </w:r>
          </w:p>
        </w:tc>
        <w:tc>
          <w:tcPr>
            <w:tcW w:type="dxa" w:w="2160"/>
          </w:tcPr>
          <w:p>
            <w:pPr>
              <w:spacing w:after="20" w:before="20"/>
            </w:pPr>
            <w:r/>
            <w:r>
              <w:rPr>
                <w:b w:val="0"/>
                <w:sz w:val="16"/>
              </w:rPr>
              <w:t>RESOLVED</w:t>
            </w:r>
          </w:p>
        </w:tc>
      </w:tr>
      <w:tr>
        <w:tc>
          <w:tcPr>
            <w:tcW w:type="dxa" w:w="2160"/>
          </w:tcPr>
          <w:p>
            <w:pPr>
              <w:spacing w:after="20" w:before="20"/>
            </w:pPr>
            <w:r/>
            <w:r>
              <w:rPr>
                <w:b w:val="0"/>
                <w:sz w:val="18"/>
              </w:rPr>
              <w:t>F-02</w:t>
            </w:r>
          </w:p>
        </w:tc>
        <w:tc>
          <w:tcPr>
            <w:tcW w:type="dxa" w:w="2160"/>
          </w:tcPr>
          <w:p>
            <w:pPr>
              <w:spacing w:after="20" w:before="20"/>
            </w:pPr>
            <w:r/>
            <w:r>
              <w:rPr>
                <w:b w:val="0"/>
                <w:sz w:val="18"/>
              </w:rPr>
              <w:t>Upload memory-exhaustion DoS</w:t>
            </w:r>
          </w:p>
        </w:tc>
        <w:tc>
          <w:tcPr>
            <w:tcW w:type="dxa" w:w="2160"/>
          </w:tcPr>
          <w:p>
            <w:pPr>
              <w:spacing w:after="20" w:before="20"/>
            </w:pPr>
            <w:r/>
            <w:r>
              <w:rPr>
                <w:b/>
                <w:color w:val="A16207"/>
                <w:sz w:val="18"/>
              </w:rPr>
              <w:t>MEDIUM</w:t>
            </w:r>
          </w:p>
        </w:tc>
        <w:tc>
          <w:tcPr>
            <w:tcW w:type="dxa" w:w="2160"/>
          </w:tcPr>
          <w:p>
            <w:pPr>
              <w:spacing w:after="20" w:before="20"/>
            </w:pPr>
            <w:r/>
            <w:r>
              <w:rPr>
                <w:b w:val="0"/>
                <w:sz w:val="16"/>
              </w:rPr>
              <w:t>FIXED</w:t>
            </w:r>
          </w:p>
        </w:tc>
      </w:tr>
      <w:tr>
        <w:tc>
          <w:tcPr>
            <w:tcW w:type="dxa" w:w="2160"/>
          </w:tcPr>
          <w:p>
            <w:pPr>
              <w:spacing w:after="20" w:before="20"/>
            </w:pPr>
            <w:r/>
            <w:r>
              <w:rPr>
                <w:b w:val="0"/>
                <w:sz w:val="18"/>
              </w:rPr>
              <w:t>F-03</w:t>
            </w:r>
          </w:p>
        </w:tc>
        <w:tc>
          <w:tcPr>
            <w:tcW w:type="dxa" w:w="2160"/>
          </w:tcPr>
          <w:p>
            <w:pPr>
              <w:spacing w:after="20" w:before="20"/>
            </w:pPr>
            <w:r/>
            <w:r>
              <w:rPr>
                <w:b w:val="0"/>
                <w:sz w:val="18"/>
              </w:rPr>
              <w:t>Oversized HTTP buffer / long keep-alive</w:t>
            </w:r>
          </w:p>
        </w:tc>
        <w:tc>
          <w:tcPr>
            <w:tcW w:type="dxa" w:w="2160"/>
          </w:tcPr>
          <w:p>
            <w:pPr>
              <w:spacing w:after="20" w:before="20"/>
            </w:pPr>
            <w:r/>
            <w:r>
              <w:rPr>
                <w:b/>
                <w:color w:val="A16207"/>
                <w:sz w:val="18"/>
              </w:rPr>
              <w:t>MEDIUM</w:t>
            </w:r>
          </w:p>
        </w:tc>
        <w:tc>
          <w:tcPr>
            <w:tcW w:type="dxa" w:w="2160"/>
          </w:tcPr>
          <w:p>
            <w:pPr>
              <w:spacing w:after="20" w:before="20"/>
            </w:pPr>
            <w:r/>
            <w:r>
              <w:rPr>
                <w:b w:val="0"/>
                <w:sz w:val="16"/>
              </w:rPr>
              <w:t>FIXED.</w:t>
            </w:r>
          </w:p>
        </w:tc>
      </w:tr>
      <w:tr>
        <w:tc>
          <w:tcPr>
            <w:tcW w:type="dxa" w:w="2160"/>
          </w:tcPr>
          <w:p>
            <w:pPr>
              <w:spacing w:after="20" w:before="20"/>
            </w:pPr>
            <w:r/>
            <w:r>
              <w:rPr>
                <w:b w:val="0"/>
                <w:sz w:val="18"/>
              </w:rPr>
              <w:t>F-04</w:t>
            </w:r>
          </w:p>
        </w:tc>
        <w:tc>
          <w:tcPr>
            <w:tcW w:type="dxa" w:w="2160"/>
          </w:tcPr>
          <w:p>
            <w:pPr>
              <w:spacing w:after="20" w:before="20"/>
            </w:pPr>
            <w:r/>
            <w:r>
              <w:rPr>
                <w:b w:val="0"/>
                <w:sz w:val="18"/>
              </w:rPr>
              <w:t>Known-vulnerable dependencies</w:t>
            </w:r>
          </w:p>
        </w:tc>
        <w:tc>
          <w:tcPr>
            <w:tcW w:type="dxa" w:w="2160"/>
          </w:tcPr>
          <w:p>
            <w:pPr>
              <w:spacing w:after="20" w:before="20"/>
            </w:pPr>
            <w:r/>
            <w:r>
              <w:rPr>
                <w:b/>
                <w:color w:val="A16207"/>
                <w:sz w:val="18"/>
              </w:rPr>
              <w:t>MEDIUM</w:t>
            </w:r>
          </w:p>
        </w:tc>
        <w:tc>
          <w:tcPr>
            <w:tcW w:type="dxa" w:w="2160"/>
          </w:tcPr>
          <w:p>
            <w:pPr>
              <w:spacing w:after="20" w:before="20"/>
            </w:pPr>
            <w:r/>
            <w:r>
              <w:rPr>
                <w:b w:val="0"/>
                <w:sz w:val="16"/>
              </w:rPr>
              <w:t>RESOLVED on the reference environment</w:t>
            </w:r>
          </w:p>
        </w:tc>
      </w:tr>
      <w:tr>
        <w:tc>
          <w:tcPr>
            <w:tcW w:type="dxa" w:w="2160"/>
          </w:tcPr>
          <w:p>
            <w:pPr>
              <w:spacing w:after="20" w:before="20"/>
            </w:pPr>
            <w:r/>
            <w:r>
              <w:rPr>
                <w:b w:val="0"/>
                <w:sz w:val="18"/>
              </w:rPr>
              <w:t>F-05</w:t>
            </w:r>
          </w:p>
        </w:tc>
        <w:tc>
          <w:tcPr>
            <w:tcW w:type="dxa" w:w="2160"/>
          </w:tcPr>
          <w:p>
            <w:pPr>
              <w:spacing w:after="20" w:before="20"/>
            </w:pPr>
            <w:r/>
            <w:r>
              <w:rPr>
                <w:b w:val="0"/>
                <w:sz w:val="18"/>
              </w:rPr>
              <w:t>Command-injection hardening (privileged setup)</w:t>
            </w:r>
          </w:p>
        </w:tc>
        <w:tc>
          <w:tcPr>
            <w:tcW w:type="dxa" w:w="2160"/>
          </w:tcPr>
          <w:p>
            <w:pPr>
              <w:spacing w:after="20" w:before="20"/>
            </w:pPr>
            <w:r/>
            <w:r>
              <w:rPr>
                <w:b/>
                <w:color w:val="15803D"/>
                <w:sz w:val="18"/>
              </w:rPr>
              <w:t>LOW</w:t>
            </w:r>
          </w:p>
        </w:tc>
        <w:tc>
          <w:tcPr>
            <w:tcW w:type="dxa" w:w="2160"/>
          </w:tcPr>
          <w:p>
            <w:pPr>
              <w:spacing w:after="20" w:before="20"/>
            </w:pPr>
            <w:r/>
            <w:r>
              <w:rPr>
                <w:b w:val="0"/>
                <w:sz w:val="16"/>
              </w:rPr>
              <w:t>FIXED</w:t>
            </w:r>
          </w:p>
        </w:tc>
      </w:tr>
      <w:tr>
        <w:tc>
          <w:tcPr>
            <w:tcW w:type="dxa" w:w="2160"/>
          </w:tcPr>
          <w:p>
            <w:pPr>
              <w:spacing w:after="20" w:before="20"/>
            </w:pPr>
            <w:r/>
            <w:r>
              <w:rPr>
                <w:b w:val="0"/>
                <w:sz w:val="18"/>
              </w:rPr>
              <w:t>F-06</w:t>
            </w:r>
          </w:p>
        </w:tc>
        <w:tc>
          <w:tcPr>
            <w:tcW w:type="dxa" w:w="2160"/>
          </w:tcPr>
          <w:p>
            <w:pPr>
              <w:spacing w:after="20" w:before="20"/>
            </w:pPr>
            <w:r/>
            <w:r>
              <w:rPr>
                <w:b w:val="0"/>
                <w:sz w:val="18"/>
              </w:rPr>
              <w:t>Unauthenticated web API when exposed</w:t>
            </w:r>
          </w:p>
        </w:tc>
        <w:tc>
          <w:tcPr>
            <w:tcW w:type="dxa" w:w="2160"/>
          </w:tcPr>
          <w:p>
            <w:pPr>
              <w:spacing w:after="20" w:before="20"/>
            </w:pPr>
            <w:r/>
            <w:r>
              <w:rPr>
                <w:b/>
                <w:color w:val="15803D"/>
                <w:sz w:val="18"/>
              </w:rPr>
              <w:t>LOW</w:t>
            </w:r>
          </w:p>
        </w:tc>
        <w:tc>
          <w:tcPr>
            <w:tcW w:type="dxa" w:w="2160"/>
          </w:tcPr>
          <w:p>
            <w:pPr>
              <w:spacing w:after="20" w:before="20"/>
            </w:pPr>
            <w:r/>
            <w:r>
              <w:rPr>
                <w:b w:val="0"/>
                <w:sz w:val="16"/>
              </w:rPr>
              <w:t>FIXED</w:t>
            </w:r>
          </w:p>
        </w:tc>
      </w:tr>
      <w:tr>
        <w:tc>
          <w:tcPr>
            <w:tcW w:type="dxa" w:w="2160"/>
          </w:tcPr>
          <w:p>
            <w:pPr>
              <w:spacing w:after="20" w:before="20"/>
            </w:pPr>
            <w:r/>
            <w:r>
              <w:rPr>
                <w:b w:val="0"/>
                <w:sz w:val="18"/>
              </w:rPr>
              <w:t>F-09</w:t>
            </w:r>
          </w:p>
        </w:tc>
        <w:tc>
          <w:tcPr>
            <w:tcW w:type="dxa" w:w="2160"/>
          </w:tcPr>
          <w:p>
            <w:pPr>
              <w:spacing w:after="20" w:before="20"/>
            </w:pPr>
            <w:r/>
            <w:r>
              <w:rPr>
                <w:b w:val="0"/>
                <w:sz w:val="18"/>
              </w:rPr>
              <w:t>Path traversal / arbitrary file write in evidence export</w:t>
            </w:r>
          </w:p>
        </w:tc>
        <w:tc>
          <w:tcPr>
            <w:tcW w:type="dxa" w:w="2160"/>
          </w:tcPr>
          <w:p>
            <w:pPr>
              <w:spacing w:after="20" w:before="20"/>
            </w:pPr>
            <w:r/>
            <w:r>
              <w:rPr>
                <w:b/>
                <w:color w:val="A16207"/>
                <w:sz w:val="18"/>
              </w:rPr>
              <w:t>MEDIUM</w:t>
            </w:r>
          </w:p>
        </w:tc>
        <w:tc>
          <w:tcPr>
            <w:tcW w:type="dxa" w:w="2160"/>
          </w:tcPr>
          <w:p>
            <w:pPr>
              <w:spacing w:after="20" w:before="20"/>
            </w:pPr>
            <w:r/>
            <w:r>
              <w:rPr>
                <w:b w:val="0"/>
                <w:sz w:val="16"/>
              </w:rPr>
              <w:t>FIXED</w:t>
            </w:r>
          </w:p>
        </w:tc>
      </w:tr>
      <w:tr>
        <w:tc>
          <w:tcPr>
            <w:tcW w:type="dxa" w:w="2160"/>
          </w:tcPr>
          <w:p>
            <w:pPr>
              <w:spacing w:after="20" w:before="20"/>
            </w:pPr>
            <w:r/>
            <w:r>
              <w:rPr>
                <w:b w:val="0"/>
                <w:sz w:val="18"/>
              </w:rPr>
              <w:t>F-10</w:t>
            </w:r>
          </w:p>
        </w:tc>
        <w:tc>
          <w:tcPr>
            <w:tcW w:type="dxa" w:w="2160"/>
          </w:tcPr>
          <w:p>
            <w:pPr>
              <w:spacing w:after="20" w:before="20"/>
            </w:pPr>
            <w:r/>
            <w:r>
              <w:rPr>
                <w:b w:val="0"/>
                <w:sz w:val="18"/>
              </w:rPr>
              <w:t>No Host-header validation (DNS rebinding)</w:t>
            </w:r>
          </w:p>
        </w:tc>
        <w:tc>
          <w:tcPr>
            <w:tcW w:type="dxa" w:w="2160"/>
          </w:tcPr>
          <w:p>
            <w:pPr>
              <w:spacing w:after="20" w:before="20"/>
            </w:pPr>
            <w:r/>
            <w:r>
              <w:rPr>
                <w:b/>
                <w:color w:val="A16207"/>
                <w:sz w:val="18"/>
              </w:rPr>
              <w:t>MEDIUM</w:t>
            </w:r>
          </w:p>
        </w:tc>
        <w:tc>
          <w:tcPr>
            <w:tcW w:type="dxa" w:w="2160"/>
          </w:tcPr>
          <w:p>
            <w:pPr>
              <w:spacing w:after="20" w:before="20"/>
            </w:pPr>
            <w:r/>
            <w:r>
              <w:rPr>
                <w:b w:val="0"/>
                <w:sz w:val="16"/>
              </w:rPr>
              <w:t>FIXED</w:t>
            </w:r>
          </w:p>
        </w:tc>
      </w:tr>
      <w:tr>
        <w:tc>
          <w:tcPr>
            <w:tcW w:type="dxa" w:w="2160"/>
          </w:tcPr>
          <w:p>
            <w:pPr>
              <w:spacing w:after="20" w:before="20"/>
            </w:pPr>
            <w:r/>
            <w:r>
              <w:rPr>
                <w:b w:val="0"/>
                <w:sz w:val="18"/>
              </w:rPr>
              <w:t>F-11</w:t>
            </w:r>
          </w:p>
        </w:tc>
        <w:tc>
          <w:tcPr>
            <w:tcW w:type="dxa" w:w="2160"/>
          </w:tcPr>
          <w:p>
            <w:pPr>
              <w:spacing w:after="20" w:before="20"/>
            </w:pPr>
            <w:r/>
            <w:r>
              <w:rPr>
                <w:b w:val="0"/>
                <w:sz w:val="18"/>
              </w:rPr>
              <w:t>Cross-site request forgery on state-changing endpoints</w:t>
            </w:r>
          </w:p>
        </w:tc>
        <w:tc>
          <w:tcPr>
            <w:tcW w:type="dxa" w:w="2160"/>
          </w:tcPr>
          <w:p>
            <w:pPr>
              <w:spacing w:after="20" w:before="20"/>
            </w:pPr>
            <w:r/>
            <w:r>
              <w:rPr>
                <w:b/>
                <w:color w:val="A16207"/>
                <w:sz w:val="18"/>
              </w:rPr>
              <w:t>MEDIUM</w:t>
            </w:r>
          </w:p>
        </w:tc>
        <w:tc>
          <w:tcPr>
            <w:tcW w:type="dxa" w:w="2160"/>
          </w:tcPr>
          <w:p>
            <w:pPr>
              <w:spacing w:after="20" w:before="20"/>
            </w:pPr>
            <w:r/>
            <w:r>
              <w:rPr>
                <w:b w:val="0"/>
                <w:sz w:val="16"/>
              </w:rPr>
              <w:t>FIXED</w:t>
            </w:r>
          </w:p>
        </w:tc>
      </w:tr>
      <w:tr>
        <w:tc>
          <w:tcPr>
            <w:tcW w:type="dxa" w:w="2160"/>
          </w:tcPr>
          <w:p>
            <w:pPr>
              <w:spacing w:after="20" w:before="20"/>
            </w:pPr>
            <w:r/>
            <w:r>
              <w:rPr>
                <w:b w:val="0"/>
                <w:sz w:val="18"/>
              </w:rPr>
              <w:t>F-12</w:t>
            </w:r>
          </w:p>
        </w:tc>
        <w:tc>
          <w:tcPr>
            <w:tcW w:type="dxa" w:w="2160"/>
          </w:tcPr>
          <w:p>
            <w:pPr>
              <w:spacing w:after="20" w:before="20"/>
            </w:pPr>
            <w:r/>
            <w:r>
              <w:rPr>
                <w:b w:val="0"/>
                <w:sz w:val="18"/>
              </w:rPr>
              <w:t>World-readable upload / history directories</w:t>
            </w:r>
          </w:p>
        </w:tc>
        <w:tc>
          <w:tcPr>
            <w:tcW w:type="dxa" w:w="2160"/>
          </w:tcPr>
          <w:p>
            <w:pPr>
              <w:spacing w:after="20" w:before="20"/>
            </w:pPr>
            <w:r/>
            <w:r>
              <w:rPr>
                <w:b/>
                <w:color w:val="15803D"/>
                <w:sz w:val="18"/>
              </w:rPr>
              <w:t>LOW</w:t>
            </w:r>
          </w:p>
        </w:tc>
        <w:tc>
          <w:tcPr>
            <w:tcW w:type="dxa" w:w="2160"/>
          </w:tcPr>
          <w:p>
            <w:pPr>
              <w:spacing w:after="20" w:before="20"/>
            </w:pPr>
            <w:r/>
            <w:r>
              <w:rPr>
                <w:b w:val="0"/>
                <w:sz w:val="16"/>
              </w:rPr>
              <w:t>FIXED.</w:t>
            </w:r>
          </w:p>
        </w:tc>
      </w:tr>
      <w:tr>
        <w:tc>
          <w:tcPr>
            <w:tcW w:type="dxa" w:w="2160"/>
          </w:tcPr>
          <w:p>
            <w:pPr>
              <w:spacing w:after="20" w:before="20"/>
            </w:pPr>
            <w:r/>
            <w:r>
              <w:rPr>
                <w:b w:val="0"/>
                <w:sz w:val="18"/>
              </w:rPr>
              <w:t>F-07</w:t>
            </w:r>
          </w:p>
        </w:tc>
        <w:tc>
          <w:tcPr>
            <w:tcW w:type="dxa" w:w="2160"/>
          </w:tcPr>
          <w:p>
            <w:pPr>
              <w:spacing w:after="20" w:before="20"/>
            </w:pPr>
            <w:r/>
            <w:r>
              <w:rPr>
                <w:b w:val="0"/>
                <w:sz w:val="18"/>
              </w:rPr>
              <w:t>MD5 used in JA3 fingerprinting</w:t>
            </w:r>
          </w:p>
        </w:tc>
        <w:tc>
          <w:tcPr>
            <w:tcW w:type="dxa" w:w="2160"/>
          </w:tcPr>
          <w:p>
            <w:pPr>
              <w:spacing w:after="20" w:before="20"/>
            </w:pPr>
            <w:r/>
            <w:r>
              <w:rPr>
                <w:b/>
                <w:color w:val="475569"/>
                <w:sz w:val="18"/>
              </w:rPr>
              <w:t>INFO</w:t>
            </w:r>
          </w:p>
        </w:tc>
        <w:tc>
          <w:tcPr>
            <w:tcW w:type="dxa" w:w="2160"/>
          </w:tcPr>
          <w:p>
            <w:pPr>
              <w:spacing w:after="20" w:before="20"/>
            </w:pPr>
            <w:r/>
            <w:r>
              <w:rPr>
                <w:b w:val="0"/>
                <w:sz w:val="16"/>
              </w:rPr>
              <w:t>RESOLVED</w:t>
            </w:r>
          </w:p>
        </w:tc>
      </w:tr>
      <w:tr>
        <w:tc>
          <w:tcPr>
            <w:tcW w:type="dxa" w:w="2160"/>
          </w:tcPr>
          <w:p>
            <w:pPr>
              <w:spacing w:after="20" w:before="20"/>
            </w:pPr>
            <w:r/>
            <w:r>
              <w:rPr>
                <w:b w:val="0"/>
                <w:sz w:val="18"/>
              </w:rPr>
              <w:t>F-08</w:t>
            </w:r>
          </w:p>
        </w:tc>
        <w:tc>
          <w:tcPr>
            <w:tcW w:type="dxa" w:w="2160"/>
          </w:tcPr>
          <w:p>
            <w:pPr>
              <w:spacing w:after="20" w:before="20"/>
            </w:pPr>
            <w:r/>
            <w:r>
              <w:rPr>
                <w:b w:val="0"/>
                <w:sz w:val="18"/>
              </w:rPr>
              <w:t>Subprocess started via PATH lookup</w:t>
            </w:r>
          </w:p>
        </w:tc>
        <w:tc>
          <w:tcPr>
            <w:tcW w:type="dxa" w:w="2160"/>
          </w:tcPr>
          <w:p>
            <w:pPr>
              <w:spacing w:after="20" w:before="20"/>
            </w:pPr>
            <w:r/>
            <w:r>
              <w:rPr>
                <w:b/>
                <w:color w:val="475569"/>
                <w:sz w:val="18"/>
              </w:rPr>
              <w:t>INFO</w:t>
            </w:r>
          </w:p>
        </w:tc>
        <w:tc>
          <w:tcPr>
            <w:tcW w:type="dxa" w:w="2160"/>
          </w:tcPr>
          <w:p>
            <w:pPr>
              <w:spacing w:after="20" w:before="20"/>
            </w:pPr>
            <w:r/>
            <w:r>
              <w:rPr>
                <w:b w:val="0"/>
                <w:sz w:val="16"/>
              </w:rPr>
              <w:t>ACCEPTED</w:t>
            </w:r>
          </w:p>
        </w:tc>
      </w:tr>
    </w:tbl>
    <w:p>
      <w:r>
        <w:br w:type="page"/>
      </w:r>
    </w:p>
    <w:p>
      <w:pPr>
        <w:pStyle w:val="Heading1"/>
      </w:pPr>
      <w:r>
        <w:t>2. Scope &amp; Methodology</w:t>
      </w:r>
    </w:p>
    <w:p>
      <w:pPr>
        <w:pBdr>
          <w:bottom w:val="single" w:sz="6" w:space="1" w:color="1D4ED8"/>
        </w:pBdr>
      </w:pPr>
    </w:p>
    <w:p>
      <w:r>
        <w:t>This is an authorised, defensive self-assessment of the author's own project, performed entirely in a local sandbox. No external systems, networks or third parties were touched. Four complementary techniques were used: manual review of the highest-risk paths; bandit static analysis; pip-audit dependency CVE scanning; a git-history secret scan; and live exploitation attempts to confirm each class rather than assume it safe.</w:t>
      </w:r>
    </w:p>
    <w:p>
      <w:pPr>
        <w:pStyle w:val="Heading1"/>
      </w:pPr>
      <w:r>
        <w:t>3. Audit Procedure — Step by Step</w:t>
      </w:r>
    </w:p>
    <w:p>
      <w:pPr>
        <w:pBdr>
          <w:bottom w:val="single" w:sz="6" w:space="1" w:color="1D4ED8"/>
        </w:pBdr>
      </w:pPr>
    </w:p>
    <w:p>
      <w:r>
        <w:rPr>
          <w:sz w:val="18"/>
        </w:rPr>
        <w:t>Each step records why it was performed, the command/action, and the result.</w:t>
      </w:r>
    </w:p>
    <w:tbl>
      <w:tblPr>
        <w:tblStyle w:val="TableGrid"/>
        <w:tblW w:type="auto" w:w="0"/>
        <w:tblLook w:firstColumn="1" w:firstRow="1" w:lastColumn="0" w:lastRow="0" w:noHBand="0" w:noVBand="1" w:val="04A0"/>
      </w:tblPr>
      <w:tblGrid>
        <w:gridCol w:w="520"/>
        <w:gridCol w:w="3400"/>
        <w:gridCol w:w="3000"/>
        <w:gridCol w:w="2600"/>
      </w:tblGrid>
      <w:tr>
        <w:tc>
          <w:tcPr>
            <w:tcW w:type="dxa" w:w="2160"/>
            <w:shd w:val="clear" w:fill="0B1F3A"/>
          </w:tcPr>
          <w:p>
            <w:pPr>
              <w:spacing w:after="20" w:before="20"/>
            </w:pPr>
            <w:r/>
            <w:r>
              <w:rPr>
                <w:b/>
                <w:color w:val="FFFFFF"/>
                <w:sz w:val="18"/>
              </w:rPr>
              <w:t>#</w:t>
            </w:r>
          </w:p>
        </w:tc>
        <w:tc>
          <w:tcPr>
            <w:tcW w:type="dxa" w:w="2160"/>
            <w:shd w:val="clear" w:fill="0B1F3A"/>
          </w:tcPr>
          <w:p>
            <w:pPr>
              <w:spacing w:after="20" w:before="20"/>
            </w:pPr>
            <w:r/>
            <w:r>
              <w:rPr>
                <w:b/>
                <w:color w:val="FFFFFF"/>
                <w:sz w:val="18"/>
              </w:rPr>
              <w:t>Step &amp; why</w:t>
            </w:r>
          </w:p>
        </w:tc>
        <w:tc>
          <w:tcPr>
            <w:tcW w:type="dxa" w:w="2160"/>
            <w:shd w:val="clear" w:fill="0B1F3A"/>
          </w:tcPr>
          <w:p>
            <w:pPr>
              <w:spacing w:after="20" w:before="20"/>
            </w:pPr>
            <w:r/>
            <w:r>
              <w:rPr>
                <w:b/>
                <w:color w:val="FFFFFF"/>
                <w:sz w:val="18"/>
              </w:rPr>
              <w:t>Command / action</w:t>
            </w:r>
          </w:p>
        </w:tc>
        <w:tc>
          <w:tcPr>
            <w:tcW w:type="dxa" w:w="2160"/>
            <w:shd w:val="clear" w:fill="0B1F3A"/>
          </w:tcPr>
          <w:p>
            <w:pPr>
              <w:spacing w:after="20" w:before="20"/>
            </w:pPr>
            <w:r/>
            <w:r>
              <w:rPr>
                <w:b/>
                <w:color w:val="FFFFFF"/>
                <w:sz w:val="18"/>
              </w:rPr>
              <w:t>Result</w:t>
            </w:r>
          </w:p>
        </w:tc>
      </w:tr>
      <w:tr>
        <w:tc>
          <w:tcPr>
            <w:tcW w:type="dxa" w:w="2160"/>
          </w:tcPr>
          <w:p>
            <w:pPr>
              <w:spacing w:after="20" w:before="20"/>
            </w:pPr>
            <w:r/>
            <w:r>
              <w:rPr>
                <w:b w:val="0"/>
                <w:sz w:val="18"/>
              </w:rPr>
              <w:t>1</w:t>
            </w:r>
          </w:p>
        </w:tc>
        <w:tc>
          <w:tcPr>
            <w:tcW w:type="dxa" w:w="2160"/>
          </w:tcPr>
          <w:p>
            <w:r/>
            <w:r>
              <w:rPr>
                <w:b/>
                <w:sz w:val="18"/>
              </w:rPr>
              <w:t>Establish a safe baseline</w:t>
            </w:r>
          </w:p>
          <w:p>
            <w:r>
              <w:rPr>
                <w:color w:val="475569"/>
                <w:sz w:val="15"/>
              </w:rPr>
              <w:t>Confirm the codebase is green before touching it, so any later breakage is attributable to a fix, not pre-existing.</w:t>
            </w:r>
          </w:p>
        </w:tc>
        <w:tc>
          <w:tcPr>
            <w:tcW w:type="dxa" w:w="2160"/>
          </w:tcPr>
          <w:p>
            <w:pPr>
              <w:spacing w:after="20" w:before="20"/>
            </w:pPr>
            <w:r/>
            <w:r>
              <w:rPr>
                <w:b w:val="0"/>
                <w:sz w:val="16"/>
              </w:rPr>
              <w:t>python -m pytest ; ruff check</w:t>
            </w:r>
          </w:p>
        </w:tc>
        <w:tc>
          <w:tcPr>
            <w:tcW w:type="dxa" w:w="2160"/>
          </w:tcPr>
          <w:p>
            <w:pPr>
              <w:spacing w:after="20" w:before="20"/>
            </w:pPr>
            <w:r/>
            <w:r>
              <w:rPr>
                <w:b w:val="0"/>
                <w:sz w:val="16"/>
              </w:rPr>
              <w:t>143 tests pass, lint clean</w:t>
            </w:r>
          </w:p>
        </w:tc>
      </w:tr>
      <w:tr>
        <w:tc>
          <w:tcPr>
            <w:tcW w:type="dxa" w:w="2160"/>
          </w:tcPr>
          <w:p>
            <w:pPr>
              <w:spacing w:after="20" w:before="20"/>
            </w:pPr>
            <w:r/>
            <w:r>
              <w:rPr>
                <w:b w:val="0"/>
                <w:sz w:val="18"/>
              </w:rPr>
              <w:t>2</w:t>
            </w:r>
          </w:p>
        </w:tc>
        <w:tc>
          <w:tcPr>
            <w:tcW w:type="dxa" w:w="2160"/>
          </w:tcPr>
          <w:p>
            <w:r/>
            <w:r>
              <w:rPr>
                <w:b/>
                <w:sz w:val="18"/>
              </w:rPr>
              <w:t>Static pattern sweep</w:t>
            </w:r>
          </w:p>
          <w:p>
            <w:r>
              <w:rPr>
                <w:color w:val="475569"/>
                <w:sz w:val="15"/>
              </w:rPr>
              <w:t>Manually hunt the classic RCE/deserialisation sinks before trusting any automated tool.</w:t>
            </w:r>
          </w:p>
        </w:tc>
        <w:tc>
          <w:tcPr>
            <w:tcW w:type="dxa" w:w="2160"/>
          </w:tcPr>
          <w:p>
            <w:pPr>
              <w:spacing w:after="20" w:before="20"/>
            </w:pPr>
            <w:r/>
            <w:r>
              <w:rPr>
                <w:b w:val="0"/>
                <w:sz w:val="16"/>
              </w:rPr>
              <w:t>grep -rnE 'eval|exec|pickle|os.system|shell=True|yaml.load' packetiq</w:t>
            </w:r>
          </w:p>
        </w:tc>
        <w:tc>
          <w:tcPr>
            <w:tcW w:type="dxa" w:w="2160"/>
          </w:tcPr>
          <w:p>
            <w:pPr>
              <w:spacing w:after="20" w:before="20"/>
            </w:pPr>
            <w:r/>
            <w:r>
              <w:rPr>
                <w:b w:val="0"/>
                <w:sz w:val="16"/>
              </w:rPr>
              <w:t>Only an interactive input() in the CLI chat — no dangerous sinks</w:t>
            </w:r>
          </w:p>
        </w:tc>
      </w:tr>
      <w:tr>
        <w:tc>
          <w:tcPr>
            <w:tcW w:type="dxa" w:w="2160"/>
          </w:tcPr>
          <w:p>
            <w:pPr>
              <w:spacing w:after="20" w:before="20"/>
            </w:pPr>
            <w:r/>
            <w:r>
              <w:rPr>
                <w:b w:val="0"/>
                <w:sz w:val="18"/>
              </w:rPr>
              <w:t>3</w:t>
            </w:r>
          </w:p>
        </w:tc>
        <w:tc>
          <w:tcPr>
            <w:tcW w:type="dxa" w:w="2160"/>
          </w:tcPr>
          <w:p>
            <w:r/>
            <w:r>
              <w:rPr>
                <w:b/>
                <w:sz w:val="18"/>
              </w:rPr>
              <w:t>Review file I/O &amp; path handling</w:t>
            </w:r>
          </w:p>
          <w:p>
            <w:r>
              <w:rPr>
                <w:color w:val="475569"/>
                <w:sz w:val="15"/>
              </w:rPr>
              <w:t>Verify attacker-controlled URL parameters cannot escape the upload directory.</w:t>
            </w:r>
          </w:p>
        </w:tc>
        <w:tc>
          <w:tcPr>
            <w:tcW w:type="dxa" w:w="2160"/>
          </w:tcPr>
          <w:p>
            <w:pPr>
              <w:spacing w:after="20" w:before="20"/>
            </w:pPr>
            <w:r/>
            <w:r>
              <w:rPr>
                <w:b w:val="0"/>
                <w:sz w:val="16"/>
              </w:rPr>
              <w:t>read _job_pcap_paths, /api/upload, /api/evidence</w:t>
            </w:r>
          </w:p>
        </w:tc>
        <w:tc>
          <w:tcPr>
            <w:tcW w:type="dxa" w:w="2160"/>
          </w:tcPr>
          <w:p>
            <w:pPr>
              <w:spacing w:after="20" w:before="20"/>
            </w:pPr>
            <w:r/>
            <w:r>
              <w:rPr>
                <w:b w:val="0"/>
                <w:sz w:val="16"/>
              </w:rPr>
              <w:t>job_id validated against the job registry; no traversal</w:t>
            </w:r>
          </w:p>
        </w:tc>
      </w:tr>
      <w:tr>
        <w:tc>
          <w:tcPr>
            <w:tcW w:type="dxa" w:w="2160"/>
          </w:tcPr>
          <w:p>
            <w:pPr>
              <w:spacing w:after="20" w:before="20"/>
            </w:pPr>
            <w:r/>
            <w:r>
              <w:rPr>
                <w:b w:val="0"/>
                <w:sz w:val="18"/>
              </w:rPr>
              <w:t>4</w:t>
            </w:r>
          </w:p>
        </w:tc>
        <w:tc>
          <w:tcPr>
            <w:tcW w:type="dxa" w:w="2160"/>
          </w:tcPr>
          <w:p>
            <w:r/>
            <w:r>
              <w:rPr>
                <w:b/>
                <w:sz w:val="18"/>
              </w:rPr>
              <w:t>Review database layer</w:t>
            </w:r>
          </w:p>
          <w:p>
            <w:r>
              <w:rPr>
                <w:color w:val="475569"/>
                <w:sz w:val="15"/>
              </w:rPr>
              <w:t>Confirm history persistence cannot be injected.</w:t>
            </w:r>
          </w:p>
        </w:tc>
        <w:tc>
          <w:tcPr>
            <w:tcW w:type="dxa" w:w="2160"/>
          </w:tcPr>
          <w:p>
            <w:pPr>
              <w:spacing w:after="20" w:before="20"/>
            </w:pPr>
            <w:r/>
            <w:r>
              <w:rPr>
                <w:b w:val="0"/>
                <w:sz w:val="16"/>
              </w:rPr>
              <w:t>read packetiq/storage.py</w:t>
            </w:r>
          </w:p>
        </w:tc>
        <w:tc>
          <w:tcPr>
            <w:tcW w:type="dxa" w:w="2160"/>
          </w:tcPr>
          <w:p>
            <w:pPr>
              <w:spacing w:after="20" w:before="20"/>
            </w:pPr>
            <w:r/>
            <w:r>
              <w:rPr>
                <w:b w:val="0"/>
                <w:sz w:val="16"/>
              </w:rPr>
              <w:t>Parameterised queries throughout — no SQLi</w:t>
            </w:r>
          </w:p>
        </w:tc>
      </w:tr>
      <w:tr>
        <w:tc>
          <w:tcPr>
            <w:tcW w:type="dxa" w:w="2160"/>
          </w:tcPr>
          <w:p>
            <w:pPr>
              <w:spacing w:after="20" w:before="20"/>
            </w:pPr>
            <w:r/>
            <w:r>
              <w:rPr>
                <w:b w:val="0"/>
                <w:sz w:val="18"/>
              </w:rPr>
              <w:t>5</w:t>
            </w:r>
          </w:p>
        </w:tc>
        <w:tc>
          <w:tcPr>
            <w:tcW w:type="dxa" w:w="2160"/>
          </w:tcPr>
          <w:p>
            <w:r/>
            <w:r>
              <w:rPr>
                <w:b/>
                <w:sz w:val="18"/>
              </w:rPr>
              <w:t>Review privileged code</w:t>
            </w:r>
          </w:p>
          <w:p>
            <w:r>
              <w:rPr>
                <w:color w:val="475569"/>
                <w:sz w:val="15"/>
              </w:rPr>
              <w:t>Privileged execution paths get the highest scrutiny.</w:t>
            </w:r>
          </w:p>
        </w:tc>
        <w:tc>
          <w:tcPr>
            <w:tcW w:type="dxa" w:w="2160"/>
          </w:tcPr>
          <w:p>
            <w:pPr>
              <w:spacing w:after="20" w:before="20"/>
            </w:pPr>
            <w:r/>
            <w:r>
              <w:rPr>
                <w:b w:val="0"/>
                <w:sz w:val="16"/>
              </w:rPr>
              <w:t>read capture_setup.py (osascript / setcap)</w:t>
            </w:r>
          </w:p>
        </w:tc>
        <w:tc>
          <w:tcPr>
            <w:tcW w:type="dxa" w:w="2160"/>
          </w:tcPr>
          <w:p>
            <w:pPr>
              <w:spacing w:after="20" w:before="20"/>
            </w:pPr>
            <w:r/>
            <w:r>
              <w:rPr>
                <w:b w:val="0"/>
                <w:sz w:val="16"/>
              </w:rPr>
              <w:t>$USER interpolated into an admin-privileged shell script → F-05</w:t>
            </w:r>
          </w:p>
        </w:tc>
      </w:tr>
      <w:tr>
        <w:tc>
          <w:tcPr>
            <w:tcW w:type="dxa" w:w="2160"/>
          </w:tcPr>
          <w:p>
            <w:pPr>
              <w:spacing w:after="20" w:before="20"/>
            </w:pPr>
            <w:r/>
            <w:r>
              <w:rPr>
                <w:b w:val="0"/>
                <w:sz w:val="18"/>
              </w:rPr>
              <w:t>6</w:t>
            </w:r>
          </w:p>
        </w:tc>
        <w:tc>
          <w:tcPr>
            <w:tcW w:type="dxa" w:w="2160"/>
          </w:tcPr>
          <w:p>
            <w:r/>
            <w:r>
              <w:rPr>
                <w:b/>
                <w:sz w:val="18"/>
              </w:rPr>
              <w:t>Static analysis (SAST)</w:t>
            </w:r>
          </w:p>
          <w:p>
            <w:r>
              <w:rPr>
                <w:color w:val="475569"/>
                <w:sz w:val="15"/>
              </w:rPr>
              <w:t>Automated CWE coverage to catch what manual review misses.</w:t>
            </w:r>
          </w:p>
        </w:tc>
        <w:tc>
          <w:tcPr>
            <w:tcW w:type="dxa" w:w="2160"/>
          </w:tcPr>
          <w:p>
            <w:pPr>
              <w:spacing w:after="20" w:before="20"/>
            </w:pPr>
            <w:r/>
            <w:r>
              <w:rPr>
                <w:b w:val="0"/>
                <w:sz w:val="16"/>
              </w:rPr>
              <w:t>python -m bandit -r packetiq</w:t>
            </w:r>
          </w:p>
        </w:tc>
        <w:tc>
          <w:tcPr>
            <w:tcW w:type="dxa" w:w="2160"/>
          </w:tcPr>
          <w:p>
            <w:pPr>
              <w:spacing w:after="20" w:before="20"/>
            </w:pPr>
            <w:r/>
            <w:r>
              <w:rPr>
                <w:b w:val="0"/>
                <w:sz w:val="16"/>
              </w:rPr>
              <w:t>1 High (MD5/JA3 — FP), 1 Medium (bind-all string), 41 Low</w:t>
            </w:r>
          </w:p>
        </w:tc>
      </w:tr>
      <w:tr>
        <w:tc>
          <w:tcPr>
            <w:tcW w:type="dxa" w:w="2160"/>
          </w:tcPr>
          <w:p>
            <w:pPr>
              <w:spacing w:after="20" w:before="20"/>
            </w:pPr>
            <w:r/>
            <w:r>
              <w:rPr>
                <w:b w:val="0"/>
                <w:sz w:val="18"/>
              </w:rPr>
              <w:t>7</w:t>
            </w:r>
          </w:p>
        </w:tc>
        <w:tc>
          <w:tcPr>
            <w:tcW w:type="dxa" w:w="2160"/>
          </w:tcPr>
          <w:p>
            <w:r/>
            <w:r>
              <w:rPr>
                <w:b/>
                <w:sz w:val="18"/>
              </w:rPr>
              <w:t>Dependency CVE scan</w:t>
            </w:r>
          </w:p>
          <w:p>
            <w:r>
              <w:rPr>
                <w:color w:val="475569"/>
                <w:sz w:val="15"/>
              </w:rPr>
              <w:t>Most real-world risk is in third-party components; audit the supply chain.</w:t>
            </w:r>
          </w:p>
        </w:tc>
        <w:tc>
          <w:tcPr>
            <w:tcW w:type="dxa" w:w="2160"/>
          </w:tcPr>
          <w:p>
            <w:pPr>
              <w:spacing w:after="20" w:before="20"/>
            </w:pPr>
            <w:r/>
            <w:r>
              <w:rPr>
                <w:b w:val="0"/>
                <w:sz w:val="16"/>
              </w:rPr>
              <w:t>python -m pip_audit</w:t>
            </w:r>
          </w:p>
        </w:tc>
        <w:tc>
          <w:tcPr>
            <w:tcW w:type="dxa" w:w="2160"/>
          </w:tcPr>
          <w:p>
            <w:pPr>
              <w:spacing w:after="20" w:before="20"/>
            </w:pPr>
            <w:r/>
            <w:r>
              <w:rPr>
                <w:b w:val="0"/>
                <w:sz w:val="16"/>
              </w:rPr>
              <w:t>Advisories in python-multipart, starlette, requests, urllib3, cryptography, idna, python-dotenv → F-04</w:t>
            </w:r>
          </w:p>
        </w:tc>
      </w:tr>
      <w:tr>
        <w:tc>
          <w:tcPr>
            <w:tcW w:type="dxa" w:w="2160"/>
          </w:tcPr>
          <w:p>
            <w:pPr>
              <w:spacing w:after="20" w:before="20"/>
            </w:pPr>
            <w:r/>
            <w:r>
              <w:rPr>
                <w:b w:val="0"/>
                <w:sz w:val="18"/>
              </w:rPr>
              <w:t>8</w:t>
            </w:r>
          </w:p>
        </w:tc>
        <w:tc>
          <w:tcPr>
            <w:tcW w:type="dxa" w:w="2160"/>
          </w:tcPr>
          <w:p>
            <w:r/>
            <w:r>
              <w:rPr>
                <w:b/>
                <w:sz w:val="18"/>
              </w:rPr>
              <w:t>Secret scan (git history)</w:t>
            </w:r>
          </w:p>
          <w:p>
            <w:r>
              <w:rPr>
                <w:color w:val="475569"/>
                <w:sz w:val="15"/>
              </w:rPr>
              <w:t>Secrets removed from the working tree often persist in history; scan the whole DAG.</w:t>
            </w:r>
          </w:p>
        </w:tc>
        <w:tc>
          <w:tcPr>
            <w:tcW w:type="dxa" w:w="2160"/>
          </w:tcPr>
          <w:p>
            <w:pPr>
              <w:spacing w:after="20" w:before="20"/>
            </w:pPr>
            <w:r/>
            <w:r>
              <w:rPr>
                <w:b w:val="0"/>
                <w:sz w:val="16"/>
              </w:rPr>
              <w:t>git log -p -- .env.example | grep -E 'AIzaSy|gsk_'</w:t>
            </w:r>
          </w:p>
        </w:tc>
        <w:tc>
          <w:tcPr>
            <w:tcW w:type="dxa" w:w="2160"/>
          </w:tcPr>
          <w:p>
            <w:pPr>
              <w:spacing w:after="20" w:before="20"/>
            </w:pPr>
            <w:r/>
            <w:r>
              <w:rPr>
                <w:b w:val="0"/>
                <w:sz w:val="16"/>
              </w:rPr>
              <w:t>Live Gemini + Groq keys found in history → F-01 (CRITICAL)</w:t>
            </w:r>
          </w:p>
        </w:tc>
      </w:tr>
      <w:tr>
        <w:tc>
          <w:tcPr>
            <w:tcW w:type="dxa" w:w="2160"/>
          </w:tcPr>
          <w:p>
            <w:pPr>
              <w:spacing w:after="20" w:before="20"/>
            </w:pPr>
            <w:r/>
            <w:r>
              <w:rPr>
                <w:b w:val="0"/>
                <w:sz w:val="18"/>
              </w:rPr>
              <w:t>9</w:t>
            </w:r>
          </w:p>
        </w:tc>
        <w:tc>
          <w:tcPr>
            <w:tcW w:type="dxa" w:w="2160"/>
          </w:tcPr>
          <w:p>
            <w:r/>
            <w:r>
              <w:rPr>
                <w:b/>
                <w:sz w:val="18"/>
              </w:rPr>
              <w:t>Remediate code findings</w:t>
            </w:r>
          </w:p>
          <w:p>
            <w:r>
              <w:rPr>
                <w:color w:val="475569"/>
                <w:sz w:val="15"/>
              </w:rPr>
              <w:t>Fix the issues we control, in code, with the least disruptive change.</w:t>
            </w:r>
          </w:p>
        </w:tc>
        <w:tc>
          <w:tcPr>
            <w:tcW w:type="dxa" w:w="2160"/>
          </w:tcPr>
          <w:p>
            <w:pPr>
              <w:spacing w:after="20" w:before="20"/>
            </w:pPr>
            <w:r/>
            <w:r>
              <w:rPr>
                <w:b w:val="0"/>
                <w:sz w:val="16"/>
              </w:rPr>
              <w:t>edit app.py / cli.py / capture_setup.py / ja3.py</w:t>
            </w:r>
          </w:p>
        </w:tc>
        <w:tc>
          <w:tcPr>
            <w:tcW w:type="dxa" w:w="2160"/>
          </w:tcPr>
          <w:p>
            <w:pPr>
              <w:spacing w:after="20" w:before="20"/>
            </w:pPr>
            <w:r/>
            <w:r>
              <w:rPr>
                <w:b w:val="0"/>
                <w:sz w:val="16"/>
              </w:rPr>
              <w:t>Streamed uploads, bounded buffers, username validation, MD5 annotation, bind warning</w:t>
            </w:r>
          </w:p>
        </w:tc>
      </w:tr>
      <w:tr>
        <w:tc>
          <w:tcPr>
            <w:tcW w:type="dxa" w:w="2160"/>
          </w:tcPr>
          <w:p>
            <w:pPr>
              <w:spacing w:after="20" w:before="20"/>
            </w:pPr>
            <w:r/>
            <w:r>
              <w:rPr>
                <w:b w:val="0"/>
                <w:sz w:val="18"/>
              </w:rPr>
              <w:t>10</w:t>
            </w:r>
          </w:p>
        </w:tc>
        <w:tc>
          <w:tcPr>
            <w:tcW w:type="dxa" w:w="2160"/>
          </w:tcPr>
          <w:p>
            <w:r/>
            <w:r>
              <w:rPr>
                <w:b/>
                <w:sz w:val="18"/>
              </w:rPr>
              <w:t>Remediate dependencies</w:t>
            </w:r>
          </w:p>
          <w:p>
            <w:r>
              <w:rPr>
                <w:color w:val="475569"/>
                <w:sz w:val="15"/>
              </w:rPr>
              <w:t>Apply the patches that are installable now; pin safe minimums for future installs.</w:t>
            </w:r>
          </w:p>
        </w:tc>
        <w:tc>
          <w:tcPr>
            <w:tcW w:type="dxa" w:w="2160"/>
          </w:tcPr>
          <w:p>
            <w:pPr>
              <w:spacing w:after="20" w:before="20"/>
            </w:pPr>
            <w:r/>
            <w:r>
              <w:rPr>
                <w:b w:val="0"/>
                <w:sz w:val="16"/>
              </w:rPr>
              <w:t>pin security floors in pyproject.toml + requirements.txt</w:t>
            </w:r>
          </w:p>
        </w:tc>
        <w:tc>
          <w:tcPr>
            <w:tcW w:type="dxa" w:w="2160"/>
          </w:tcPr>
          <w:p>
            <w:pPr>
              <w:spacing w:after="20" w:before="20"/>
            </w:pPr>
            <w:r/>
            <w:r>
              <w:rPr>
                <w:b w:val="0"/>
                <w:sz w:val="16"/>
              </w:rPr>
              <w:t>reference env migrated to Python 3.12.13 — runtime advisories cleared; 3.9 stays supported at newest-compatible pins</w:t>
            </w:r>
          </w:p>
        </w:tc>
      </w:tr>
      <w:tr>
        <w:tc>
          <w:tcPr>
            <w:tcW w:type="dxa" w:w="2160"/>
          </w:tcPr>
          <w:p>
            <w:pPr>
              <w:spacing w:after="20" w:before="20"/>
            </w:pPr>
            <w:r/>
            <w:r>
              <w:rPr>
                <w:b w:val="0"/>
                <w:sz w:val="18"/>
              </w:rPr>
              <w:t>11</w:t>
            </w:r>
          </w:p>
        </w:tc>
        <w:tc>
          <w:tcPr>
            <w:tcW w:type="dxa" w:w="2160"/>
          </w:tcPr>
          <w:p>
            <w:r/>
            <w:r>
              <w:rPr>
                <w:b/>
                <w:sz w:val="18"/>
              </w:rPr>
              <w:t>Add regression tests</w:t>
            </w:r>
          </w:p>
          <w:p>
            <w:r>
              <w:rPr>
                <w:color w:val="475569"/>
                <w:sz w:val="15"/>
              </w:rPr>
              <w:t>Lock the fixes so they cannot silently regress.</w:t>
            </w:r>
          </w:p>
        </w:tc>
        <w:tc>
          <w:tcPr>
            <w:tcW w:type="dxa" w:w="2160"/>
          </w:tcPr>
          <w:p>
            <w:pPr>
              <w:spacing w:after="20" w:before="20"/>
            </w:pPr>
            <w:r/>
            <w:r>
              <w:rPr>
                <w:b w:val="0"/>
                <w:sz w:val="16"/>
              </w:rPr>
              <w:t>tests/test_security.py</w:t>
            </w:r>
          </w:p>
        </w:tc>
        <w:tc>
          <w:tcPr>
            <w:tcW w:type="dxa" w:w="2160"/>
          </w:tcPr>
          <w:p>
            <w:pPr>
              <w:spacing w:after="20" w:before="20"/>
            </w:pPr>
            <w:r/>
            <w:r>
              <w:rPr>
                <w:b w:val="0"/>
                <w:sz w:val="16"/>
              </w:rPr>
              <w:t>4 tests (upload abort, username gate) pass</w:t>
            </w:r>
          </w:p>
        </w:tc>
      </w:tr>
      <w:tr>
        <w:tc>
          <w:tcPr>
            <w:tcW w:type="dxa" w:w="2160"/>
          </w:tcPr>
          <w:p>
            <w:pPr>
              <w:spacing w:after="20" w:before="20"/>
            </w:pPr>
            <w:r/>
            <w:r>
              <w:rPr>
                <w:b w:val="0"/>
                <w:sz w:val="18"/>
              </w:rPr>
              <w:t>12</w:t>
            </w:r>
          </w:p>
        </w:tc>
        <w:tc>
          <w:tcPr>
            <w:tcW w:type="dxa" w:w="2160"/>
          </w:tcPr>
          <w:p>
            <w:r/>
            <w:r>
              <w:rPr>
                <w:b/>
                <w:sz w:val="18"/>
              </w:rPr>
              <w:t>Deep round-2 (verified, not assumed)</w:t>
            </w:r>
          </w:p>
          <w:p>
            <w:r>
              <w:rPr>
                <w:color w:val="475569"/>
                <w:sz w:val="15"/>
              </w:rPr>
              <w:t>Go beyond the obvious surface: actively try to exploit each class rather than assume it is safe.</w:t>
            </w:r>
          </w:p>
        </w:tc>
        <w:tc>
          <w:tcPr>
            <w:tcW w:type="dxa" w:w="2160"/>
          </w:tcPr>
          <w:p>
            <w:pPr>
              <w:spacing w:after="20" w:before="20"/>
            </w:pPr>
            <w:r/>
            <w:r>
              <w:rPr>
                <w:b w:val="0"/>
                <w:sz w:val="16"/>
              </w:rPr>
              <w:t>XSS interpolation scan ; live traversal/rebinding/CSRF exploit attempts</w:t>
            </w:r>
          </w:p>
        </w:tc>
        <w:tc>
          <w:tcPr>
            <w:tcW w:type="dxa" w:w="2160"/>
          </w:tcPr>
          <w:p>
            <w:pPr>
              <w:spacing w:after="20" w:before="20"/>
            </w:pPr>
            <w:r/>
            <w:r>
              <w:rPr>
                <w:b w:val="0"/>
                <w:sz w:val="16"/>
              </w:rPr>
              <w:t>Found + FIXED path traversal (F-09), DNS-rebinding (F-10), CSRF (F-11), dir perms (F-12)</w:t>
            </w:r>
          </w:p>
        </w:tc>
      </w:tr>
      <w:tr>
        <w:tc>
          <w:tcPr>
            <w:tcW w:type="dxa" w:w="2160"/>
          </w:tcPr>
          <w:p>
            <w:pPr>
              <w:spacing w:after="20" w:before="20"/>
            </w:pPr>
            <w:r/>
            <w:r>
              <w:rPr>
                <w:b w:val="0"/>
                <w:sz w:val="18"/>
              </w:rPr>
              <w:t>13</w:t>
            </w:r>
          </w:p>
        </w:tc>
        <w:tc>
          <w:tcPr>
            <w:tcW w:type="dxa" w:w="2160"/>
          </w:tcPr>
          <w:p>
            <w:r/>
            <w:r>
              <w:rPr>
                <w:b/>
                <w:sz w:val="18"/>
              </w:rPr>
              <w:t>Re-verify</w:t>
            </w:r>
          </w:p>
          <w:p>
            <w:r>
              <w:rPr>
                <w:color w:val="475569"/>
                <w:sz w:val="15"/>
              </w:rPr>
              <w:t>Prove the fixes work and introduced no regressions.</w:t>
            </w:r>
          </w:p>
        </w:tc>
        <w:tc>
          <w:tcPr>
            <w:tcW w:type="dxa" w:w="2160"/>
          </w:tcPr>
          <w:p>
            <w:pPr>
              <w:spacing w:after="20" w:before="20"/>
            </w:pPr>
            <w:r/>
            <w:r>
              <w:rPr>
                <w:b w:val="0"/>
                <w:sz w:val="16"/>
              </w:rPr>
              <w:t>pytest ; ruff ; bandit ; pip_audit ; live exploit re-tests</w:t>
            </w:r>
          </w:p>
        </w:tc>
        <w:tc>
          <w:tcPr>
            <w:tcW w:type="dxa" w:w="2160"/>
          </w:tcPr>
          <w:p>
            <w:pPr>
              <w:spacing w:after="20" w:before="20"/>
            </w:pPr>
            <w:r/>
            <w:r>
              <w:rPr>
                <w:b w:val="0"/>
                <w:sz w:val="16"/>
              </w:rPr>
              <w:t>full suite (now 304 tests) passes, lint clean, bandit High=0 &amp; Medium=0, all exploits blocked</w:t>
            </w:r>
          </w:p>
        </w:tc>
      </w:tr>
    </w:tbl>
    <w:p>
      <w:r>
        <w:br w:type="page"/>
      </w:r>
    </w:p>
    <w:p>
      <w:pPr>
        <w:pStyle w:val="Heading1"/>
      </w:pPr>
      <w:r>
        <w:t>4. Findings in Detail</w:t>
      </w:r>
    </w:p>
    <w:p>
      <w:pPr>
        <w:pBdr>
          <w:bottom w:val="single" w:sz="6" w:space="1" w:color="1D4ED8"/>
        </w:pBdr>
      </w:pPr>
    </w:p>
    <w:p>
      <w:pPr>
        <w:pStyle w:val="Heading2"/>
      </w:pPr>
      <w:r>
        <w:t>F-01 · Live API keys committed to git history</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B91C1C"/>
                <w:sz w:val="18"/>
              </w:rPr>
              <w:t>CRITICAL · CWE-798 Hard-coded Credentials</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Real Google Gemini and Groq API keys were committed to .env.example in earlier history. The working tree is sanitised, but the secrets remain recoverable from the git history of every clone.</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Anyone with the repo (or a fork/mirror) can extract working keys → unauthorised AI usage billed to the owner, quota abuse.</w:t>
            </w:r>
          </w:p>
        </w:tc>
      </w:tr>
    </w:tbl>
    <w:p>
      <w:r>
        <w:rPr>
          <w:b/>
          <w:sz w:val="17"/>
        </w:rPr>
        <w:t xml:space="preserve">Evidence:  </w:t>
      </w:r>
      <w:r>
        <w:rPr>
          <w:rFonts w:ascii="Consolas" w:hAnsi="Consolas"/>
          <w:sz w:val="16"/>
        </w:rPr>
        <w:t>git log -p -- .env.example →</w:t>
        <w:br/>
        <w:t>-GEMINI_API_KEY="AIzaSyDBdy_…"</w:t>
        <w:br/>
        <w:t>-GROQ_API_KEY="gsk_VYQsfBEN7…"   (4 occurrences across history)</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Working tree sanitised to placeholders and .env is gitignored. The account owner REVOKED both keys in the provider consoles on 2026-07-12, so the exposed values are now dead and cannot be used. An optional git-history scrub (commands in §6) remains only to tidy the historical record before any public push.</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RESOLVED — keys revoked by the owner (2026-07-12); the leaked values no longer authenticate. Optional history scrub before a public push.</w:t>
            </w:r>
          </w:p>
        </w:tc>
      </w:tr>
    </w:tbl>
    <w:p/>
    <w:p>
      <w:pPr>
        <w:pStyle w:val="Heading2"/>
      </w:pPr>
      <w:r>
        <w:t>F-02 · Upload memory-exhaustion DoS</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CWE-400 Uncontrolled Resource Consumption</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The /api/upload and /api/fuse endpoints read the entire uploaded body into RAM (await file.read()) and only checked the size afterwards, with a 10 GB cap.</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single large (or many concurrent) uploads exhaust server memory before any limit is enforced — denial of service.</w:t>
            </w:r>
          </w:p>
        </w:tc>
      </w:tr>
    </w:tbl>
    <w:p>
      <w:r>
        <w:rPr>
          <w:b/>
          <w:sz w:val="17"/>
        </w:rPr>
        <w:t xml:space="preserve">Evidence:  </w:t>
      </w:r>
      <w:r>
        <w:rPr>
          <w:rFonts w:ascii="Consolas" w:hAnsi="Consolas"/>
          <w:sz w:val="16"/>
        </w:rPr>
        <w:t>content = await file.read(); if len(content)/MB &gt; MAX_UPLOAD_MB …   # MAX_UPLOAD_MB = 10_240</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Rewrote uploads to STREAM to disk in 1 MiB chunks with an early abort once the cap is exceeded — memory use is now bounded by the 1 MiB chunk, not the file size, which is what actually removes the DoS. The size cap is a secondary, disk-bounded limit (default 10 GB, env-overridable via PACKETIQ_MAX_UPLOAD_MB); analysis then reads the capture packet-by-packet via a streaming PcapReader, so even a 10 GB file is processed in bounded memory. Added a 50-file campaign limit; filenames are basename-sanitised.</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 verified by test (3 MiB vs 1 MiB cap → HTTP 413, partial file removed).</w:t>
            </w:r>
          </w:p>
        </w:tc>
      </w:tr>
    </w:tbl>
    <w:p/>
    <w:p>
      <w:pPr>
        <w:pStyle w:val="Heading2"/>
      </w:pPr>
      <w:r>
        <w:t>F-03 · Oversized HTTP buffer / long keep-alive</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CWE-400 / Slowloris</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uvicorn was started with h11_max_incomplete_event_size = 10 GB and timeout_keep_alive = 600 s.</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client could force the server to buffer up to 10 GB for a single incomplete request, and hold connections open for 10 min — resource-exhaustion / slowloris surface.</w:t>
            </w:r>
          </w:p>
        </w:tc>
      </w:tr>
    </w:tbl>
    <w:p>
      <w:r>
        <w:rPr>
          <w:b/>
          <w:sz w:val="17"/>
        </w:rPr>
        <w:t xml:space="preserve">Evidence:  </w:t>
      </w:r>
      <w:r>
        <w:rPr>
          <w:rFonts w:ascii="Consolas" w:hAnsi="Consolas"/>
          <w:sz w:val="16"/>
        </w:rPr>
        <w:t>uvicorn.run(…, timeout_keep_alive=600, h11_max_incomplete_event_size=10*1024**3)</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Reduced the header buffer to 16 MB and keep-alive to 75 s.</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w:t>
            </w:r>
          </w:p>
        </w:tc>
      </w:tr>
    </w:tbl>
    <w:p/>
    <w:p>
      <w:pPr>
        <w:pStyle w:val="Heading2"/>
      </w:pPr>
      <w:r>
        <w:t>F-04 · Known-vulnerable dependencies</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CWE-1395 Vulnerable Components</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pip-audit flags advisories (mostly DoS / parser edge cases) in python-multipart, starlette, requests, urllib3, click and python-dotenv.</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DoS / parsing and request-handling weaknesses inherited from third-party libraries. None is remotely exploitable in PacketIQ's default deployment (loopback bind, single user, trusted local capture input).</w:t>
            </w:r>
          </w:p>
        </w:tc>
      </w:tr>
    </w:tbl>
    <w:p>
      <w:r>
        <w:rPr>
          <w:b/>
          <w:sz w:val="17"/>
        </w:rPr>
        <w:t xml:space="preserve">Evidence:  </w:t>
      </w:r>
      <w:r>
        <w:rPr>
          <w:rFonts w:ascii="Consolas" w:hAnsi="Consolas"/>
          <w:sz w:val="16"/>
        </w:rPr>
        <w:t>The reference environment was migrated to Python 3.12.13 (2026-07-15), where pip resolves the pinned floors to their fully-patched releases: python-multipart 0.0.20→0.0.32, requests 2.32.5→2.34.2, urllib3 2.6.3→2.7.0, starlette 0.49.3→1.3.1, click 8.1.8→8.4.2, python-dotenv 1.2.1→1.2.2. pip-audit on that venv reports zero advisories across the runtime dependency set. On Python 3.9 each package is instead pinned to the newest 3.9-compatible release, and the advisory fixes require Python ≥ 3.10.</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Security-patched minimum versions are pinned in pyproject.toml and requirements.txt (requests ≥2.32.4, urllib3 ≥2.6.0, python-multipart ≥0.0.18, cryptography ≥44.0.1). The reference/dev environment was migrated to Python 3.12.13 (2026-07-15) using a standalone uv-managed interpreter — no system change and no code change (requires-python stays ≥3.9) — and there the floors resolve to fully-patched releases. Python 3.9 remains supported for anyone who needs it, installing at the newest 3.9-compatible release (Python 3.9 reached end-of-life in October 2025).</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RESOLVED on the reference environment (Python 3.12.13) — the runtime-dependency advisories (python-multipart, starlette, requests, urllib3, click, python-dotenv) are cleared. Python 3.9 stays supported with newest-compatible pins. One dev-only transitive advisory remains: diskcache (pulled by the dev-extra pySigma, not a runtime dependency) — PYSEC-2026-2447, no upstream fix released yet; never shipped to runtime users.</w:t>
            </w:r>
          </w:p>
        </w:tc>
      </w:tr>
    </w:tbl>
    <w:p/>
    <w:p>
      <w:pPr>
        <w:pStyle w:val="Heading2"/>
      </w:pPr>
      <w:r>
        <w:t>F-05 · Command-injection hardening (privileged setup)</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15803D"/>
                <w:sz w:val="18"/>
              </w:rPr>
              <w:t>LOW · CWE-78 OS Command Injection</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capture_setup interpolates $USER/$LOGNAME into a shell script run with administrator privileges via osascript.</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tampered $USER containing a single quote could break out of the quoting and inject commands in a root context (low likelihood — local, user-controlled env — but high impact).</w:t>
            </w:r>
          </w:p>
        </w:tc>
      </w:tr>
    </w:tbl>
    <w:p>
      <w:r>
        <w:rPr>
          <w:b/>
          <w:sz w:val="17"/>
        </w:rPr>
        <w:t xml:space="preserve">Evidence:  </w:t>
      </w:r>
      <w:r>
        <w:rPr>
          <w:rFonts w:ascii="Consolas" w:hAnsi="Consolas"/>
          <w:sz w:val="16"/>
        </w:rPr>
        <w:t>script = f"… dseditgroup -o edit -a '{user}' …"  (run 'with administrator privileges')</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Added strict charset validation (^[A-Za-z0-9._-]{1,32}$); the privileged script is not built unless the username is safe.</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 verified by test (evil$(id), a;rm -rf /, x'y all rejected).</w:t>
            </w:r>
          </w:p>
        </w:tc>
      </w:tr>
    </w:tbl>
    <w:p/>
    <w:p>
      <w:pPr>
        <w:pStyle w:val="Heading2"/>
      </w:pPr>
      <w:r>
        <w:t>F-06 · Unauthenticated web API when exposed</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15803D"/>
                <w:sz w:val="18"/>
              </w:rPr>
              <w:t>LOW · CWE-306 Missing Authentication</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The web API has no authentication, CORS or rate-limiting. It binds 127.0.0.1 by default (safe), but --host 0.0.0.0 exposes upload/analysis/AI to the network.</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On a non-loopback bind, anyone on the network can upload captures, read results, drive paid AI usage, or trigger the privileged capture setup.</w:t>
            </w:r>
          </w:p>
        </w:tc>
      </w:tr>
    </w:tbl>
    <w:p>
      <w:r>
        <w:rPr>
          <w:b/>
          <w:sz w:val="17"/>
        </w:rPr>
        <w:t xml:space="preserve">Evidence:  </w:t>
      </w:r>
      <w:r>
        <w:rPr>
          <w:rFonts w:ascii="Consolas" w:hAnsi="Consolas"/>
          <w:sz w:val="16"/>
        </w:rPr>
        <w:t>FastAPI(...) — no auth dependency; cli webapp --host 0.0.0.0 option.</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Added an explicit security warning printed whenever the server binds to a non-loopback address; documented that exposure requires a trusted network or an authenticated reverse proxy. (By design the tool is single-user/local.)</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(warning + guidance) — full auth is a deployment-layer concern, documented as a recommendation.</w:t>
            </w:r>
          </w:p>
        </w:tc>
      </w:tr>
    </w:tbl>
    <w:p/>
    <w:p>
      <w:pPr>
        <w:pStyle w:val="Heading2"/>
      </w:pPr>
      <w:r>
        <w:t>F-09 · Path traversal / arbitrary file write in evidence export</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CWE-22 Path Traversal</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The /api/evidence endpoint built the output filename by interpolating the user-controlled ip query parameter directly into a filesystem path.</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request with ip=../../../../tmp/PWNED wrote the sliced capture OUTSIDE the upload directory — arbitrary .pcap file write (verified: the crafted path escaped UPLOAD_DIR).</w:t>
            </w:r>
          </w:p>
        </w:tc>
      </w:tr>
    </w:tbl>
    <w:p>
      <w:r>
        <w:rPr>
          <w:b/>
          <w:sz w:val="17"/>
        </w:rPr>
        <w:t xml:space="preserve">Evidence:  </w:t>
      </w:r>
      <w:r>
        <w:rPr>
          <w:rFonts w:ascii="Consolas" w:hAnsi="Consolas"/>
          <w:sz w:val="16"/>
        </w:rPr>
        <w:t>out = UPLOAD_DIR / f"evidence_{job_id[:8]}_{ip}_{port}.pcap"   # ip from the URL</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The `ip` is now validated as a real IP (ipaddress.ip_address) and the output filename is built from server-controlled values + a random token only — the raw parameter never reaches the path. (The filter itself uses set membership, not a BPF string, so there was no BPF injection.)</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 verified live (ip=../../../../tmp/PWNED → HTTP 400, no file created) and by test.</w:t>
            </w:r>
          </w:p>
        </w:tc>
      </w:tr>
    </w:tbl>
    <w:p/>
    <w:p>
      <w:pPr>
        <w:pStyle w:val="Heading2"/>
      </w:pPr>
      <w:r>
        <w:t>F-10 · No Host-header validation (DNS rebinding)</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CWE-350 Reliance on Untrusted Inputs</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The local web server did not validate the HTTP Host header, so a malicious website whose domain resolves to 127.0.0.1 (DNS rebinding) could drive the API from the victim's browser.</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visited web page could read analysis results or invoke actions on the locally-running PacketIQ.</w:t>
            </w:r>
          </w:p>
        </w:tc>
      </w:tr>
    </w:tbl>
    <w:p>
      <w:r>
        <w:rPr>
          <w:b/>
          <w:sz w:val="17"/>
        </w:rPr>
        <w:t xml:space="preserve">Evidence:  </w:t>
      </w:r>
      <w:r>
        <w:rPr>
          <w:rFonts w:ascii="Consolas" w:hAnsi="Consolas"/>
          <w:sz w:val="16"/>
        </w:rPr>
        <w:t>No TrustedHost / Host check on any route.</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Added a security middleware that validates the Host header against a loopback allow-list (widened by the launcher only when the operator deliberately binds a non-loopback address).</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 verified live (Host: evil.com → HTTP 400) and by test.</w:t>
            </w:r>
          </w:p>
        </w:tc>
      </w:tr>
    </w:tbl>
    <w:p/>
    <w:p>
      <w:pPr>
        <w:pStyle w:val="Heading2"/>
      </w:pPr>
      <w:r>
        <w:t>F-11 · Cross-site request forgery on state-changing endpoints</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CWE-352 CSRF</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State-changing POSTs (including /api/live/setup-capture, which triggers a privileged admin-password prompt) had no origin check, so a malicious page could submit them cross-origin from the victim's browser.</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visited web page could pop the OS admin-password prompt or start analysis / drive paid AI usage without consent.</w:t>
            </w:r>
          </w:p>
        </w:tc>
      </w:tr>
    </w:tbl>
    <w:p>
      <w:r>
        <w:rPr>
          <w:b/>
          <w:sz w:val="17"/>
        </w:rPr>
        <w:t xml:space="preserve">Evidence:  </w:t>
      </w:r>
      <w:r>
        <w:rPr>
          <w:rFonts w:ascii="Consolas" w:hAnsi="Consolas"/>
          <w:sz w:val="16"/>
        </w:rPr>
        <w:t>POST /api/live/setup-capture with no CSRF/Origin protection.</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The same middleware rejects state-changing requests whose Origin is cross-site (HTTP 403); read-only GETs are unaffected; same-origin SPA calls continue to work.</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 verified live (cross-origin POST setup-capture → HTTP 403) and by test.</w:t>
            </w:r>
          </w:p>
        </w:tc>
      </w:tr>
    </w:tbl>
    <w:p/>
    <w:p>
      <w:pPr>
        <w:pStyle w:val="Heading2"/>
      </w:pPr>
      <w:r>
        <w:t>F-12 · World-readable upload / history directories</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15803D"/>
                <w:sz w:val="18"/>
              </w:rPr>
              <w:t>LOW · CWE-732 / CWE-377 Insecure Permissions</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Uploaded captures and the SQLite history DB were stored in directories created with default (world-readable) permissions in a shared temp location.</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On a multi-user host, other local users could read potentially sensitive captured traffic and analysis history.</w:t>
            </w:r>
          </w:p>
        </w:tc>
      </w:tr>
    </w:tbl>
    <w:p>
      <w:r>
        <w:rPr>
          <w:b/>
          <w:sz w:val="17"/>
        </w:rPr>
        <w:t xml:space="preserve">Evidence:  </w:t>
      </w:r>
      <w:r>
        <w:rPr>
          <w:rFonts w:ascii="Consolas" w:hAnsi="Consolas"/>
          <w:sz w:val="16"/>
        </w:rPr>
        <w:t>UPLOAD_DIR.mkdir(exist_ok=True)  # default 0755; captures written 0644</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The upload and history directories are now chmod 0700 (owner-only).</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w:t>
            </w:r>
          </w:p>
        </w:tc>
      </w:tr>
    </w:tbl>
    <w:p/>
    <w:p>
      <w:pPr>
        <w:pStyle w:val="Heading2"/>
      </w:pPr>
      <w:r>
        <w:t>F-07 · MD5 used in JA3 fingerprinting</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475569"/>
                <w:sz w:val="18"/>
              </w:rPr>
              <w:t>INFO · CWE-327 (false positive)</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bandit flagged hashlib.md5 in the JA3 fingerprinter as a weak hash.</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None. JA3 is DEFINED as the MD5 of the cipher string (Salesforce spec); it is an identifier, not a security/integrity control.</w:t>
            </w:r>
          </w:p>
        </w:tc>
      </w:tr>
    </w:tbl>
    <w:p>
      <w:r>
        <w:rPr>
          <w:b/>
          <w:sz w:val="17"/>
        </w:rPr>
        <w:t xml:space="preserve">Evidence:  </w:t>
      </w:r>
      <w:r>
        <w:rPr>
          <w:rFonts w:ascii="Consolas" w:hAnsi="Consolas"/>
          <w:sz w:val="16"/>
        </w:rPr>
        <w:t>return hashlib.md5(ja3_str.encode()).hexdigest()</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Annotated with usedforsecurity=False and a comment documenting the intent (also clears the bandit HIGH).</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RESOLVED (annotated; not a real weakness).</w:t>
            </w:r>
          </w:p>
        </w:tc>
      </w:tr>
    </w:tbl>
    <w:p/>
    <w:p>
      <w:pPr>
        <w:pStyle w:val="Heading2"/>
      </w:pPr>
      <w:r>
        <w:t>F-08 · Subprocess started via PATH lookup</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475569"/>
                <w:sz w:val="18"/>
              </w:rPr>
              <w:t>INFO · CWE-426 Untrusted Search Path</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getcap/setcap/osascript are invoked by name (relying on PATH) rather than absolute path.</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Low — these are standard system binaries; exploitation needs an attacker-controlled PATH, which implies prior local compromise.</w:t>
            </w:r>
          </w:p>
        </w:tc>
      </w:tr>
    </w:tbl>
    <w:p>
      <w:r>
        <w:rPr>
          <w:b/>
          <w:sz w:val="17"/>
        </w:rPr>
        <w:t xml:space="preserve">Evidence:  </w:t>
      </w:r>
      <w:r>
        <w:rPr>
          <w:rFonts w:ascii="Consolas" w:hAnsi="Consolas"/>
          <w:sz w:val="16"/>
        </w:rPr>
        <w:t>bandit B607 — start_process_with_partial_path (×2).</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Accepted risk / documented. All subprocess calls already use list-form args (no shell=True) so there is no shell-metacharacter exposure.</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ACCEPTED (documented residual risk).</w:t>
            </w:r>
          </w:p>
        </w:tc>
      </w:tr>
    </w:tbl>
    <w:p/>
    <w:p>
      <w:r>
        <w:br w:type="page"/>
      </w:r>
    </w:p>
    <w:p>
      <w:pPr>
        <w:pStyle w:val="Heading1"/>
      </w:pPr>
      <w:r>
        <w:t>5. Security Controls Verified (No Finding)</w:t>
      </w:r>
    </w:p>
    <w:p>
      <w:pPr>
        <w:pBdr>
          <w:bottom w:val="single" w:sz="6" w:space="1" w:color="1D4ED8"/>
        </w:pBdr>
      </w:pPr>
    </w:p>
    <w:tbl>
      <w:tblPr>
        <w:tblStyle w:val="TableGrid"/>
        <w:tblW w:type="auto" w:w="0"/>
        <w:tblLook w:firstColumn="1" w:firstRow="1" w:lastColumn="0" w:lastRow="0" w:noHBand="0" w:noVBand="1" w:val="04A0"/>
      </w:tblPr>
      <w:tblGrid>
        <w:gridCol w:w="2600"/>
        <w:gridCol w:w="4320"/>
      </w:tblGrid>
      <w:tr>
        <w:tc>
          <w:tcPr>
            <w:tcW w:type="dxa" w:w="4320"/>
            <w:shd w:val="clear" w:fill="15803D"/>
          </w:tcPr>
          <w:p>
            <w:pPr>
              <w:spacing w:after="20" w:before="20"/>
            </w:pPr>
            <w:r/>
            <w:r>
              <w:rPr>
                <w:b/>
                <w:color w:val="FFFFFF"/>
                <w:sz w:val="18"/>
              </w:rPr>
              <w:t>Control</w:t>
            </w:r>
          </w:p>
        </w:tc>
        <w:tc>
          <w:tcPr>
            <w:tcW w:type="dxa" w:w="4320"/>
            <w:shd w:val="clear" w:fill="15803D"/>
          </w:tcPr>
          <w:p>
            <w:pPr>
              <w:spacing w:after="20" w:before="20"/>
            </w:pPr>
            <w:r/>
            <w:r>
              <w:rPr>
                <w:b/>
                <w:color w:val="FFFFFF"/>
                <w:sz w:val="18"/>
              </w:rPr>
              <w:t>Result</w:t>
            </w:r>
          </w:p>
        </w:tc>
      </w:tr>
      <w:tr>
        <w:tc>
          <w:tcPr>
            <w:tcW w:type="dxa" w:w="4320"/>
          </w:tcPr>
          <w:p>
            <w:pPr>
              <w:spacing w:after="20" w:before="20"/>
            </w:pPr>
            <w:r/>
            <w:r>
              <w:rPr>
                <w:b/>
                <w:sz w:val="18"/>
              </w:rPr>
              <w:t>Cross-site scripting (XSS)</w:t>
            </w:r>
          </w:p>
        </w:tc>
        <w:tc>
          <w:tcPr>
            <w:tcW w:type="dxa" w:w="4320"/>
          </w:tcPr>
          <w:p>
            <w:pPr>
              <w:spacing w:after="20" w:before="20"/>
            </w:pPr>
            <w:r/>
            <w:r>
              <w:rPr>
                <w:b w:val="0"/>
                <w:sz w:val="17"/>
              </w:rPr>
              <w:t>✓ Every SPA interpolation of attacker-influenceable free text (packet info, HTTP host/path/User-Agent, software banners, CVE descriptions, filenames) is HTML-escaped; an interpolation scan of all 287 template expressions confirmed no unescaped free-text sink (IP fields, additionally escaped, are structurally constrained).</w:t>
            </w:r>
          </w:p>
        </w:tc>
      </w:tr>
      <w:tr>
        <w:tc>
          <w:tcPr>
            <w:tcW w:type="dxa" w:w="4320"/>
          </w:tcPr>
          <w:p>
            <w:pPr>
              <w:spacing w:after="20" w:before="20"/>
            </w:pPr>
            <w:r/>
            <w:r>
              <w:rPr>
                <w:b/>
                <w:sz w:val="18"/>
              </w:rPr>
              <w:t>BPF / filter injection</w:t>
            </w:r>
          </w:p>
        </w:tc>
        <w:tc>
          <w:tcPr>
            <w:tcW w:type="dxa" w:w="4320"/>
          </w:tcPr>
          <w:p>
            <w:pPr>
              <w:spacing w:after="20" w:before="20"/>
            </w:pPr>
            <w:r/>
            <w:r>
              <w:rPr>
                <w:b w:val="0"/>
                <w:sz w:val="17"/>
              </w:rPr>
              <w:t>✓ The evidence filter matches by Python set membership, not a compiled BPF string — no filter-language injection.</w:t>
            </w:r>
          </w:p>
        </w:tc>
      </w:tr>
      <w:tr>
        <w:tc>
          <w:tcPr>
            <w:tcW w:type="dxa" w:w="4320"/>
          </w:tcPr>
          <w:p>
            <w:pPr>
              <w:spacing w:after="20" w:before="20"/>
            </w:pPr>
            <w:r/>
            <w:r>
              <w:rPr>
                <w:b/>
                <w:sz w:val="18"/>
              </w:rPr>
              <w:t>ReDoS</w:t>
            </w:r>
          </w:p>
        </w:tc>
        <w:tc>
          <w:tcPr>
            <w:tcW w:type="dxa" w:w="4320"/>
          </w:tcPr>
          <w:p>
            <w:pPr>
              <w:spacing w:after="20" w:before="20"/>
            </w:pPr>
            <w:r/>
            <w:r>
              <w:rPr>
                <w:b w:val="0"/>
                <w:sz w:val="17"/>
              </w:rPr>
              <w:t>✓ Attacker-facing regexes (HTTP-attack, DNS, banner parsing) use bounded quantifiers with no catastrophic backtracking.</w:t>
            </w:r>
          </w:p>
        </w:tc>
      </w:tr>
      <w:tr>
        <w:tc>
          <w:tcPr>
            <w:tcW w:type="dxa" w:w="4320"/>
          </w:tcPr>
          <w:p>
            <w:pPr>
              <w:spacing w:after="20" w:before="20"/>
            </w:pPr>
            <w:r/>
            <w:r>
              <w:rPr>
                <w:b/>
                <w:sz w:val="18"/>
              </w:rPr>
              <w:t>Unsafe deserialisation</w:t>
            </w:r>
          </w:p>
        </w:tc>
        <w:tc>
          <w:tcPr>
            <w:tcW w:type="dxa" w:w="4320"/>
          </w:tcPr>
          <w:p>
            <w:pPr>
              <w:spacing w:after="20" w:before="20"/>
            </w:pPr>
            <w:r/>
            <w:r>
              <w:rPr>
                <w:b w:val="0"/>
                <w:sz w:val="17"/>
              </w:rPr>
              <w:t>✓ No yaml.load / pickle / marshal on untrusted input; all parsing is JSON or Scapy.</w:t>
            </w:r>
          </w:p>
        </w:tc>
      </w:tr>
      <w:tr>
        <w:tc>
          <w:tcPr>
            <w:tcW w:type="dxa" w:w="4320"/>
          </w:tcPr>
          <w:p>
            <w:pPr>
              <w:spacing w:after="20" w:before="20"/>
            </w:pPr>
            <w:r/>
            <w:r>
              <w:rPr>
                <w:b/>
                <w:sz w:val="18"/>
              </w:rPr>
              <w:t>SQL injection</w:t>
            </w:r>
          </w:p>
        </w:tc>
        <w:tc>
          <w:tcPr>
            <w:tcW w:type="dxa" w:w="4320"/>
          </w:tcPr>
          <w:p>
            <w:pPr>
              <w:spacing w:after="20" w:before="20"/>
            </w:pPr>
            <w:r/>
            <w:r>
              <w:rPr>
                <w:b w:val="0"/>
                <w:sz w:val="17"/>
              </w:rPr>
              <w:t>✓ All database access uses parameterised queries (? placeholders, int() casts). No string-built SQL.</w:t>
            </w:r>
          </w:p>
        </w:tc>
      </w:tr>
      <w:tr>
        <w:tc>
          <w:tcPr>
            <w:tcW w:type="dxa" w:w="4320"/>
          </w:tcPr>
          <w:p>
            <w:pPr>
              <w:spacing w:after="20" w:before="20"/>
            </w:pPr>
            <w:r/>
            <w:r>
              <w:rPr>
                <w:b/>
                <w:sz w:val="18"/>
              </w:rPr>
              <w:t>Path traversal</w:t>
            </w:r>
          </w:p>
        </w:tc>
        <w:tc>
          <w:tcPr>
            <w:tcW w:type="dxa" w:w="4320"/>
          </w:tcPr>
          <w:p>
            <w:pPr>
              <w:spacing w:after="20" w:before="20"/>
            </w:pPr>
            <w:r/>
            <w:r>
              <w:rPr>
                <w:b w:val="0"/>
                <w:sz w:val="17"/>
              </w:rPr>
              <w:t>✓ File paths are derived from server-generated UUID job keys validated against the in-memory job registry — the URL job_id is never used to build a filesystem path directly.</w:t>
            </w:r>
          </w:p>
        </w:tc>
      </w:tr>
      <w:tr>
        <w:tc>
          <w:tcPr>
            <w:tcW w:type="dxa" w:w="4320"/>
          </w:tcPr>
          <w:p>
            <w:pPr>
              <w:spacing w:after="20" w:before="20"/>
            </w:pPr>
            <w:r/>
            <w:r>
              <w:rPr>
                <w:b/>
                <w:sz w:val="18"/>
              </w:rPr>
              <w:t>Dangerous sinks</w:t>
            </w:r>
          </w:p>
        </w:tc>
        <w:tc>
          <w:tcPr>
            <w:tcW w:type="dxa" w:w="4320"/>
          </w:tcPr>
          <w:p>
            <w:pPr>
              <w:spacing w:after="20" w:before="20"/>
            </w:pPr>
            <w:r/>
            <w:r>
              <w:rPr>
                <w:b w:val="0"/>
                <w:sz w:val="17"/>
              </w:rPr>
              <w:t>✓ No eval / exec / pickle / os.system / shell=True / yaml.load anywhere in production code.</w:t>
            </w:r>
          </w:p>
        </w:tc>
      </w:tr>
      <w:tr>
        <w:tc>
          <w:tcPr>
            <w:tcW w:type="dxa" w:w="4320"/>
          </w:tcPr>
          <w:p>
            <w:pPr>
              <w:spacing w:after="20" w:before="20"/>
            </w:pPr>
            <w:r/>
            <w:r>
              <w:rPr>
                <w:b/>
                <w:sz w:val="18"/>
              </w:rPr>
              <w:t>Injection in HTML report</w:t>
            </w:r>
          </w:p>
        </w:tc>
        <w:tc>
          <w:tcPr>
            <w:tcW w:type="dxa" w:w="4320"/>
          </w:tcPr>
          <w:p>
            <w:pPr>
              <w:spacing w:after="20" w:before="20"/>
            </w:pPr>
            <w:r/>
            <w:r>
              <w:rPr>
                <w:b w:val="0"/>
                <w:sz w:val="17"/>
              </w:rPr>
              <w:t>✓ All user/observed data is HTML-escaped (_esc) in the report; the SPA escapes via esc().</w:t>
            </w:r>
          </w:p>
        </w:tc>
      </w:tr>
      <w:tr>
        <w:tc>
          <w:tcPr>
            <w:tcW w:type="dxa" w:w="4320"/>
          </w:tcPr>
          <w:p>
            <w:pPr>
              <w:spacing w:after="20" w:before="20"/>
            </w:pPr>
            <w:r/>
            <w:r>
              <w:rPr>
                <w:b/>
                <w:sz w:val="18"/>
              </w:rPr>
              <w:t>Network timeouts</w:t>
            </w:r>
          </w:p>
        </w:tc>
        <w:tc>
          <w:tcPr>
            <w:tcW w:type="dxa" w:w="4320"/>
          </w:tcPr>
          <w:p>
            <w:pPr>
              <w:spacing w:after="20" w:before="20"/>
            </w:pPr>
            <w:r/>
            <w:r>
              <w:rPr>
                <w:b w:val="0"/>
                <w:sz w:val="17"/>
              </w:rPr>
              <w:t>✓ All outbound requests (NVD, CISA, MISP, Telegram, feeds) set explicit timeouts (no hang/DoS).</w:t>
            </w:r>
          </w:p>
        </w:tc>
      </w:tr>
      <w:tr>
        <w:tc>
          <w:tcPr>
            <w:tcW w:type="dxa" w:w="4320"/>
          </w:tcPr>
          <w:p>
            <w:pPr>
              <w:spacing w:after="20" w:before="20"/>
            </w:pPr>
            <w:r/>
            <w:r>
              <w:rPr>
                <w:b/>
                <w:sz w:val="18"/>
              </w:rPr>
              <w:t>Secrets at rest</w:t>
            </w:r>
          </w:p>
        </w:tc>
        <w:tc>
          <w:tcPr>
            <w:tcW w:type="dxa" w:w="4320"/>
          </w:tcPr>
          <w:p>
            <w:pPr>
              <w:spacing w:after="20" w:before="20"/>
            </w:pPr>
            <w:r/>
            <w:r>
              <w:rPr>
                <w:b w:val="0"/>
                <w:sz w:val="17"/>
              </w:rPr>
              <w:t>✓ .env is gitignored; the working tree contains only placeholders; API keys are read at runtime, never logged.</w:t>
            </w:r>
          </w:p>
        </w:tc>
      </w:tr>
      <w:tr>
        <w:tc>
          <w:tcPr>
            <w:tcW w:type="dxa" w:w="4320"/>
          </w:tcPr>
          <w:p>
            <w:pPr>
              <w:spacing w:after="20" w:before="20"/>
            </w:pPr>
            <w:r/>
            <w:r>
              <w:rPr>
                <w:b/>
                <w:sz w:val="18"/>
              </w:rPr>
              <w:t>API surface</w:t>
            </w:r>
          </w:p>
        </w:tc>
        <w:tc>
          <w:tcPr>
            <w:tcW w:type="dxa" w:w="4320"/>
          </w:tcPr>
          <w:p>
            <w:pPr>
              <w:spacing w:after="20" w:before="20"/>
            </w:pPr>
            <w:r/>
            <w:r>
              <w:rPr>
                <w:b w:val="0"/>
                <w:sz w:val="17"/>
              </w:rPr>
              <w:t>✓ Swagger/ReDoc docs are disabled (docs_url=None); the server defaults to loopback binding.</w:t>
            </w:r>
          </w:p>
        </w:tc>
      </w:tr>
      <w:tr>
        <w:tc>
          <w:tcPr>
            <w:tcW w:type="dxa" w:w="4320"/>
          </w:tcPr>
          <w:p>
            <w:pPr>
              <w:spacing w:after="20" w:before="20"/>
            </w:pPr>
            <w:r/>
            <w:r>
              <w:rPr>
                <w:b/>
                <w:sz w:val="18"/>
              </w:rPr>
              <w:t>SSRF</w:t>
            </w:r>
          </w:p>
        </w:tc>
        <w:tc>
          <w:tcPr>
            <w:tcW w:type="dxa" w:w="4320"/>
          </w:tcPr>
          <w:p>
            <w:pPr>
              <w:spacing w:after="20" w:before="20"/>
            </w:pPr>
            <w:r/>
            <w:r>
              <w:rPr>
                <w:b w:val="0"/>
                <w:sz w:val="17"/>
              </w:rPr>
              <w:t>✓ All third-party URLs are hard-coded (NVD/CISA/abuse.ch); only the operator-configured MISP/webhook URLs are user-set, by design.</w:t>
            </w:r>
          </w:p>
        </w:tc>
      </w:tr>
    </w:tbl>
    <w:p>
      <w:r>
        <w:br w:type="page"/>
      </w:r>
    </w:p>
    <w:p>
      <w:pPr>
        <w:pStyle w:val="Heading1"/>
      </w:pPr>
      <w:r>
        <w:t>6. Remediation Verification &amp; Required Owner Action</w:t>
      </w:r>
    </w:p>
    <w:p>
      <w:pPr>
        <w:pBdr>
          <w:bottom w:val="single" w:sz="6" w:space="1" w:color="1D4ED8"/>
        </w:pBdr>
      </w:pPr>
    </w:p>
    <w:p>
      <w:r>
        <w:rPr>
          <w:sz w:val="20"/>
        </w:rPr>
        <w:t>After applying the fixes the full battery was re-run:</w:t>
      </w:r>
    </w:p>
    <w:tbl>
      <w:tblPr>
        <w:tblStyle w:val="TableGrid"/>
        <w:tblW w:type="auto" w:w="0"/>
        <w:tblLook w:firstColumn="1" w:firstRow="1" w:lastColumn="0" w:lastRow="0" w:noHBand="0" w:noVBand="1" w:val="04A0"/>
      </w:tblPr>
      <w:tblGrid>
        <w:gridCol w:w="2400"/>
        <w:gridCol w:w="4320"/>
      </w:tblGrid>
      <w:tr>
        <w:tc>
          <w:tcPr>
            <w:tcW w:type="dxa" w:w="4320"/>
            <w:shd w:val="clear" w:fill="EEF2F7"/>
          </w:tcPr>
          <w:p>
            <w:pPr>
              <w:spacing w:after="20" w:before="20"/>
            </w:pPr>
            <w:r/>
            <w:r>
              <w:rPr>
                <w:b/>
                <w:sz w:val="18"/>
              </w:rPr>
              <w:t>Unit/integration tests</w:t>
            </w:r>
          </w:p>
        </w:tc>
        <w:tc>
          <w:tcPr>
            <w:tcW w:type="dxa" w:w="4320"/>
          </w:tcPr>
          <w:p>
            <w:pPr>
              <w:spacing w:after="20" w:before="20"/>
            </w:pPr>
            <w:r/>
            <w:r>
              <w:rPr>
                <w:b w:val="0"/>
                <w:sz w:val="18"/>
              </w:rPr>
              <w:t>304 passed — the full suite, including the security regression tests added in this engagement — no regressions.</w:t>
            </w:r>
          </w:p>
        </w:tc>
      </w:tr>
      <w:tr>
        <w:tc>
          <w:tcPr>
            <w:tcW w:type="dxa" w:w="4320"/>
            <w:shd w:val="clear" w:fill="EEF2F7"/>
          </w:tcPr>
          <w:p>
            <w:pPr>
              <w:spacing w:after="20" w:before="20"/>
            </w:pPr>
            <w:r/>
            <w:r>
              <w:rPr>
                <w:b/>
                <w:sz w:val="18"/>
              </w:rPr>
              <w:t>Linter (ruff)</w:t>
            </w:r>
          </w:p>
        </w:tc>
        <w:tc>
          <w:tcPr>
            <w:tcW w:type="dxa" w:w="4320"/>
          </w:tcPr>
          <w:p>
            <w:pPr>
              <w:spacing w:after="20" w:before="20"/>
            </w:pPr>
            <w:r/>
            <w:r>
              <w:rPr>
                <w:b w:val="0"/>
                <w:sz w:val="18"/>
              </w:rPr>
              <w:t>All checks passed.</w:t>
            </w:r>
          </w:p>
        </w:tc>
      </w:tr>
      <w:tr>
        <w:tc>
          <w:tcPr>
            <w:tcW w:type="dxa" w:w="4320"/>
            <w:shd w:val="clear" w:fill="EEF2F7"/>
          </w:tcPr>
          <w:p>
            <w:pPr>
              <w:spacing w:after="20" w:before="20"/>
            </w:pPr>
            <w:r/>
            <w:r>
              <w:rPr>
                <w:b/>
                <w:sz w:val="18"/>
              </w:rPr>
              <w:t>bandit (SAST)</w:t>
            </w:r>
          </w:p>
        </w:tc>
        <w:tc>
          <w:tcPr>
            <w:tcW w:type="dxa" w:w="4320"/>
          </w:tcPr>
          <w:p>
            <w:pPr>
              <w:spacing w:after="20" w:before="20"/>
            </w:pPr>
            <w:r/>
            <w:r>
              <w:rPr>
                <w:b w:val="0"/>
                <w:sz w:val="18"/>
              </w:rPr>
              <w:t>High: 0, Medium: 0, Low: 53. Remaining Low findings are defensive try/except/pass and list-form subprocess calls (no shell=True). The pseudo-random calls in the synthetic capture/benchmark generators are annotated "# nosec B311" (deterministic sample data, never cryptographic).</w:t>
            </w:r>
          </w:p>
        </w:tc>
      </w:tr>
      <w:tr>
        <w:tc>
          <w:tcPr>
            <w:tcW w:type="dxa" w:w="4320"/>
            <w:shd w:val="clear" w:fill="EEF2F7"/>
          </w:tcPr>
          <w:p>
            <w:pPr>
              <w:spacing w:after="20" w:before="20"/>
            </w:pPr>
            <w:r/>
            <w:r>
              <w:rPr>
                <w:b/>
                <w:sz w:val="18"/>
              </w:rPr>
              <w:t>Live exploit re-tests</w:t>
            </w:r>
          </w:p>
        </w:tc>
        <w:tc>
          <w:tcPr>
            <w:tcW w:type="dxa" w:w="4320"/>
          </w:tcPr>
          <w:p>
            <w:pPr>
              <w:spacing w:after="20" w:before="20"/>
            </w:pPr>
            <w:r/>
            <w:r>
              <w:rPr>
                <w:b w:val="0"/>
                <w:sz w:val="18"/>
              </w:rPr>
              <w:t>Path traversal (ip=../../..) → 400, no file written; DNS-rebinding (bad Host) → 400; cross-origin POST to privileged setup-capture → 403.</w:t>
            </w:r>
          </w:p>
        </w:tc>
      </w:tr>
      <w:tr>
        <w:tc>
          <w:tcPr>
            <w:tcW w:type="dxa" w:w="4320"/>
            <w:shd w:val="clear" w:fill="EEF2F7"/>
          </w:tcPr>
          <w:p>
            <w:pPr>
              <w:spacing w:after="20" w:before="20"/>
            </w:pPr>
            <w:r/>
            <w:r>
              <w:rPr>
                <w:b/>
                <w:sz w:val="18"/>
              </w:rPr>
              <w:t>pip-audit</w:t>
            </w:r>
          </w:p>
        </w:tc>
        <w:tc>
          <w:tcPr>
            <w:tcW w:type="dxa" w:w="4320"/>
          </w:tcPr>
          <w:p>
            <w:pPr>
              <w:spacing w:after="20" w:before="20"/>
            </w:pPr>
            <w:r/>
            <w:r>
              <w:rPr>
                <w:b w:val="0"/>
                <w:sz w:val="18"/>
              </w:rPr>
              <w:t>Reference environment migrated to Python 3.12.13: the pinned floors resolve to fully-patched releases and the runtime dependency set reports zero advisories. One dev-only transitive remains (diskcache via the dev-extra pySigma), no upstream fix yet. Python 3.9 stays supported at newest-compatible pins.</w:t>
            </w:r>
          </w:p>
        </w:tc>
      </w:tr>
    </w:tbl>
    <w:p>
      <w:pPr>
        <w:pStyle w:val="Heading2"/>
      </w:pPr>
      <w:r>
        <w:t>Owner action (F-01) — completed</w:t>
      </w:r>
    </w:p>
    <w:p>
      <w:r>
        <w:rPr>
          <w:sz w:val="20"/>
        </w:rPr>
        <w:t>The account owner revoked both exposed keys in the provider consoles (Google AI Studio &amp; Groq) on 2026-07-12, so the leaked values no longer authenticate. Optionally, scrub them from git history before any public push so the dead values do not linger in the record:</w:t>
      </w:r>
    </w:p>
    <w:p>
      <w:r>
        <w:rPr>
          <w:rFonts w:ascii="Consolas" w:hAnsi="Consolas"/>
          <w:sz w:val="18"/>
        </w:rPr>
        <w:t>pip install git-filter-repo</w:t>
        <w:br/>
        <w:t>git filter-repo --path .env.example --invert-paths</w:t>
        <w:br/>
        <w:t>git push --force --all</w:t>
      </w:r>
    </w:p>
    <w:p>
      <w:pPr>
        <w:pStyle w:val="Heading1"/>
      </w:pPr>
      <w:r>
        <w:t>7. Conclusion</w:t>
      </w:r>
    </w:p>
    <w:p>
      <w:pPr>
        <w:pBdr>
          <w:bottom w:val="single" w:sz="6" w:space="1" w:color="1D4ED8"/>
        </w:pBdr>
      </w:pPr>
    </w:p>
    <w:p>
      <w:r>
        <w:t>At the code level PacketIQ is a well-built and defensible application: it avoids the common high-impact web vulnerabilities and now streams uploads, bounds its buffers, validates Host/Origin headers, blocks path traversal, hardens its one privileged path, and restricts its data directories. After this engagement there are no outstanding code-level vulnerabilities, including a real path-traversal and CSRF/DNS-rebinding class closed in round two. The one operational risk, API keys committed to git history, has been closed by the owner revoking those keys. The reference/dev environment has been migrated to Python 3.12.13, so the pinned dependency floors now resolve to fully-patched releases (Python 3.9 stays supported for anyone who needs it); further hardening (authentication, rate-limiting) is worthwhile only if the web app is ever exposed beyond localhost.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75569"/>
        <w:sz w:val="15"/>
      </w:rPr>
      <w:t>PacketIQ Security Audit Report · Confidential · Authorised self-assessment of the author's own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