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1F3A"/>
          <w:sz w:val="60"/>
        </w:rPr>
        <w:t>PacketIQ</w:t>
      </w:r>
    </w:p>
    <w:p>
      <w:pPr>
        <w:jc w:val="center"/>
      </w:pPr>
      <w:r>
        <w:rPr>
          <w:b/>
          <w:color w:val="1D4ED8"/>
          <w:sz w:val="34"/>
        </w:rPr>
        <w:t>Security Audit Report</w:t>
      </w:r>
    </w:p>
    <w:p>
      <w:pPr>
        <w:jc w:val="center"/>
      </w:pPr>
      <w:r>
        <w:rPr>
          <w:color w:val="475569"/>
          <w:sz w:val="22"/>
        </w:rPr>
        <w:t>AI PCAP Forensics &amp; SOC Copilot — Static, Dependency &amp; Secret Assessment</w:t>
      </w:r>
    </w:p>
    <w:p/>
    <w:tbl>
      <w:tblPr>
        <w:tblW w:type="auto" w:w="0"/>
        <w:jc w:val="center"/>
        <w:tblLook w:firstColumn="1" w:firstRow="1" w:lastColumn="0" w:lastRow="0" w:noHBand="0" w:noVBand="1" w:val="04A0"/>
      </w:tblPr>
      <w:tblGrid>
        <w:gridCol w:w="1728"/>
        <w:gridCol w:w="1728"/>
        <w:gridCol w:w="1728"/>
        <w:gridCol w:w="1728"/>
        <w:gridCol w:w="1728"/>
      </w:tblGrid>
      <w:tr>
        <w:tc>
          <w:tcPr>
            <w:tcW w:type="dxa" w:w="1728"/>
            <w:shd w:val="clear" w:fill="B91C1C"/>
          </w:tcPr>
          <w:p>
            <w:pPr>
              <w:spacing w:after="20" w:before="20"/>
              <w:jc w:val="center"/>
            </w:pPr>
            <w:r/>
            <w:r>
              <w:rPr>
                <w:b/>
                <w:color w:val="FFFFFF"/>
                <w:sz w:val="32"/>
              </w:rPr>
              <w:t>1</w:t>
            </w:r>
          </w:p>
        </w:tc>
        <w:tc>
          <w:tcPr>
            <w:tcW w:type="dxa" w:w="1728"/>
            <w:shd w:val="clear" w:fill="C2410C"/>
          </w:tcPr>
          <w:p>
            <w:pPr>
              <w:spacing w:after="20" w:before="20"/>
              <w:jc w:val="center"/>
            </w:pPr>
            <w:r/>
            <w:r>
              <w:rPr>
                <w:b/>
                <w:color w:val="FFFFFF"/>
                <w:sz w:val="32"/>
              </w:rPr>
              <w:t>0</w:t>
            </w:r>
          </w:p>
        </w:tc>
        <w:tc>
          <w:tcPr>
            <w:tcW w:type="dxa" w:w="1728"/>
            <w:shd w:val="clear" w:fill="A16207"/>
          </w:tcPr>
          <w:p>
            <w:pPr>
              <w:spacing w:after="20" w:before="20"/>
              <w:jc w:val="center"/>
            </w:pPr>
            <w:r/>
            <w:r>
              <w:rPr>
                <w:b/>
                <w:color w:val="FFFFFF"/>
                <w:sz w:val="32"/>
              </w:rPr>
              <w:t>6</w:t>
            </w:r>
          </w:p>
        </w:tc>
        <w:tc>
          <w:tcPr>
            <w:tcW w:type="dxa" w:w="1728"/>
            <w:shd w:val="clear" w:fill="15803D"/>
          </w:tcPr>
          <w:p>
            <w:pPr>
              <w:spacing w:after="20" w:before="20"/>
              <w:jc w:val="center"/>
            </w:pPr>
            <w:r/>
            <w:r>
              <w:rPr>
                <w:b/>
                <w:color w:val="FFFFFF"/>
                <w:sz w:val="32"/>
              </w:rPr>
              <w:t>3</w:t>
            </w:r>
          </w:p>
        </w:tc>
        <w:tc>
          <w:tcPr>
            <w:tcW w:type="dxa" w:w="1728"/>
            <w:shd w:val="clear" w:fill="475569"/>
          </w:tcPr>
          <w:p>
            <w:pPr>
              <w:spacing w:after="20" w:before="20"/>
              <w:jc w:val="center"/>
            </w:pPr>
            <w:r/>
            <w:r>
              <w:rPr>
                <w:b/>
                <w:color w:val="FFFFFF"/>
                <w:sz w:val="32"/>
              </w:rPr>
              <w:t>2</w:t>
            </w:r>
          </w:p>
        </w:tc>
      </w:tr>
      <w:tr>
        <w:tc>
          <w:tcPr>
            <w:tcW w:type="dxa" w:w="1728"/>
            <w:shd w:val="clear" w:fill="B91C1C"/>
          </w:tcPr>
          <w:p>
            <w:pPr>
              <w:spacing w:after="20" w:before="20"/>
              <w:jc w:val="center"/>
            </w:pPr>
            <w:r/>
            <w:r>
              <w:rPr>
                <w:b/>
                <w:color w:val="FFFFFF"/>
                <w:sz w:val="16"/>
              </w:rPr>
              <w:t>CRITICAL</w:t>
            </w:r>
          </w:p>
        </w:tc>
        <w:tc>
          <w:tcPr>
            <w:tcW w:type="dxa" w:w="1728"/>
            <w:shd w:val="clear" w:fill="C2410C"/>
          </w:tcPr>
          <w:p>
            <w:pPr>
              <w:spacing w:after="20" w:before="20"/>
              <w:jc w:val="center"/>
            </w:pPr>
            <w:r/>
            <w:r>
              <w:rPr>
                <w:b/>
                <w:color w:val="FFFFFF"/>
                <w:sz w:val="16"/>
              </w:rPr>
              <w:t>HIGH</w:t>
            </w:r>
          </w:p>
        </w:tc>
        <w:tc>
          <w:tcPr>
            <w:tcW w:type="dxa" w:w="1728"/>
            <w:shd w:val="clear" w:fill="A16207"/>
          </w:tcPr>
          <w:p>
            <w:pPr>
              <w:spacing w:after="20" w:before="20"/>
              <w:jc w:val="center"/>
            </w:pPr>
            <w:r/>
            <w:r>
              <w:rPr>
                <w:b/>
                <w:color w:val="FFFFFF"/>
                <w:sz w:val="16"/>
              </w:rPr>
              <w:t>MEDIUM</w:t>
            </w:r>
          </w:p>
        </w:tc>
        <w:tc>
          <w:tcPr>
            <w:tcW w:type="dxa" w:w="1728"/>
            <w:shd w:val="clear" w:fill="15803D"/>
          </w:tcPr>
          <w:p>
            <w:pPr>
              <w:spacing w:after="20" w:before="20"/>
              <w:jc w:val="center"/>
            </w:pPr>
            <w:r/>
            <w:r>
              <w:rPr>
                <w:b/>
                <w:color w:val="FFFFFF"/>
                <w:sz w:val="16"/>
              </w:rPr>
              <w:t>LOW</w:t>
            </w:r>
          </w:p>
        </w:tc>
        <w:tc>
          <w:tcPr>
            <w:tcW w:type="dxa" w:w="1728"/>
            <w:shd w:val="clear" w:fill="475569"/>
          </w:tcPr>
          <w:p>
            <w:pPr>
              <w:spacing w:after="20" w:before="20"/>
              <w:jc w:val="center"/>
            </w:pPr>
            <w:r/>
            <w:r>
              <w:rPr>
                <w:b/>
                <w:color w:val="FFFFFF"/>
                <w:sz w:val="16"/>
              </w:rPr>
              <w:t>INFO</w:t>
            </w:r>
          </w:p>
        </w:tc>
      </w:tr>
    </w:tbl>
    <w:p/>
    <w:tbl>
      <w:tblPr>
        <w:tblStyle w:val="TableGrid"/>
        <w:tblW w:type="auto" w:w="0"/>
        <w:tblLook w:firstColumn="1" w:firstRow="1" w:lastColumn="0" w:lastRow="0" w:noHBand="0" w:noVBand="1" w:val="04A0"/>
      </w:tblPr>
      <w:tblGrid>
        <w:gridCol w:w="1800"/>
        <w:gridCol w:w="4320"/>
      </w:tblGrid>
      <w:tr>
        <w:tc>
          <w:tcPr>
            <w:tcW w:type="dxa" w:w="4320"/>
            <w:shd w:val="clear" w:fill="EEF2F7"/>
          </w:tcPr>
          <w:p>
            <w:pPr>
              <w:spacing w:after="20" w:before="20"/>
            </w:pPr>
            <w:r/>
            <w:r>
              <w:rPr>
                <w:b/>
                <w:sz w:val="18"/>
              </w:rPr>
              <w:t>Target</w:t>
            </w:r>
          </w:p>
        </w:tc>
        <w:tc>
          <w:tcPr>
            <w:tcW w:type="dxa" w:w="4320"/>
          </w:tcPr>
          <w:p>
            <w:pPr>
              <w:spacing w:after="20" w:before="20"/>
            </w:pPr>
            <w:r/>
            <w:r>
              <w:rPr>
                <w:b w:val="0"/>
                <w:sz w:val="18"/>
              </w:rPr>
              <w:t>PacketIQ v1.0.0 — Python network-forensics tool (CLI + FastAPI web app)</w:t>
            </w:r>
          </w:p>
        </w:tc>
      </w:tr>
      <w:tr>
        <w:tc>
          <w:tcPr>
            <w:tcW w:type="dxa" w:w="4320"/>
            <w:shd w:val="clear" w:fill="EEF2F7"/>
          </w:tcPr>
          <w:p>
            <w:pPr>
              <w:spacing w:after="20" w:before="20"/>
            </w:pPr>
            <w:r/>
            <w:r>
              <w:rPr>
                <w:b/>
                <w:sz w:val="18"/>
              </w:rPr>
              <w:t>Audit type</w:t>
            </w:r>
          </w:p>
        </w:tc>
        <w:tc>
          <w:tcPr>
            <w:tcW w:type="dxa" w:w="4320"/>
          </w:tcPr>
          <w:p>
            <w:pPr>
              <w:spacing w:after="20" w:before="20"/>
            </w:pPr>
            <w:r/>
            <w:r>
              <w:rPr>
                <w:b w:val="0"/>
                <w:sz w:val="18"/>
              </w:rPr>
              <w:t>White-box: manual code review + SAST (bandit) + dependency CVE scan (pip-audit) + git secret scan + live exploitation</w:t>
            </w:r>
          </w:p>
        </w:tc>
      </w:tr>
      <w:tr>
        <w:tc>
          <w:tcPr>
            <w:tcW w:type="dxa" w:w="4320"/>
            <w:shd w:val="clear" w:fill="EEF2F7"/>
          </w:tcPr>
          <w:p>
            <w:pPr>
              <w:spacing w:after="20" w:before="20"/>
            </w:pPr>
            <w:r/>
            <w:r>
              <w:rPr>
                <w:b/>
                <w:sz w:val="18"/>
              </w:rPr>
              <w:t>Scope</w:t>
            </w:r>
          </w:p>
        </w:tc>
        <w:tc>
          <w:tcPr>
            <w:tcW w:type="dxa" w:w="4320"/>
          </w:tcPr>
          <w:p>
            <w:pPr>
              <w:spacing w:after="20" w:before="20"/>
            </w:pPr>
            <w:r/>
            <w:r>
              <w:rPr>
                <w:b w:val="0"/>
                <w:sz w:val="18"/>
              </w:rPr>
              <w:t>All Python source under packetiq/, dependencies, git history. Authorised self-assessment of the author's own project.</w:t>
            </w:r>
          </w:p>
        </w:tc>
      </w:tr>
      <w:tr>
        <w:tc>
          <w:tcPr>
            <w:tcW w:type="dxa" w:w="4320"/>
            <w:shd w:val="clear" w:fill="EEF2F7"/>
          </w:tcPr>
          <w:p>
            <w:pPr>
              <w:spacing w:after="20" w:before="20"/>
            </w:pPr>
            <w:r/>
            <w:r>
              <w:rPr>
                <w:b/>
                <w:sz w:val="18"/>
              </w:rPr>
              <w:t>Environment</w:t>
            </w:r>
          </w:p>
        </w:tc>
        <w:tc>
          <w:tcPr>
            <w:tcW w:type="dxa" w:w="4320"/>
          </w:tcPr>
          <w:p>
            <w:pPr>
              <w:spacing w:after="20" w:before="20"/>
            </w:pPr>
            <w:r/>
            <w:r>
              <w:rPr>
                <w:b w:val="0"/>
                <w:sz w:val="18"/>
              </w:rPr>
              <w:t>Sandboxed local venv · Python 3.9.6 · Darwin</w:t>
            </w:r>
          </w:p>
        </w:tc>
      </w:tr>
      <w:tr>
        <w:tc>
          <w:tcPr>
            <w:tcW w:type="dxa" w:w="4320"/>
            <w:shd w:val="clear" w:fill="EEF2F7"/>
          </w:tcPr>
          <w:p>
            <w:pPr>
              <w:spacing w:after="20" w:before="20"/>
            </w:pPr>
            <w:r/>
            <w:r>
              <w:rPr>
                <w:b/>
                <w:sz w:val="18"/>
              </w:rPr>
              <w:t>Date</w:t>
            </w:r>
          </w:p>
        </w:tc>
        <w:tc>
          <w:tcPr>
            <w:tcW w:type="dxa" w:w="4320"/>
          </w:tcPr>
          <w:p>
            <w:pPr>
              <w:spacing w:after="20" w:before="20"/>
            </w:pPr>
            <w:r/>
            <w:r>
              <w:rPr>
                <w:b w:val="0"/>
                <w:sz w:val="18"/>
              </w:rPr>
              <w:t>2026-07-15 11:36 UTC</w:t>
            </w:r>
          </w:p>
        </w:tc>
      </w:tr>
      <w:tr>
        <w:tc>
          <w:tcPr>
            <w:tcW w:type="dxa" w:w="4320"/>
            <w:shd w:val="clear" w:fill="EEF2F7"/>
          </w:tcPr>
          <w:p>
            <w:pPr>
              <w:spacing w:after="20" w:before="20"/>
            </w:pPr>
            <w:r/>
            <w:r>
              <w:rPr>
                <w:b/>
                <w:sz w:val="18"/>
              </w:rPr>
              <w:t>Result</w:t>
            </w:r>
          </w:p>
        </w:tc>
        <w:tc>
          <w:tcPr>
            <w:tcW w:type="dxa" w:w="4320"/>
          </w:tcPr>
          <w:p>
            <w:pPr>
              <w:spacing w:after="20" w:before="20"/>
            </w:pPr>
            <w:r/>
            <w:r>
              <w:rPr>
                <w:b w:val="0"/>
                <w:sz w:val="18"/>
              </w:rPr>
              <w:t>1 Critical, 6 Medium, 3 Low, 2 Info. All findings remediated: every code-level fix is in place and the Critical (leaked keys) was closed by owner key-revocation on 2026-07-12.</w:t>
            </w:r>
          </w:p>
        </w:tc>
      </w:tr>
    </w:tbl>
    <w:p>
      <w:r>
        <w:br w:type="page"/>
      </w:r>
    </w:p>
    <w:p>
      <w:pPr>
        <w:pStyle w:val="Heading1"/>
      </w:pPr>
      <w:r>
        <w:t>1. Executive Summary</w:t>
      </w:r>
    </w:p>
    <w:p>
      <w:pPr>
        <w:pBdr>
          <w:bottom w:val="single" w:sz="6" w:space="1" w:color="1D4ED8"/>
        </w:pBdr>
      </w:pPr>
    </w:p>
    <w:p>
      <w:r>
        <w:t>PacketIQ was assessed with a white-box methodology combining manual source review of every security-sensitive code path with automated tooling (bandit SAST, pip-audit dependency scan, git-history secret scan) and — in a second round — live exploitation attempts against the running server. The codebase is fundamentally sound: parameterised SQL, file paths validated against a server-side job registry, no dangerous execution sinks, timeouts on every outbound request, and HTML-escaping of all rendered data.</w:t>
      </w:r>
    </w:p>
    <w:p>
      <w:r>
        <w:t>Twelve findings were raised across two rounds. The single Critical was operational, not code: live AI keys committed to git history. The account owner has since revoked those keys (2026-07-12), so they are now dead and the finding is closed, with an optional history scrub remaining only for tidiness. Six Medium findings were fixed — an upload memory-exhaustion DoS, oversized HTTP buffers, vulnerable dependencies, and (found by actively attempting the exploits) a path-traversal / arbitrary file write, DNS-rebinding, and CSRF against the local server. Three Low findings were also fixed. Every code-level fix is covered by a new regression test and, where exploitable, re-tested live to confirm it is blocked.</w:t>
      </w:r>
    </w:p>
    <w:p>
      <w:pPr>
        <w:pStyle w:val="Heading2"/>
      </w:pPr>
      <w:r>
        <w:t>Findings overview</w:t>
      </w:r>
    </w:p>
    <w:tbl>
      <w:tblPr>
        <w:tblStyle w:val="TableGrid"/>
        <w:tblW w:type="auto" w:w="0"/>
        <w:tblLook w:firstColumn="1" w:firstRow="1" w:lastColumn="0" w:lastRow="0" w:noHBand="0" w:noVBand="1" w:val="04A0"/>
      </w:tblPr>
      <w:tblGrid>
        <w:gridCol w:w="1000"/>
        <w:gridCol w:w="4600"/>
        <w:gridCol w:w="1200"/>
        <w:gridCol w:w="2600"/>
      </w:tblGrid>
      <w:tr>
        <w:tc>
          <w:tcPr>
            <w:tcW w:type="dxa" w:w="2160"/>
            <w:shd w:val="clear" w:fill="0B1F3A"/>
          </w:tcPr>
          <w:p>
            <w:pPr>
              <w:spacing w:after="20" w:before="20"/>
            </w:pPr>
            <w:r/>
            <w:r>
              <w:rPr>
                <w:b/>
                <w:color w:val="FFFFFF"/>
                <w:sz w:val="18"/>
              </w:rPr>
              <w:t>ID</w:t>
            </w:r>
          </w:p>
        </w:tc>
        <w:tc>
          <w:tcPr>
            <w:tcW w:type="dxa" w:w="2160"/>
            <w:shd w:val="clear" w:fill="0B1F3A"/>
          </w:tcPr>
          <w:p>
            <w:pPr>
              <w:spacing w:after="20" w:before="20"/>
            </w:pPr>
            <w:r/>
            <w:r>
              <w:rPr>
                <w:b/>
                <w:color w:val="FFFFFF"/>
                <w:sz w:val="18"/>
              </w:rPr>
              <w:t>Finding</w:t>
            </w:r>
          </w:p>
        </w:tc>
        <w:tc>
          <w:tcPr>
            <w:tcW w:type="dxa" w:w="2160"/>
            <w:shd w:val="clear" w:fill="0B1F3A"/>
          </w:tcPr>
          <w:p>
            <w:pPr>
              <w:spacing w:after="20" w:before="20"/>
            </w:pPr>
            <w:r/>
            <w:r>
              <w:rPr>
                <w:b/>
                <w:color w:val="FFFFFF"/>
                <w:sz w:val="18"/>
              </w:rPr>
              <w:t>Severity</w:t>
            </w:r>
          </w:p>
        </w:tc>
        <w:tc>
          <w:tcPr>
            <w:tcW w:type="dxa" w:w="2160"/>
            <w:shd w:val="clear" w:fill="0B1F3A"/>
          </w:tcPr>
          <w:p>
            <w:pPr>
              <w:spacing w:after="20" w:before="20"/>
            </w:pPr>
            <w:r/>
            <w:r>
              <w:rPr>
                <w:b/>
                <w:color w:val="FFFFFF"/>
                <w:sz w:val="18"/>
              </w:rPr>
              <w:t>Status</w:t>
            </w:r>
          </w:p>
        </w:tc>
      </w:tr>
      <w:tr>
        <w:tc>
          <w:tcPr>
            <w:tcW w:type="dxa" w:w="2160"/>
          </w:tcPr>
          <w:p>
            <w:pPr>
              <w:spacing w:after="20" w:before="20"/>
            </w:pPr>
            <w:r/>
            <w:r>
              <w:rPr>
                <w:b w:val="0"/>
                <w:sz w:val="18"/>
              </w:rPr>
              <w:t>F-01</w:t>
            </w:r>
          </w:p>
        </w:tc>
        <w:tc>
          <w:tcPr>
            <w:tcW w:type="dxa" w:w="2160"/>
          </w:tcPr>
          <w:p>
            <w:pPr>
              <w:spacing w:after="20" w:before="20"/>
            </w:pPr>
            <w:r/>
            <w:r>
              <w:rPr>
                <w:b w:val="0"/>
                <w:sz w:val="18"/>
              </w:rPr>
              <w:t>Live API keys committed to git history</w:t>
            </w:r>
          </w:p>
        </w:tc>
        <w:tc>
          <w:tcPr>
            <w:tcW w:type="dxa" w:w="2160"/>
          </w:tcPr>
          <w:p>
            <w:pPr>
              <w:spacing w:after="20" w:before="20"/>
            </w:pPr>
            <w:r/>
            <w:r>
              <w:rPr>
                <w:b/>
                <w:color w:val="B91C1C"/>
                <w:sz w:val="18"/>
              </w:rPr>
              <w:t>CRITICAL</w:t>
            </w:r>
          </w:p>
        </w:tc>
        <w:tc>
          <w:tcPr>
            <w:tcW w:type="dxa" w:w="2160"/>
          </w:tcPr>
          <w:p>
            <w:pPr>
              <w:spacing w:after="20" w:before="20"/>
            </w:pPr>
            <w:r/>
            <w:r>
              <w:rPr>
                <w:b w:val="0"/>
                <w:sz w:val="16"/>
              </w:rPr>
              <w:t>RESOLVED</w:t>
            </w:r>
          </w:p>
        </w:tc>
      </w:tr>
      <w:tr>
        <w:tc>
          <w:tcPr>
            <w:tcW w:type="dxa" w:w="2160"/>
          </w:tcPr>
          <w:p>
            <w:pPr>
              <w:spacing w:after="20" w:before="20"/>
            </w:pPr>
            <w:r/>
            <w:r>
              <w:rPr>
                <w:b w:val="0"/>
                <w:sz w:val="18"/>
              </w:rPr>
              <w:t>F-02</w:t>
            </w:r>
          </w:p>
        </w:tc>
        <w:tc>
          <w:tcPr>
            <w:tcW w:type="dxa" w:w="2160"/>
          </w:tcPr>
          <w:p>
            <w:pPr>
              <w:spacing w:after="20" w:before="20"/>
            </w:pPr>
            <w:r/>
            <w:r>
              <w:rPr>
                <w:b w:val="0"/>
                <w:sz w:val="18"/>
              </w:rPr>
              <w:t>Upload memory-exhaustion DoS</w:t>
            </w:r>
          </w:p>
        </w:tc>
        <w:tc>
          <w:tcPr>
            <w:tcW w:type="dxa" w:w="2160"/>
          </w:tcPr>
          <w:p>
            <w:pPr>
              <w:spacing w:after="20" w:before="20"/>
            </w:pPr>
            <w:r/>
            <w:r>
              <w:rPr>
                <w:b/>
                <w:color w:val="A16207"/>
                <w:sz w:val="18"/>
              </w:rPr>
              <w:t>MEDIUM</w:t>
            </w:r>
          </w:p>
        </w:tc>
        <w:tc>
          <w:tcPr>
            <w:tcW w:type="dxa" w:w="2160"/>
          </w:tcPr>
          <w:p>
            <w:pPr>
              <w:spacing w:after="20" w:before="20"/>
            </w:pPr>
            <w:r/>
            <w:r>
              <w:rPr>
                <w:b w:val="0"/>
                <w:sz w:val="16"/>
              </w:rPr>
              <w:t>FIXED</w:t>
            </w:r>
          </w:p>
        </w:tc>
      </w:tr>
      <w:tr>
        <w:tc>
          <w:tcPr>
            <w:tcW w:type="dxa" w:w="2160"/>
          </w:tcPr>
          <w:p>
            <w:pPr>
              <w:spacing w:after="20" w:before="20"/>
            </w:pPr>
            <w:r/>
            <w:r>
              <w:rPr>
                <w:b w:val="0"/>
                <w:sz w:val="18"/>
              </w:rPr>
              <w:t>F-03</w:t>
            </w:r>
          </w:p>
        </w:tc>
        <w:tc>
          <w:tcPr>
            <w:tcW w:type="dxa" w:w="2160"/>
          </w:tcPr>
          <w:p>
            <w:pPr>
              <w:spacing w:after="20" w:before="20"/>
            </w:pPr>
            <w:r/>
            <w:r>
              <w:rPr>
                <w:b w:val="0"/>
                <w:sz w:val="18"/>
              </w:rPr>
              <w:t>Oversized HTTP buffer / long keep-alive</w:t>
            </w:r>
          </w:p>
        </w:tc>
        <w:tc>
          <w:tcPr>
            <w:tcW w:type="dxa" w:w="2160"/>
          </w:tcPr>
          <w:p>
            <w:pPr>
              <w:spacing w:after="20" w:before="20"/>
            </w:pPr>
            <w:r/>
            <w:r>
              <w:rPr>
                <w:b/>
                <w:color w:val="A16207"/>
                <w:sz w:val="18"/>
              </w:rPr>
              <w:t>MEDIUM</w:t>
            </w:r>
          </w:p>
        </w:tc>
        <w:tc>
          <w:tcPr>
            <w:tcW w:type="dxa" w:w="2160"/>
          </w:tcPr>
          <w:p>
            <w:pPr>
              <w:spacing w:after="20" w:before="20"/>
            </w:pPr>
            <w:r/>
            <w:r>
              <w:rPr>
                <w:b w:val="0"/>
                <w:sz w:val="16"/>
              </w:rPr>
              <w:t>FIXED.</w:t>
            </w:r>
          </w:p>
        </w:tc>
      </w:tr>
      <w:tr>
        <w:tc>
          <w:tcPr>
            <w:tcW w:type="dxa" w:w="2160"/>
          </w:tcPr>
          <w:p>
            <w:pPr>
              <w:spacing w:after="20" w:before="20"/>
            </w:pPr>
            <w:r/>
            <w:r>
              <w:rPr>
                <w:b w:val="0"/>
                <w:sz w:val="18"/>
              </w:rPr>
              <w:t>F-04</w:t>
            </w:r>
          </w:p>
        </w:tc>
        <w:tc>
          <w:tcPr>
            <w:tcW w:type="dxa" w:w="2160"/>
          </w:tcPr>
          <w:p>
            <w:pPr>
              <w:spacing w:after="20" w:before="20"/>
            </w:pPr>
            <w:r/>
            <w:r>
              <w:rPr>
                <w:b w:val="0"/>
                <w:sz w:val="18"/>
              </w:rPr>
              <w:t>Known-vulnerable dependencies</w:t>
            </w:r>
          </w:p>
        </w:tc>
        <w:tc>
          <w:tcPr>
            <w:tcW w:type="dxa" w:w="2160"/>
          </w:tcPr>
          <w:p>
            <w:pPr>
              <w:spacing w:after="20" w:before="20"/>
            </w:pPr>
            <w:r/>
            <w:r>
              <w:rPr>
                <w:b/>
                <w:color w:val="A16207"/>
                <w:sz w:val="18"/>
              </w:rPr>
              <w:t>MEDIUM</w:t>
            </w:r>
          </w:p>
        </w:tc>
        <w:tc>
          <w:tcPr>
            <w:tcW w:type="dxa" w:w="2160"/>
          </w:tcPr>
          <w:p>
            <w:pPr>
              <w:spacing w:after="20" w:before="20"/>
            </w:pPr>
            <w:r/>
            <w:r>
              <w:rPr>
                <w:b w:val="0"/>
                <w:sz w:val="16"/>
              </w:rPr>
              <w:t>MITIGATED</w:t>
            </w:r>
          </w:p>
        </w:tc>
      </w:tr>
      <w:tr>
        <w:tc>
          <w:tcPr>
            <w:tcW w:type="dxa" w:w="2160"/>
          </w:tcPr>
          <w:p>
            <w:pPr>
              <w:spacing w:after="20" w:before="20"/>
            </w:pPr>
            <w:r/>
            <w:r>
              <w:rPr>
                <w:b w:val="0"/>
                <w:sz w:val="18"/>
              </w:rPr>
              <w:t>F-05</w:t>
            </w:r>
          </w:p>
        </w:tc>
        <w:tc>
          <w:tcPr>
            <w:tcW w:type="dxa" w:w="2160"/>
          </w:tcPr>
          <w:p>
            <w:pPr>
              <w:spacing w:after="20" w:before="20"/>
            </w:pPr>
            <w:r/>
            <w:r>
              <w:rPr>
                <w:b w:val="0"/>
                <w:sz w:val="18"/>
              </w:rPr>
              <w:t>Command-injection hardening (privileged setup)</w:t>
            </w:r>
          </w:p>
        </w:tc>
        <w:tc>
          <w:tcPr>
            <w:tcW w:type="dxa" w:w="2160"/>
          </w:tcPr>
          <w:p>
            <w:pPr>
              <w:spacing w:after="20" w:before="20"/>
            </w:pPr>
            <w:r/>
            <w:r>
              <w:rPr>
                <w:b/>
                <w:color w:val="15803D"/>
                <w:sz w:val="18"/>
              </w:rPr>
              <w:t>LOW</w:t>
            </w:r>
          </w:p>
        </w:tc>
        <w:tc>
          <w:tcPr>
            <w:tcW w:type="dxa" w:w="2160"/>
          </w:tcPr>
          <w:p>
            <w:pPr>
              <w:spacing w:after="20" w:before="20"/>
            </w:pPr>
            <w:r/>
            <w:r>
              <w:rPr>
                <w:b w:val="0"/>
                <w:sz w:val="16"/>
              </w:rPr>
              <w:t>FIXED</w:t>
            </w:r>
          </w:p>
        </w:tc>
      </w:tr>
      <w:tr>
        <w:tc>
          <w:tcPr>
            <w:tcW w:type="dxa" w:w="2160"/>
          </w:tcPr>
          <w:p>
            <w:pPr>
              <w:spacing w:after="20" w:before="20"/>
            </w:pPr>
            <w:r/>
            <w:r>
              <w:rPr>
                <w:b w:val="0"/>
                <w:sz w:val="18"/>
              </w:rPr>
              <w:t>F-06</w:t>
            </w:r>
          </w:p>
        </w:tc>
        <w:tc>
          <w:tcPr>
            <w:tcW w:type="dxa" w:w="2160"/>
          </w:tcPr>
          <w:p>
            <w:pPr>
              <w:spacing w:after="20" w:before="20"/>
            </w:pPr>
            <w:r/>
            <w:r>
              <w:rPr>
                <w:b w:val="0"/>
                <w:sz w:val="18"/>
              </w:rPr>
              <w:t>Unauthenticated web API when exposed</w:t>
            </w:r>
          </w:p>
        </w:tc>
        <w:tc>
          <w:tcPr>
            <w:tcW w:type="dxa" w:w="2160"/>
          </w:tcPr>
          <w:p>
            <w:pPr>
              <w:spacing w:after="20" w:before="20"/>
            </w:pPr>
            <w:r/>
            <w:r>
              <w:rPr>
                <w:b/>
                <w:color w:val="15803D"/>
                <w:sz w:val="18"/>
              </w:rPr>
              <w:t>LOW</w:t>
            </w:r>
          </w:p>
        </w:tc>
        <w:tc>
          <w:tcPr>
            <w:tcW w:type="dxa" w:w="2160"/>
          </w:tcPr>
          <w:p>
            <w:pPr>
              <w:spacing w:after="20" w:before="20"/>
            </w:pPr>
            <w:r/>
            <w:r>
              <w:rPr>
                <w:b w:val="0"/>
                <w:sz w:val="16"/>
              </w:rPr>
              <w:t>FIXED</w:t>
            </w:r>
          </w:p>
        </w:tc>
      </w:tr>
      <w:tr>
        <w:tc>
          <w:tcPr>
            <w:tcW w:type="dxa" w:w="2160"/>
          </w:tcPr>
          <w:p>
            <w:pPr>
              <w:spacing w:after="20" w:before="20"/>
            </w:pPr>
            <w:r/>
            <w:r>
              <w:rPr>
                <w:b w:val="0"/>
                <w:sz w:val="18"/>
              </w:rPr>
              <w:t>F-09</w:t>
            </w:r>
          </w:p>
        </w:tc>
        <w:tc>
          <w:tcPr>
            <w:tcW w:type="dxa" w:w="2160"/>
          </w:tcPr>
          <w:p>
            <w:pPr>
              <w:spacing w:after="20" w:before="20"/>
            </w:pPr>
            <w:r/>
            <w:r>
              <w:rPr>
                <w:b w:val="0"/>
                <w:sz w:val="18"/>
              </w:rPr>
              <w:t>Path traversal / arbitrary file write in evidence export</w:t>
            </w:r>
          </w:p>
        </w:tc>
        <w:tc>
          <w:tcPr>
            <w:tcW w:type="dxa" w:w="2160"/>
          </w:tcPr>
          <w:p>
            <w:pPr>
              <w:spacing w:after="20" w:before="20"/>
            </w:pPr>
            <w:r/>
            <w:r>
              <w:rPr>
                <w:b/>
                <w:color w:val="A16207"/>
                <w:sz w:val="18"/>
              </w:rPr>
              <w:t>MEDIUM</w:t>
            </w:r>
          </w:p>
        </w:tc>
        <w:tc>
          <w:tcPr>
            <w:tcW w:type="dxa" w:w="2160"/>
          </w:tcPr>
          <w:p>
            <w:pPr>
              <w:spacing w:after="20" w:before="20"/>
            </w:pPr>
            <w:r/>
            <w:r>
              <w:rPr>
                <w:b w:val="0"/>
                <w:sz w:val="16"/>
              </w:rPr>
              <w:t>FIXED</w:t>
            </w:r>
          </w:p>
        </w:tc>
      </w:tr>
      <w:tr>
        <w:tc>
          <w:tcPr>
            <w:tcW w:type="dxa" w:w="2160"/>
          </w:tcPr>
          <w:p>
            <w:pPr>
              <w:spacing w:after="20" w:before="20"/>
            </w:pPr>
            <w:r/>
            <w:r>
              <w:rPr>
                <w:b w:val="0"/>
                <w:sz w:val="18"/>
              </w:rPr>
              <w:t>F-10</w:t>
            </w:r>
          </w:p>
        </w:tc>
        <w:tc>
          <w:tcPr>
            <w:tcW w:type="dxa" w:w="2160"/>
          </w:tcPr>
          <w:p>
            <w:pPr>
              <w:spacing w:after="20" w:before="20"/>
            </w:pPr>
            <w:r/>
            <w:r>
              <w:rPr>
                <w:b w:val="0"/>
                <w:sz w:val="18"/>
              </w:rPr>
              <w:t>No Host-header validation (DNS rebinding)</w:t>
            </w:r>
          </w:p>
        </w:tc>
        <w:tc>
          <w:tcPr>
            <w:tcW w:type="dxa" w:w="2160"/>
          </w:tcPr>
          <w:p>
            <w:pPr>
              <w:spacing w:after="20" w:before="20"/>
            </w:pPr>
            <w:r/>
            <w:r>
              <w:rPr>
                <w:b/>
                <w:color w:val="A16207"/>
                <w:sz w:val="18"/>
              </w:rPr>
              <w:t>MEDIUM</w:t>
            </w:r>
          </w:p>
        </w:tc>
        <w:tc>
          <w:tcPr>
            <w:tcW w:type="dxa" w:w="2160"/>
          </w:tcPr>
          <w:p>
            <w:pPr>
              <w:spacing w:after="20" w:before="20"/>
            </w:pPr>
            <w:r/>
            <w:r>
              <w:rPr>
                <w:b w:val="0"/>
                <w:sz w:val="16"/>
              </w:rPr>
              <w:t>FIXED</w:t>
            </w:r>
          </w:p>
        </w:tc>
      </w:tr>
      <w:tr>
        <w:tc>
          <w:tcPr>
            <w:tcW w:type="dxa" w:w="2160"/>
          </w:tcPr>
          <w:p>
            <w:pPr>
              <w:spacing w:after="20" w:before="20"/>
            </w:pPr>
            <w:r/>
            <w:r>
              <w:rPr>
                <w:b w:val="0"/>
                <w:sz w:val="18"/>
              </w:rPr>
              <w:t>F-11</w:t>
            </w:r>
          </w:p>
        </w:tc>
        <w:tc>
          <w:tcPr>
            <w:tcW w:type="dxa" w:w="2160"/>
          </w:tcPr>
          <w:p>
            <w:pPr>
              <w:spacing w:after="20" w:before="20"/>
            </w:pPr>
            <w:r/>
            <w:r>
              <w:rPr>
                <w:b w:val="0"/>
                <w:sz w:val="18"/>
              </w:rPr>
              <w:t>Cross-site request forgery on state-changing endpoints</w:t>
            </w:r>
          </w:p>
        </w:tc>
        <w:tc>
          <w:tcPr>
            <w:tcW w:type="dxa" w:w="2160"/>
          </w:tcPr>
          <w:p>
            <w:pPr>
              <w:spacing w:after="20" w:before="20"/>
            </w:pPr>
            <w:r/>
            <w:r>
              <w:rPr>
                <w:b/>
                <w:color w:val="A16207"/>
                <w:sz w:val="18"/>
              </w:rPr>
              <w:t>MEDIUM</w:t>
            </w:r>
          </w:p>
        </w:tc>
        <w:tc>
          <w:tcPr>
            <w:tcW w:type="dxa" w:w="2160"/>
          </w:tcPr>
          <w:p>
            <w:pPr>
              <w:spacing w:after="20" w:before="20"/>
            </w:pPr>
            <w:r/>
            <w:r>
              <w:rPr>
                <w:b w:val="0"/>
                <w:sz w:val="16"/>
              </w:rPr>
              <w:t>FIXED</w:t>
            </w:r>
          </w:p>
        </w:tc>
      </w:tr>
      <w:tr>
        <w:tc>
          <w:tcPr>
            <w:tcW w:type="dxa" w:w="2160"/>
          </w:tcPr>
          <w:p>
            <w:pPr>
              <w:spacing w:after="20" w:before="20"/>
            </w:pPr>
            <w:r/>
            <w:r>
              <w:rPr>
                <w:b w:val="0"/>
                <w:sz w:val="18"/>
              </w:rPr>
              <w:t>F-12</w:t>
            </w:r>
          </w:p>
        </w:tc>
        <w:tc>
          <w:tcPr>
            <w:tcW w:type="dxa" w:w="2160"/>
          </w:tcPr>
          <w:p>
            <w:pPr>
              <w:spacing w:after="20" w:before="20"/>
            </w:pPr>
            <w:r/>
            <w:r>
              <w:rPr>
                <w:b w:val="0"/>
                <w:sz w:val="18"/>
              </w:rPr>
              <w:t>World-readable upload / history directories</w:t>
            </w:r>
          </w:p>
        </w:tc>
        <w:tc>
          <w:tcPr>
            <w:tcW w:type="dxa" w:w="2160"/>
          </w:tcPr>
          <w:p>
            <w:pPr>
              <w:spacing w:after="20" w:before="20"/>
            </w:pPr>
            <w:r/>
            <w:r>
              <w:rPr>
                <w:b/>
                <w:color w:val="15803D"/>
                <w:sz w:val="18"/>
              </w:rPr>
              <w:t>LOW</w:t>
            </w:r>
          </w:p>
        </w:tc>
        <w:tc>
          <w:tcPr>
            <w:tcW w:type="dxa" w:w="2160"/>
          </w:tcPr>
          <w:p>
            <w:pPr>
              <w:spacing w:after="20" w:before="20"/>
            </w:pPr>
            <w:r/>
            <w:r>
              <w:rPr>
                <w:b w:val="0"/>
                <w:sz w:val="16"/>
              </w:rPr>
              <w:t>FIXED.</w:t>
            </w:r>
          </w:p>
        </w:tc>
      </w:tr>
      <w:tr>
        <w:tc>
          <w:tcPr>
            <w:tcW w:type="dxa" w:w="2160"/>
          </w:tcPr>
          <w:p>
            <w:pPr>
              <w:spacing w:after="20" w:before="20"/>
            </w:pPr>
            <w:r/>
            <w:r>
              <w:rPr>
                <w:b w:val="0"/>
                <w:sz w:val="18"/>
              </w:rPr>
              <w:t>F-07</w:t>
            </w:r>
          </w:p>
        </w:tc>
        <w:tc>
          <w:tcPr>
            <w:tcW w:type="dxa" w:w="2160"/>
          </w:tcPr>
          <w:p>
            <w:pPr>
              <w:spacing w:after="20" w:before="20"/>
            </w:pPr>
            <w:r/>
            <w:r>
              <w:rPr>
                <w:b w:val="0"/>
                <w:sz w:val="18"/>
              </w:rPr>
              <w:t>MD5 used in JA3 fingerprinting</w:t>
            </w:r>
          </w:p>
        </w:tc>
        <w:tc>
          <w:tcPr>
            <w:tcW w:type="dxa" w:w="2160"/>
          </w:tcPr>
          <w:p>
            <w:pPr>
              <w:spacing w:after="20" w:before="20"/>
            </w:pPr>
            <w:r/>
            <w:r>
              <w:rPr>
                <w:b/>
                <w:color w:val="475569"/>
                <w:sz w:val="18"/>
              </w:rPr>
              <w:t>INFO</w:t>
            </w:r>
          </w:p>
        </w:tc>
        <w:tc>
          <w:tcPr>
            <w:tcW w:type="dxa" w:w="2160"/>
          </w:tcPr>
          <w:p>
            <w:pPr>
              <w:spacing w:after="20" w:before="20"/>
            </w:pPr>
            <w:r/>
            <w:r>
              <w:rPr>
                <w:b w:val="0"/>
                <w:sz w:val="16"/>
              </w:rPr>
              <w:t>RESOLVED</w:t>
            </w:r>
          </w:p>
        </w:tc>
      </w:tr>
      <w:tr>
        <w:tc>
          <w:tcPr>
            <w:tcW w:type="dxa" w:w="2160"/>
          </w:tcPr>
          <w:p>
            <w:pPr>
              <w:spacing w:after="20" w:before="20"/>
            </w:pPr>
            <w:r/>
            <w:r>
              <w:rPr>
                <w:b w:val="0"/>
                <w:sz w:val="18"/>
              </w:rPr>
              <w:t>F-08</w:t>
            </w:r>
          </w:p>
        </w:tc>
        <w:tc>
          <w:tcPr>
            <w:tcW w:type="dxa" w:w="2160"/>
          </w:tcPr>
          <w:p>
            <w:pPr>
              <w:spacing w:after="20" w:before="20"/>
            </w:pPr>
            <w:r/>
            <w:r>
              <w:rPr>
                <w:b w:val="0"/>
                <w:sz w:val="18"/>
              </w:rPr>
              <w:t>Subprocess started via PATH lookup</w:t>
            </w:r>
          </w:p>
        </w:tc>
        <w:tc>
          <w:tcPr>
            <w:tcW w:type="dxa" w:w="2160"/>
          </w:tcPr>
          <w:p>
            <w:pPr>
              <w:spacing w:after="20" w:before="20"/>
            </w:pPr>
            <w:r/>
            <w:r>
              <w:rPr>
                <w:b/>
                <w:color w:val="475569"/>
                <w:sz w:val="18"/>
              </w:rPr>
              <w:t>INFO</w:t>
            </w:r>
          </w:p>
        </w:tc>
        <w:tc>
          <w:tcPr>
            <w:tcW w:type="dxa" w:w="2160"/>
          </w:tcPr>
          <w:p>
            <w:pPr>
              <w:spacing w:after="20" w:before="20"/>
            </w:pPr>
            <w:r/>
            <w:r>
              <w:rPr>
                <w:b w:val="0"/>
                <w:sz w:val="16"/>
              </w:rPr>
              <w:t>ACCEPTED</w:t>
            </w:r>
          </w:p>
        </w:tc>
      </w:tr>
    </w:tbl>
    <w:p>
      <w:r>
        <w:br w:type="page"/>
      </w:r>
    </w:p>
    <w:p>
      <w:pPr>
        <w:pStyle w:val="Heading1"/>
      </w:pPr>
      <w:r>
        <w:t>2. Scope &amp; Methodology</w:t>
      </w:r>
    </w:p>
    <w:p>
      <w:pPr>
        <w:pBdr>
          <w:bottom w:val="single" w:sz="6" w:space="1" w:color="1D4ED8"/>
        </w:pBdr>
      </w:pPr>
    </w:p>
    <w:p>
      <w:r>
        <w:t>This is an authorised, defensive self-assessment of the author's own project, performed entirely in a local sandbox. No external systems, networks or third parties were touched. Four complementary techniques were used: manual review of the highest-risk paths; bandit static analysis; pip-audit dependency CVE scanning; a git-history secret scan; and live exploitation attempts to confirm each class rather than assume it safe.</w:t>
      </w:r>
    </w:p>
    <w:p>
      <w:pPr>
        <w:pStyle w:val="Heading1"/>
      </w:pPr>
      <w:r>
        <w:t>3. Audit Procedure — Step by Step</w:t>
      </w:r>
    </w:p>
    <w:p>
      <w:pPr>
        <w:pBdr>
          <w:bottom w:val="single" w:sz="6" w:space="1" w:color="1D4ED8"/>
        </w:pBdr>
      </w:pPr>
    </w:p>
    <w:p>
      <w:r>
        <w:rPr>
          <w:sz w:val="18"/>
        </w:rPr>
        <w:t>Each step records why it was performed, the command/action, and the result.</w:t>
      </w:r>
    </w:p>
    <w:tbl>
      <w:tblPr>
        <w:tblStyle w:val="TableGrid"/>
        <w:tblW w:type="auto" w:w="0"/>
        <w:tblLook w:firstColumn="1" w:firstRow="1" w:lastColumn="0" w:lastRow="0" w:noHBand="0" w:noVBand="1" w:val="04A0"/>
      </w:tblPr>
      <w:tblGrid>
        <w:gridCol w:w="520"/>
        <w:gridCol w:w="3400"/>
        <w:gridCol w:w="3000"/>
        <w:gridCol w:w="2600"/>
      </w:tblGrid>
      <w:tr>
        <w:tc>
          <w:tcPr>
            <w:tcW w:type="dxa" w:w="2160"/>
            <w:shd w:val="clear" w:fill="0B1F3A"/>
          </w:tcPr>
          <w:p>
            <w:pPr>
              <w:spacing w:after="20" w:before="20"/>
            </w:pPr>
            <w:r/>
            <w:r>
              <w:rPr>
                <w:b/>
                <w:color w:val="FFFFFF"/>
                <w:sz w:val="18"/>
              </w:rPr>
              <w:t>#</w:t>
            </w:r>
          </w:p>
        </w:tc>
        <w:tc>
          <w:tcPr>
            <w:tcW w:type="dxa" w:w="2160"/>
            <w:shd w:val="clear" w:fill="0B1F3A"/>
          </w:tcPr>
          <w:p>
            <w:pPr>
              <w:spacing w:after="20" w:before="20"/>
            </w:pPr>
            <w:r/>
            <w:r>
              <w:rPr>
                <w:b/>
                <w:color w:val="FFFFFF"/>
                <w:sz w:val="18"/>
              </w:rPr>
              <w:t>Step &amp; why</w:t>
            </w:r>
          </w:p>
        </w:tc>
        <w:tc>
          <w:tcPr>
            <w:tcW w:type="dxa" w:w="2160"/>
            <w:shd w:val="clear" w:fill="0B1F3A"/>
          </w:tcPr>
          <w:p>
            <w:pPr>
              <w:spacing w:after="20" w:before="20"/>
            </w:pPr>
            <w:r/>
            <w:r>
              <w:rPr>
                <w:b/>
                <w:color w:val="FFFFFF"/>
                <w:sz w:val="18"/>
              </w:rPr>
              <w:t>Command / action</w:t>
            </w:r>
          </w:p>
        </w:tc>
        <w:tc>
          <w:tcPr>
            <w:tcW w:type="dxa" w:w="2160"/>
            <w:shd w:val="clear" w:fill="0B1F3A"/>
          </w:tcPr>
          <w:p>
            <w:pPr>
              <w:spacing w:after="20" w:before="20"/>
            </w:pPr>
            <w:r/>
            <w:r>
              <w:rPr>
                <w:b/>
                <w:color w:val="FFFFFF"/>
                <w:sz w:val="18"/>
              </w:rPr>
              <w:t>Result</w:t>
            </w:r>
          </w:p>
        </w:tc>
      </w:tr>
      <w:tr>
        <w:tc>
          <w:tcPr>
            <w:tcW w:type="dxa" w:w="2160"/>
          </w:tcPr>
          <w:p>
            <w:pPr>
              <w:spacing w:after="20" w:before="20"/>
            </w:pPr>
            <w:r/>
            <w:r>
              <w:rPr>
                <w:b w:val="0"/>
                <w:sz w:val="18"/>
              </w:rPr>
              <w:t>1</w:t>
            </w:r>
          </w:p>
        </w:tc>
        <w:tc>
          <w:tcPr>
            <w:tcW w:type="dxa" w:w="2160"/>
          </w:tcPr>
          <w:p>
            <w:r/>
            <w:r>
              <w:rPr>
                <w:b/>
                <w:sz w:val="18"/>
              </w:rPr>
              <w:t>Establish a safe baseline</w:t>
            </w:r>
          </w:p>
          <w:p>
            <w:r>
              <w:rPr>
                <w:color w:val="475569"/>
                <w:sz w:val="15"/>
              </w:rPr>
              <w:t>Confirm the codebase is green before touching it, so any later breakage is attributable to a fix, not pre-existing.</w:t>
            </w:r>
          </w:p>
        </w:tc>
        <w:tc>
          <w:tcPr>
            <w:tcW w:type="dxa" w:w="2160"/>
          </w:tcPr>
          <w:p>
            <w:pPr>
              <w:spacing w:after="20" w:before="20"/>
            </w:pPr>
            <w:r/>
            <w:r>
              <w:rPr>
                <w:b w:val="0"/>
                <w:sz w:val="16"/>
              </w:rPr>
              <w:t>python -m pytest ; ruff check</w:t>
            </w:r>
          </w:p>
        </w:tc>
        <w:tc>
          <w:tcPr>
            <w:tcW w:type="dxa" w:w="2160"/>
          </w:tcPr>
          <w:p>
            <w:pPr>
              <w:spacing w:after="20" w:before="20"/>
            </w:pPr>
            <w:r/>
            <w:r>
              <w:rPr>
                <w:b w:val="0"/>
                <w:sz w:val="16"/>
              </w:rPr>
              <w:t>143 tests pass, lint clean</w:t>
            </w:r>
          </w:p>
        </w:tc>
      </w:tr>
      <w:tr>
        <w:tc>
          <w:tcPr>
            <w:tcW w:type="dxa" w:w="2160"/>
          </w:tcPr>
          <w:p>
            <w:pPr>
              <w:spacing w:after="20" w:before="20"/>
            </w:pPr>
            <w:r/>
            <w:r>
              <w:rPr>
                <w:b w:val="0"/>
                <w:sz w:val="18"/>
              </w:rPr>
              <w:t>2</w:t>
            </w:r>
          </w:p>
        </w:tc>
        <w:tc>
          <w:tcPr>
            <w:tcW w:type="dxa" w:w="2160"/>
          </w:tcPr>
          <w:p>
            <w:r/>
            <w:r>
              <w:rPr>
                <w:b/>
                <w:sz w:val="18"/>
              </w:rPr>
              <w:t>Static pattern sweep</w:t>
            </w:r>
          </w:p>
          <w:p>
            <w:r>
              <w:rPr>
                <w:color w:val="475569"/>
                <w:sz w:val="15"/>
              </w:rPr>
              <w:t>Manually hunt the classic RCE/deserialisation sinks before trusting any automated tool.</w:t>
            </w:r>
          </w:p>
        </w:tc>
        <w:tc>
          <w:tcPr>
            <w:tcW w:type="dxa" w:w="2160"/>
          </w:tcPr>
          <w:p>
            <w:pPr>
              <w:spacing w:after="20" w:before="20"/>
            </w:pPr>
            <w:r/>
            <w:r>
              <w:rPr>
                <w:b w:val="0"/>
                <w:sz w:val="16"/>
              </w:rPr>
              <w:t>grep -rnE 'eval|exec|pickle|os.system|shell=True|yaml.load' packetiq</w:t>
            </w:r>
          </w:p>
        </w:tc>
        <w:tc>
          <w:tcPr>
            <w:tcW w:type="dxa" w:w="2160"/>
          </w:tcPr>
          <w:p>
            <w:pPr>
              <w:spacing w:after="20" w:before="20"/>
            </w:pPr>
            <w:r/>
            <w:r>
              <w:rPr>
                <w:b w:val="0"/>
                <w:sz w:val="16"/>
              </w:rPr>
              <w:t>Only an interactive input() in the CLI chat — no dangerous sinks</w:t>
            </w:r>
          </w:p>
        </w:tc>
      </w:tr>
      <w:tr>
        <w:tc>
          <w:tcPr>
            <w:tcW w:type="dxa" w:w="2160"/>
          </w:tcPr>
          <w:p>
            <w:pPr>
              <w:spacing w:after="20" w:before="20"/>
            </w:pPr>
            <w:r/>
            <w:r>
              <w:rPr>
                <w:b w:val="0"/>
                <w:sz w:val="18"/>
              </w:rPr>
              <w:t>3</w:t>
            </w:r>
          </w:p>
        </w:tc>
        <w:tc>
          <w:tcPr>
            <w:tcW w:type="dxa" w:w="2160"/>
          </w:tcPr>
          <w:p>
            <w:r/>
            <w:r>
              <w:rPr>
                <w:b/>
                <w:sz w:val="18"/>
              </w:rPr>
              <w:t>Review file I/O &amp; path handling</w:t>
            </w:r>
          </w:p>
          <w:p>
            <w:r>
              <w:rPr>
                <w:color w:val="475569"/>
                <w:sz w:val="15"/>
              </w:rPr>
              <w:t>Verify attacker-controlled URL parameters cannot escape the upload directory.</w:t>
            </w:r>
          </w:p>
        </w:tc>
        <w:tc>
          <w:tcPr>
            <w:tcW w:type="dxa" w:w="2160"/>
          </w:tcPr>
          <w:p>
            <w:pPr>
              <w:spacing w:after="20" w:before="20"/>
            </w:pPr>
            <w:r/>
            <w:r>
              <w:rPr>
                <w:b w:val="0"/>
                <w:sz w:val="16"/>
              </w:rPr>
              <w:t>read _job_pcap_paths, /api/upload, /api/evidence</w:t>
            </w:r>
          </w:p>
        </w:tc>
        <w:tc>
          <w:tcPr>
            <w:tcW w:type="dxa" w:w="2160"/>
          </w:tcPr>
          <w:p>
            <w:pPr>
              <w:spacing w:after="20" w:before="20"/>
            </w:pPr>
            <w:r/>
            <w:r>
              <w:rPr>
                <w:b w:val="0"/>
                <w:sz w:val="16"/>
              </w:rPr>
              <w:t>job_id validated against the job registry; no traversal</w:t>
            </w:r>
          </w:p>
        </w:tc>
      </w:tr>
      <w:tr>
        <w:tc>
          <w:tcPr>
            <w:tcW w:type="dxa" w:w="2160"/>
          </w:tcPr>
          <w:p>
            <w:pPr>
              <w:spacing w:after="20" w:before="20"/>
            </w:pPr>
            <w:r/>
            <w:r>
              <w:rPr>
                <w:b w:val="0"/>
                <w:sz w:val="18"/>
              </w:rPr>
              <w:t>4</w:t>
            </w:r>
          </w:p>
        </w:tc>
        <w:tc>
          <w:tcPr>
            <w:tcW w:type="dxa" w:w="2160"/>
          </w:tcPr>
          <w:p>
            <w:r/>
            <w:r>
              <w:rPr>
                <w:b/>
                <w:sz w:val="18"/>
              </w:rPr>
              <w:t>Review database layer</w:t>
            </w:r>
          </w:p>
          <w:p>
            <w:r>
              <w:rPr>
                <w:color w:val="475569"/>
                <w:sz w:val="15"/>
              </w:rPr>
              <w:t>Confirm history persistence cannot be injected.</w:t>
            </w:r>
          </w:p>
        </w:tc>
        <w:tc>
          <w:tcPr>
            <w:tcW w:type="dxa" w:w="2160"/>
          </w:tcPr>
          <w:p>
            <w:pPr>
              <w:spacing w:after="20" w:before="20"/>
            </w:pPr>
            <w:r/>
            <w:r>
              <w:rPr>
                <w:b w:val="0"/>
                <w:sz w:val="16"/>
              </w:rPr>
              <w:t>read packetiq/storage.py</w:t>
            </w:r>
          </w:p>
        </w:tc>
        <w:tc>
          <w:tcPr>
            <w:tcW w:type="dxa" w:w="2160"/>
          </w:tcPr>
          <w:p>
            <w:pPr>
              <w:spacing w:after="20" w:before="20"/>
            </w:pPr>
            <w:r/>
            <w:r>
              <w:rPr>
                <w:b w:val="0"/>
                <w:sz w:val="16"/>
              </w:rPr>
              <w:t>Parameterised queries throughout — no SQLi</w:t>
            </w:r>
          </w:p>
        </w:tc>
      </w:tr>
      <w:tr>
        <w:tc>
          <w:tcPr>
            <w:tcW w:type="dxa" w:w="2160"/>
          </w:tcPr>
          <w:p>
            <w:pPr>
              <w:spacing w:after="20" w:before="20"/>
            </w:pPr>
            <w:r/>
            <w:r>
              <w:rPr>
                <w:b w:val="0"/>
                <w:sz w:val="18"/>
              </w:rPr>
              <w:t>5</w:t>
            </w:r>
          </w:p>
        </w:tc>
        <w:tc>
          <w:tcPr>
            <w:tcW w:type="dxa" w:w="2160"/>
          </w:tcPr>
          <w:p>
            <w:r/>
            <w:r>
              <w:rPr>
                <w:b/>
                <w:sz w:val="18"/>
              </w:rPr>
              <w:t>Review privileged code</w:t>
            </w:r>
          </w:p>
          <w:p>
            <w:r>
              <w:rPr>
                <w:color w:val="475569"/>
                <w:sz w:val="15"/>
              </w:rPr>
              <w:t>Privileged execution paths get the highest scrutiny.</w:t>
            </w:r>
          </w:p>
        </w:tc>
        <w:tc>
          <w:tcPr>
            <w:tcW w:type="dxa" w:w="2160"/>
          </w:tcPr>
          <w:p>
            <w:pPr>
              <w:spacing w:after="20" w:before="20"/>
            </w:pPr>
            <w:r/>
            <w:r>
              <w:rPr>
                <w:b w:val="0"/>
                <w:sz w:val="16"/>
              </w:rPr>
              <w:t>read capture_setup.py (osascript / setcap)</w:t>
            </w:r>
          </w:p>
        </w:tc>
        <w:tc>
          <w:tcPr>
            <w:tcW w:type="dxa" w:w="2160"/>
          </w:tcPr>
          <w:p>
            <w:pPr>
              <w:spacing w:after="20" w:before="20"/>
            </w:pPr>
            <w:r/>
            <w:r>
              <w:rPr>
                <w:b w:val="0"/>
                <w:sz w:val="16"/>
              </w:rPr>
              <w:t>$USER interpolated into an admin-privileged shell script → F-05</w:t>
            </w:r>
          </w:p>
        </w:tc>
      </w:tr>
      <w:tr>
        <w:tc>
          <w:tcPr>
            <w:tcW w:type="dxa" w:w="2160"/>
          </w:tcPr>
          <w:p>
            <w:pPr>
              <w:spacing w:after="20" w:before="20"/>
            </w:pPr>
            <w:r/>
            <w:r>
              <w:rPr>
                <w:b w:val="0"/>
                <w:sz w:val="18"/>
              </w:rPr>
              <w:t>6</w:t>
            </w:r>
          </w:p>
        </w:tc>
        <w:tc>
          <w:tcPr>
            <w:tcW w:type="dxa" w:w="2160"/>
          </w:tcPr>
          <w:p>
            <w:r/>
            <w:r>
              <w:rPr>
                <w:b/>
                <w:sz w:val="18"/>
              </w:rPr>
              <w:t>Static analysis (SAST)</w:t>
            </w:r>
          </w:p>
          <w:p>
            <w:r>
              <w:rPr>
                <w:color w:val="475569"/>
                <w:sz w:val="15"/>
              </w:rPr>
              <w:t>Automated CWE coverage to catch what manual review misses.</w:t>
            </w:r>
          </w:p>
        </w:tc>
        <w:tc>
          <w:tcPr>
            <w:tcW w:type="dxa" w:w="2160"/>
          </w:tcPr>
          <w:p>
            <w:pPr>
              <w:spacing w:after="20" w:before="20"/>
            </w:pPr>
            <w:r/>
            <w:r>
              <w:rPr>
                <w:b w:val="0"/>
                <w:sz w:val="16"/>
              </w:rPr>
              <w:t>python -m bandit -r packetiq</w:t>
            </w:r>
          </w:p>
        </w:tc>
        <w:tc>
          <w:tcPr>
            <w:tcW w:type="dxa" w:w="2160"/>
          </w:tcPr>
          <w:p>
            <w:pPr>
              <w:spacing w:after="20" w:before="20"/>
            </w:pPr>
            <w:r/>
            <w:r>
              <w:rPr>
                <w:b w:val="0"/>
                <w:sz w:val="16"/>
              </w:rPr>
              <w:t>1 High (MD5/JA3 — FP), 1 Medium (bind-all string), 41 Low</w:t>
            </w:r>
          </w:p>
        </w:tc>
      </w:tr>
      <w:tr>
        <w:tc>
          <w:tcPr>
            <w:tcW w:type="dxa" w:w="2160"/>
          </w:tcPr>
          <w:p>
            <w:pPr>
              <w:spacing w:after="20" w:before="20"/>
            </w:pPr>
            <w:r/>
            <w:r>
              <w:rPr>
                <w:b w:val="0"/>
                <w:sz w:val="18"/>
              </w:rPr>
              <w:t>7</w:t>
            </w:r>
          </w:p>
        </w:tc>
        <w:tc>
          <w:tcPr>
            <w:tcW w:type="dxa" w:w="2160"/>
          </w:tcPr>
          <w:p>
            <w:r/>
            <w:r>
              <w:rPr>
                <w:b/>
                <w:sz w:val="18"/>
              </w:rPr>
              <w:t>Dependency CVE scan</w:t>
            </w:r>
          </w:p>
          <w:p>
            <w:r>
              <w:rPr>
                <w:color w:val="475569"/>
                <w:sz w:val="15"/>
              </w:rPr>
              <w:t>Most real-world risk is in third-party components; audit the supply chain.</w:t>
            </w:r>
          </w:p>
        </w:tc>
        <w:tc>
          <w:tcPr>
            <w:tcW w:type="dxa" w:w="2160"/>
          </w:tcPr>
          <w:p>
            <w:pPr>
              <w:spacing w:after="20" w:before="20"/>
            </w:pPr>
            <w:r/>
            <w:r>
              <w:rPr>
                <w:b w:val="0"/>
                <w:sz w:val="16"/>
              </w:rPr>
              <w:t>python -m pip_audit</w:t>
            </w:r>
          </w:p>
        </w:tc>
        <w:tc>
          <w:tcPr>
            <w:tcW w:type="dxa" w:w="2160"/>
          </w:tcPr>
          <w:p>
            <w:pPr>
              <w:spacing w:after="20" w:before="20"/>
            </w:pPr>
            <w:r/>
            <w:r>
              <w:rPr>
                <w:b w:val="0"/>
                <w:sz w:val="16"/>
              </w:rPr>
              <w:t>Advisories in python-multipart, starlette, requests, urllib3, cryptography, idna, python-dotenv → F-04</w:t>
            </w:r>
          </w:p>
        </w:tc>
      </w:tr>
      <w:tr>
        <w:tc>
          <w:tcPr>
            <w:tcW w:type="dxa" w:w="2160"/>
          </w:tcPr>
          <w:p>
            <w:pPr>
              <w:spacing w:after="20" w:before="20"/>
            </w:pPr>
            <w:r/>
            <w:r>
              <w:rPr>
                <w:b w:val="0"/>
                <w:sz w:val="18"/>
              </w:rPr>
              <w:t>8</w:t>
            </w:r>
          </w:p>
        </w:tc>
        <w:tc>
          <w:tcPr>
            <w:tcW w:type="dxa" w:w="2160"/>
          </w:tcPr>
          <w:p>
            <w:r/>
            <w:r>
              <w:rPr>
                <w:b/>
                <w:sz w:val="18"/>
              </w:rPr>
              <w:t>Secret scan (git history)</w:t>
            </w:r>
          </w:p>
          <w:p>
            <w:r>
              <w:rPr>
                <w:color w:val="475569"/>
                <w:sz w:val="15"/>
              </w:rPr>
              <w:t>Secrets removed from the working tree often persist in history; scan the whole DAG.</w:t>
            </w:r>
          </w:p>
        </w:tc>
        <w:tc>
          <w:tcPr>
            <w:tcW w:type="dxa" w:w="2160"/>
          </w:tcPr>
          <w:p>
            <w:pPr>
              <w:spacing w:after="20" w:before="20"/>
            </w:pPr>
            <w:r/>
            <w:r>
              <w:rPr>
                <w:b w:val="0"/>
                <w:sz w:val="16"/>
              </w:rPr>
              <w:t>git log -p -- .env.example | grep -E 'AIzaSy|gsk_'</w:t>
            </w:r>
          </w:p>
        </w:tc>
        <w:tc>
          <w:tcPr>
            <w:tcW w:type="dxa" w:w="2160"/>
          </w:tcPr>
          <w:p>
            <w:pPr>
              <w:spacing w:after="20" w:before="20"/>
            </w:pPr>
            <w:r/>
            <w:r>
              <w:rPr>
                <w:b w:val="0"/>
                <w:sz w:val="16"/>
              </w:rPr>
              <w:t>Live Gemini + Groq keys found in history → F-01 (CRITICAL)</w:t>
            </w:r>
          </w:p>
        </w:tc>
      </w:tr>
      <w:tr>
        <w:tc>
          <w:tcPr>
            <w:tcW w:type="dxa" w:w="2160"/>
          </w:tcPr>
          <w:p>
            <w:pPr>
              <w:spacing w:after="20" w:before="20"/>
            </w:pPr>
            <w:r/>
            <w:r>
              <w:rPr>
                <w:b w:val="0"/>
                <w:sz w:val="18"/>
              </w:rPr>
              <w:t>9</w:t>
            </w:r>
          </w:p>
        </w:tc>
        <w:tc>
          <w:tcPr>
            <w:tcW w:type="dxa" w:w="2160"/>
          </w:tcPr>
          <w:p>
            <w:r/>
            <w:r>
              <w:rPr>
                <w:b/>
                <w:sz w:val="18"/>
              </w:rPr>
              <w:t>Remediate code findings</w:t>
            </w:r>
          </w:p>
          <w:p>
            <w:r>
              <w:rPr>
                <w:color w:val="475569"/>
                <w:sz w:val="15"/>
              </w:rPr>
              <w:t>Fix the issues we control, in code, with the least disruptive change.</w:t>
            </w:r>
          </w:p>
        </w:tc>
        <w:tc>
          <w:tcPr>
            <w:tcW w:type="dxa" w:w="2160"/>
          </w:tcPr>
          <w:p>
            <w:pPr>
              <w:spacing w:after="20" w:before="20"/>
            </w:pPr>
            <w:r/>
            <w:r>
              <w:rPr>
                <w:b w:val="0"/>
                <w:sz w:val="16"/>
              </w:rPr>
              <w:t>edit app.py / cli.py / capture_setup.py / ja3.py</w:t>
            </w:r>
          </w:p>
        </w:tc>
        <w:tc>
          <w:tcPr>
            <w:tcW w:type="dxa" w:w="2160"/>
          </w:tcPr>
          <w:p>
            <w:pPr>
              <w:spacing w:after="20" w:before="20"/>
            </w:pPr>
            <w:r/>
            <w:r>
              <w:rPr>
                <w:b w:val="0"/>
                <w:sz w:val="16"/>
              </w:rPr>
              <w:t>Streamed uploads, bounded buffers, username validation, MD5 annotation, bind warning</w:t>
            </w:r>
          </w:p>
        </w:tc>
      </w:tr>
      <w:tr>
        <w:tc>
          <w:tcPr>
            <w:tcW w:type="dxa" w:w="2160"/>
          </w:tcPr>
          <w:p>
            <w:pPr>
              <w:spacing w:after="20" w:before="20"/>
            </w:pPr>
            <w:r/>
            <w:r>
              <w:rPr>
                <w:b w:val="0"/>
                <w:sz w:val="18"/>
              </w:rPr>
              <w:t>10</w:t>
            </w:r>
          </w:p>
        </w:tc>
        <w:tc>
          <w:tcPr>
            <w:tcW w:type="dxa" w:w="2160"/>
          </w:tcPr>
          <w:p>
            <w:r/>
            <w:r>
              <w:rPr>
                <w:b/>
                <w:sz w:val="18"/>
              </w:rPr>
              <w:t>Remediate dependencies</w:t>
            </w:r>
          </w:p>
          <w:p>
            <w:r>
              <w:rPr>
                <w:color w:val="475569"/>
                <w:sz w:val="15"/>
              </w:rPr>
              <w:t>Apply the patches that are installable now; pin safe minimums for future installs.</w:t>
            </w:r>
          </w:p>
        </w:tc>
        <w:tc>
          <w:tcPr>
            <w:tcW w:type="dxa" w:w="2160"/>
          </w:tcPr>
          <w:p>
            <w:pPr>
              <w:spacing w:after="20" w:before="20"/>
            </w:pPr>
            <w:r/>
            <w:r>
              <w:rPr>
                <w:b w:val="0"/>
                <w:sz w:val="16"/>
              </w:rPr>
              <w:t>pin security floors in pyproject.toml + requirements.txt</w:t>
            </w:r>
          </w:p>
        </w:tc>
        <w:tc>
          <w:tcPr>
            <w:tcW w:type="dxa" w:w="2160"/>
          </w:tcPr>
          <w:p>
            <w:pPr>
              <w:spacing w:after="20" w:before="20"/>
            </w:pPr>
            <w:r/>
            <w:r>
              <w:rPr>
                <w:b w:val="0"/>
                <w:sz w:val="16"/>
              </w:rPr>
              <w:t>cryptography/idna cleared; rest resolve to patched on Python ≥3.10</w:t>
            </w:r>
          </w:p>
        </w:tc>
      </w:tr>
      <w:tr>
        <w:tc>
          <w:tcPr>
            <w:tcW w:type="dxa" w:w="2160"/>
          </w:tcPr>
          <w:p>
            <w:pPr>
              <w:spacing w:after="20" w:before="20"/>
            </w:pPr>
            <w:r/>
            <w:r>
              <w:rPr>
                <w:b w:val="0"/>
                <w:sz w:val="18"/>
              </w:rPr>
              <w:t>11</w:t>
            </w:r>
          </w:p>
        </w:tc>
        <w:tc>
          <w:tcPr>
            <w:tcW w:type="dxa" w:w="2160"/>
          </w:tcPr>
          <w:p>
            <w:r/>
            <w:r>
              <w:rPr>
                <w:b/>
                <w:sz w:val="18"/>
              </w:rPr>
              <w:t>Add regression tests</w:t>
            </w:r>
          </w:p>
          <w:p>
            <w:r>
              <w:rPr>
                <w:color w:val="475569"/>
                <w:sz w:val="15"/>
              </w:rPr>
              <w:t>Lock the fixes so they cannot silently regress.</w:t>
            </w:r>
          </w:p>
        </w:tc>
        <w:tc>
          <w:tcPr>
            <w:tcW w:type="dxa" w:w="2160"/>
          </w:tcPr>
          <w:p>
            <w:pPr>
              <w:spacing w:after="20" w:before="20"/>
            </w:pPr>
            <w:r/>
            <w:r>
              <w:rPr>
                <w:b w:val="0"/>
                <w:sz w:val="16"/>
              </w:rPr>
              <w:t>tests/test_security.py</w:t>
            </w:r>
          </w:p>
        </w:tc>
        <w:tc>
          <w:tcPr>
            <w:tcW w:type="dxa" w:w="2160"/>
          </w:tcPr>
          <w:p>
            <w:pPr>
              <w:spacing w:after="20" w:before="20"/>
            </w:pPr>
            <w:r/>
            <w:r>
              <w:rPr>
                <w:b w:val="0"/>
                <w:sz w:val="16"/>
              </w:rPr>
              <w:t>4 tests (upload abort, username gate) pass</w:t>
            </w:r>
          </w:p>
        </w:tc>
      </w:tr>
      <w:tr>
        <w:tc>
          <w:tcPr>
            <w:tcW w:type="dxa" w:w="2160"/>
          </w:tcPr>
          <w:p>
            <w:pPr>
              <w:spacing w:after="20" w:before="20"/>
            </w:pPr>
            <w:r/>
            <w:r>
              <w:rPr>
                <w:b w:val="0"/>
                <w:sz w:val="18"/>
              </w:rPr>
              <w:t>12</w:t>
            </w:r>
          </w:p>
        </w:tc>
        <w:tc>
          <w:tcPr>
            <w:tcW w:type="dxa" w:w="2160"/>
          </w:tcPr>
          <w:p>
            <w:r/>
            <w:r>
              <w:rPr>
                <w:b/>
                <w:sz w:val="18"/>
              </w:rPr>
              <w:t>Deep round-2 (verified, not assumed)</w:t>
            </w:r>
          </w:p>
          <w:p>
            <w:r>
              <w:rPr>
                <w:color w:val="475569"/>
                <w:sz w:val="15"/>
              </w:rPr>
              <w:t>Go beyond the obvious surface: actively try to exploit each class rather than assume it is safe.</w:t>
            </w:r>
          </w:p>
        </w:tc>
        <w:tc>
          <w:tcPr>
            <w:tcW w:type="dxa" w:w="2160"/>
          </w:tcPr>
          <w:p>
            <w:pPr>
              <w:spacing w:after="20" w:before="20"/>
            </w:pPr>
            <w:r/>
            <w:r>
              <w:rPr>
                <w:b w:val="0"/>
                <w:sz w:val="16"/>
              </w:rPr>
              <w:t>XSS interpolation scan ; live traversal/rebinding/CSRF exploit attempts</w:t>
            </w:r>
          </w:p>
        </w:tc>
        <w:tc>
          <w:tcPr>
            <w:tcW w:type="dxa" w:w="2160"/>
          </w:tcPr>
          <w:p>
            <w:pPr>
              <w:spacing w:after="20" w:before="20"/>
            </w:pPr>
            <w:r/>
            <w:r>
              <w:rPr>
                <w:b w:val="0"/>
                <w:sz w:val="16"/>
              </w:rPr>
              <w:t>Found + FIXED path traversal (F-09), DNS-rebinding (F-10), CSRF (F-11), dir perms (F-12)</w:t>
            </w:r>
          </w:p>
        </w:tc>
      </w:tr>
      <w:tr>
        <w:tc>
          <w:tcPr>
            <w:tcW w:type="dxa" w:w="2160"/>
          </w:tcPr>
          <w:p>
            <w:pPr>
              <w:spacing w:after="20" w:before="20"/>
            </w:pPr>
            <w:r/>
            <w:r>
              <w:rPr>
                <w:b w:val="0"/>
                <w:sz w:val="18"/>
              </w:rPr>
              <w:t>13</w:t>
            </w:r>
          </w:p>
        </w:tc>
        <w:tc>
          <w:tcPr>
            <w:tcW w:type="dxa" w:w="2160"/>
          </w:tcPr>
          <w:p>
            <w:r/>
            <w:r>
              <w:rPr>
                <w:b/>
                <w:sz w:val="18"/>
              </w:rPr>
              <w:t>Re-verify</w:t>
            </w:r>
          </w:p>
          <w:p>
            <w:r>
              <w:rPr>
                <w:color w:val="475569"/>
                <w:sz w:val="15"/>
              </w:rPr>
              <w:t>Prove the fixes work and introduced no regressions.</w:t>
            </w:r>
          </w:p>
        </w:tc>
        <w:tc>
          <w:tcPr>
            <w:tcW w:type="dxa" w:w="2160"/>
          </w:tcPr>
          <w:p>
            <w:pPr>
              <w:spacing w:after="20" w:before="20"/>
            </w:pPr>
            <w:r/>
            <w:r>
              <w:rPr>
                <w:b w:val="0"/>
                <w:sz w:val="16"/>
              </w:rPr>
              <w:t>pytest ; ruff ; bandit ; pip_audit ; live exploit re-tests</w:t>
            </w:r>
          </w:p>
        </w:tc>
        <w:tc>
          <w:tcPr>
            <w:tcW w:type="dxa" w:w="2160"/>
          </w:tcPr>
          <w:p>
            <w:pPr>
              <w:spacing w:after="20" w:before="20"/>
            </w:pPr>
            <w:r/>
            <w:r>
              <w:rPr>
                <w:b w:val="0"/>
                <w:sz w:val="16"/>
              </w:rPr>
              <w:t>full suite (now 304 tests) passes, lint clean, bandit High=0 &amp; Medium=0, all exploits blocked</w:t>
            </w:r>
          </w:p>
        </w:tc>
      </w:tr>
    </w:tbl>
    <w:p>
      <w:r>
        <w:br w:type="page"/>
      </w:r>
    </w:p>
    <w:p>
      <w:pPr>
        <w:pStyle w:val="Heading1"/>
      </w:pPr>
      <w:r>
        <w:t>4. Findings in Detail</w:t>
      </w:r>
    </w:p>
    <w:p>
      <w:pPr>
        <w:pBdr>
          <w:bottom w:val="single" w:sz="6" w:space="1" w:color="1D4ED8"/>
        </w:pBdr>
      </w:pPr>
    </w:p>
    <w:p>
      <w:pPr>
        <w:pStyle w:val="Heading2"/>
      </w:pPr>
      <w:r>
        <w:t>F-01 · Live API keys committed to git history</w:t>
      </w:r>
    </w:p>
    <w:tbl>
      <w:tblPr>
        <w:tblStyle w:val="TableGrid"/>
        <w:tblW w:type="auto" w:w="0"/>
        <w:tblLook w:firstColumn="1" w:firstRow="1" w:lastColumn="0" w:lastRow="0" w:noHBand="0" w:noVBand="1" w:val="04A0"/>
      </w:tblPr>
      <w:tblGrid>
        <w:gridCol w:w="1400"/>
        <w:gridCol w:w="4320"/>
      </w:tblGrid>
      <w:tr>
        <w:tc>
          <w:tcPr>
            <w:tcW w:type="dxa" w:w="4320"/>
            <w:shd w:val="clear" w:fill="EEF2F7"/>
          </w:tcPr>
          <w:p>
            <w:pPr>
              <w:spacing w:after="20" w:before="20"/>
            </w:pPr>
            <w:r/>
            <w:r>
              <w:rPr>
                <w:b/>
                <w:sz w:val="18"/>
              </w:rPr>
              <w:t>Severity</w:t>
            </w:r>
          </w:p>
        </w:tc>
        <w:tc>
          <w:tcPr>
            <w:tcW w:type="dxa" w:w="4320"/>
          </w:tcPr>
          <w:p>
            <w:pPr>
              <w:spacing w:after="20" w:before="20"/>
            </w:pPr>
            <w:r/>
            <w:r>
              <w:rPr>
                <w:b/>
                <w:color w:val="B91C1C"/>
                <w:sz w:val="18"/>
              </w:rPr>
              <w:t>CRITICAL · CWE-798 Hard-coded Credentials</w:t>
            </w:r>
          </w:p>
        </w:tc>
      </w:tr>
      <w:tr>
        <w:tc>
          <w:tcPr>
            <w:tcW w:type="dxa" w:w="4320"/>
            <w:shd w:val="clear" w:fill="EEF2F7"/>
          </w:tcPr>
          <w:p>
            <w:pPr>
              <w:spacing w:after="20" w:before="20"/>
            </w:pPr>
            <w:r/>
            <w:r>
              <w:rPr>
                <w:b/>
                <w:sz w:val="18"/>
              </w:rPr>
              <w:t>Description</w:t>
            </w:r>
          </w:p>
        </w:tc>
        <w:tc>
          <w:tcPr>
            <w:tcW w:type="dxa" w:w="4320"/>
          </w:tcPr>
          <w:p>
            <w:pPr>
              <w:spacing w:after="20" w:before="20"/>
            </w:pPr>
            <w:r/>
            <w:r>
              <w:rPr>
                <w:b w:val="0"/>
                <w:sz w:val="18"/>
              </w:rPr>
              <w:t>Real Google Gemini and Groq API keys were committed to .env.example in earlier history. The working tree is sanitised, but the secrets remain recoverable from the git history of every clone.</w:t>
            </w:r>
          </w:p>
        </w:tc>
      </w:tr>
      <w:tr>
        <w:tc>
          <w:tcPr>
            <w:tcW w:type="dxa" w:w="4320"/>
            <w:shd w:val="clear" w:fill="EEF2F7"/>
          </w:tcPr>
          <w:p>
            <w:pPr>
              <w:spacing w:after="20" w:before="20"/>
            </w:pPr>
            <w:r/>
            <w:r>
              <w:rPr>
                <w:b/>
                <w:sz w:val="18"/>
              </w:rPr>
              <w:t>Impact</w:t>
            </w:r>
          </w:p>
        </w:tc>
        <w:tc>
          <w:tcPr>
            <w:tcW w:type="dxa" w:w="4320"/>
          </w:tcPr>
          <w:p>
            <w:pPr>
              <w:spacing w:after="20" w:before="20"/>
            </w:pPr>
            <w:r/>
            <w:r>
              <w:rPr>
                <w:b w:val="0"/>
                <w:sz w:val="18"/>
              </w:rPr>
              <w:t>Anyone with the repo (or a fork/mirror) can extract working keys → unauthorised AI usage billed to the owner, quota abuse.</w:t>
            </w:r>
          </w:p>
        </w:tc>
      </w:tr>
    </w:tbl>
    <w:p>
      <w:r>
        <w:rPr>
          <w:b/>
          <w:sz w:val="17"/>
        </w:rPr>
        <w:t xml:space="preserve">Evidence:  </w:t>
      </w:r>
      <w:r>
        <w:rPr>
          <w:rFonts w:ascii="Consolas" w:hAnsi="Consolas"/>
          <w:sz w:val="16"/>
        </w:rPr>
        <w:t>git log -p -- .env.example →</w:t>
        <w:br/>
        <w:t>-GEMINI_API_KEY="AIzaSyDBdy_…"</w:t>
        <w:br/>
        <w:t>-GROQ_API_KEY="gsk_VYQsfBEN7…"   (4 occurrences across history)</w:t>
      </w:r>
    </w:p>
    <w:tbl>
      <w:tblPr>
        <w:tblStyle w:val="TableGrid"/>
        <w:tblW w:type="auto" w:w="0"/>
        <w:tblLook w:firstColumn="1" w:firstRow="1" w:lastColumn="0" w:lastRow="0" w:noHBand="0" w:noVBand="1" w:val="04A0"/>
      </w:tblPr>
      <w:tblGrid>
        <w:gridCol w:w="1400"/>
        <w:gridCol w:w="4320"/>
      </w:tblGrid>
      <w:tr>
        <w:tc>
          <w:tcPr>
            <w:tcW w:type="dxa" w:w="4320"/>
            <w:shd w:val="clear" w:fill="EEF2F7"/>
          </w:tcPr>
          <w:p>
            <w:pPr>
              <w:spacing w:after="20" w:before="20"/>
            </w:pPr>
            <w:r/>
            <w:r>
              <w:rPr>
                <w:b/>
                <w:sz w:val="18"/>
              </w:rPr>
              <w:t>Remediation</w:t>
            </w:r>
          </w:p>
        </w:tc>
        <w:tc>
          <w:tcPr>
            <w:tcW w:type="dxa" w:w="4320"/>
          </w:tcPr>
          <w:p>
            <w:pPr>
              <w:spacing w:after="20" w:before="20"/>
            </w:pPr>
            <w:r/>
            <w:r>
              <w:rPr>
                <w:b w:val="0"/>
                <w:sz w:val="18"/>
              </w:rPr>
              <w:t>Working tree sanitised to placeholders and .env is gitignored. The account owner REVOKED both keys in the provider consoles on 2026-07-12, so the exposed values are now dead and cannot be used. An optional git-history scrub (commands in §6) remains only to tidy the historical record before any public push.</w:t>
            </w:r>
          </w:p>
        </w:tc>
      </w:tr>
      <w:tr>
        <w:tc>
          <w:tcPr>
            <w:tcW w:type="dxa" w:w="4320"/>
            <w:shd w:val="clear" w:fill="EEF2F7"/>
          </w:tcPr>
          <w:p>
            <w:pPr>
              <w:spacing w:after="20" w:before="20"/>
            </w:pPr>
            <w:r/>
            <w:r>
              <w:rPr>
                <w:b/>
                <w:sz w:val="18"/>
              </w:rPr>
              <w:t>Status</w:t>
            </w:r>
          </w:p>
        </w:tc>
        <w:tc>
          <w:tcPr>
            <w:tcW w:type="dxa" w:w="4320"/>
          </w:tcPr>
          <w:p>
            <w:pPr>
              <w:spacing w:after="20" w:before="20"/>
            </w:pPr>
            <w:r/>
            <w:r>
              <w:rPr>
                <w:b w:val="0"/>
                <w:color w:val="15803D"/>
                <w:sz w:val="18"/>
              </w:rPr>
              <w:t>RESOLVED — keys revoked by the owner (2026-07-12); the leaked values no longer authenticate. Optional history scrub before a public push.</w:t>
            </w:r>
          </w:p>
        </w:tc>
      </w:tr>
    </w:tbl>
    <w:p/>
    <w:p>
      <w:pPr>
        <w:pStyle w:val="Heading2"/>
      </w:pPr>
      <w:r>
        <w:t>F-02 · Upload memory-exhaustion DoS</w:t>
      </w:r>
    </w:p>
    <w:tbl>
      <w:tblPr>
        <w:tblStyle w:val="TableGrid"/>
        <w:tblW w:type="auto" w:w="0"/>
        <w:tblLook w:firstColumn="1" w:firstRow="1" w:lastColumn="0" w:lastRow="0" w:noHBand="0" w:noVBand="1" w:val="04A0"/>
      </w:tblPr>
      <w:tblGrid>
        <w:gridCol w:w="1400"/>
        <w:gridCol w:w="4320"/>
      </w:tblGrid>
      <w:tr>
        <w:tc>
          <w:tcPr>
            <w:tcW w:type="dxa" w:w="4320"/>
            <w:shd w:val="clear" w:fill="EEF2F7"/>
          </w:tcPr>
          <w:p>
            <w:pPr>
              <w:spacing w:after="20" w:before="20"/>
            </w:pPr>
            <w:r/>
            <w:r>
              <w:rPr>
                <w:b/>
                <w:sz w:val="18"/>
              </w:rPr>
              <w:t>Severity</w:t>
            </w:r>
          </w:p>
        </w:tc>
        <w:tc>
          <w:tcPr>
            <w:tcW w:type="dxa" w:w="4320"/>
          </w:tcPr>
          <w:p>
            <w:pPr>
              <w:spacing w:after="20" w:before="20"/>
            </w:pPr>
            <w:r/>
            <w:r>
              <w:rPr>
                <w:b/>
                <w:color w:val="A16207"/>
                <w:sz w:val="18"/>
              </w:rPr>
              <w:t>MEDIUM · CWE-400 Uncontrolled Resource Consumption</w:t>
            </w:r>
          </w:p>
        </w:tc>
      </w:tr>
      <w:tr>
        <w:tc>
          <w:tcPr>
            <w:tcW w:type="dxa" w:w="4320"/>
            <w:shd w:val="clear" w:fill="EEF2F7"/>
          </w:tcPr>
          <w:p>
            <w:pPr>
              <w:spacing w:after="20" w:before="20"/>
            </w:pPr>
            <w:r/>
            <w:r>
              <w:rPr>
                <w:b/>
                <w:sz w:val="18"/>
              </w:rPr>
              <w:t>Description</w:t>
            </w:r>
          </w:p>
        </w:tc>
        <w:tc>
          <w:tcPr>
            <w:tcW w:type="dxa" w:w="4320"/>
          </w:tcPr>
          <w:p>
            <w:pPr>
              <w:spacing w:after="20" w:before="20"/>
            </w:pPr>
            <w:r/>
            <w:r>
              <w:rPr>
                <w:b w:val="0"/>
                <w:sz w:val="18"/>
              </w:rPr>
              <w:t>The /api/upload and /api/fuse endpoints read the entire uploaded body into RAM (await file.read()) and only checked the size afterwards, with a 10 GB cap.</w:t>
            </w:r>
          </w:p>
        </w:tc>
      </w:tr>
      <w:tr>
        <w:tc>
          <w:tcPr>
            <w:tcW w:type="dxa" w:w="4320"/>
            <w:shd w:val="clear" w:fill="EEF2F7"/>
          </w:tcPr>
          <w:p>
            <w:pPr>
              <w:spacing w:after="20" w:before="20"/>
            </w:pPr>
            <w:r/>
            <w:r>
              <w:rPr>
                <w:b/>
                <w:sz w:val="18"/>
              </w:rPr>
              <w:t>Impact</w:t>
            </w:r>
          </w:p>
        </w:tc>
        <w:tc>
          <w:tcPr>
            <w:tcW w:type="dxa" w:w="4320"/>
          </w:tcPr>
          <w:p>
            <w:pPr>
              <w:spacing w:after="20" w:before="20"/>
            </w:pPr>
            <w:r/>
            <w:r>
              <w:rPr>
                <w:b w:val="0"/>
                <w:sz w:val="18"/>
              </w:rPr>
              <w:t>A single large (or many concurrent) uploads exhaust server memory before any limit is enforced — denial of service.</w:t>
            </w:r>
          </w:p>
        </w:tc>
      </w:tr>
    </w:tbl>
    <w:p>
      <w:r>
        <w:rPr>
          <w:b/>
          <w:sz w:val="17"/>
        </w:rPr>
        <w:t xml:space="preserve">Evidence:  </w:t>
      </w:r>
      <w:r>
        <w:rPr>
          <w:rFonts w:ascii="Consolas" w:hAnsi="Consolas"/>
          <w:sz w:val="16"/>
        </w:rPr>
        <w:t>content = await file.read(); if len(content)/MB &gt; MAX_UPLOAD_MB …   # MAX_UPLOAD_MB = 10_240</w:t>
      </w:r>
    </w:p>
    <w:tbl>
      <w:tblPr>
        <w:tblStyle w:val="TableGrid"/>
        <w:tblW w:type="auto" w:w="0"/>
        <w:tblLook w:firstColumn="1" w:firstRow="1" w:lastColumn="0" w:lastRow="0" w:noHBand="0" w:noVBand="1" w:val="04A0"/>
      </w:tblPr>
      <w:tblGrid>
        <w:gridCol w:w="1400"/>
        <w:gridCol w:w="4320"/>
      </w:tblGrid>
      <w:tr>
        <w:tc>
          <w:tcPr>
            <w:tcW w:type="dxa" w:w="4320"/>
            <w:shd w:val="clear" w:fill="EEF2F7"/>
          </w:tcPr>
          <w:p>
            <w:pPr>
              <w:spacing w:after="20" w:before="20"/>
            </w:pPr>
            <w:r/>
            <w:r>
              <w:rPr>
                <w:b/>
                <w:sz w:val="18"/>
              </w:rPr>
              <w:t>Remediation</w:t>
            </w:r>
          </w:p>
        </w:tc>
        <w:tc>
          <w:tcPr>
            <w:tcW w:type="dxa" w:w="4320"/>
          </w:tcPr>
          <w:p>
            <w:pPr>
              <w:spacing w:after="20" w:before="20"/>
            </w:pPr>
            <w:r/>
            <w:r>
              <w:rPr>
                <w:b w:val="0"/>
                <w:sz w:val="18"/>
              </w:rPr>
              <w:t>Rewrote uploads to STREAM to disk in 1 MiB chunks with an early abort once the cap is exceeded — memory use is now bounded by the 1 MiB chunk, not the file size, which is what actually removes the DoS. The size cap is a secondary, disk-bounded limit (default 10 GB, env-overridable via PACKETIQ_MAX_UPLOAD_MB); analysis then reads the capture packet-by-packet via a streaming PcapReader, so even a 10 GB file is processed in bounded memory. Added a 50-file campaign limit; filenames are basename-sanitised.</w:t>
            </w:r>
          </w:p>
        </w:tc>
      </w:tr>
      <w:tr>
        <w:tc>
          <w:tcPr>
            <w:tcW w:type="dxa" w:w="4320"/>
            <w:shd w:val="clear" w:fill="EEF2F7"/>
          </w:tcPr>
          <w:p>
            <w:pPr>
              <w:spacing w:after="20" w:before="20"/>
            </w:pPr>
            <w:r/>
            <w:r>
              <w:rPr>
                <w:b/>
                <w:sz w:val="18"/>
              </w:rPr>
              <w:t>Status</w:t>
            </w:r>
          </w:p>
        </w:tc>
        <w:tc>
          <w:tcPr>
            <w:tcW w:type="dxa" w:w="4320"/>
          </w:tcPr>
          <w:p>
            <w:pPr>
              <w:spacing w:after="20" w:before="20"/>
            </w:pPr>
            <w:r/>
            <w:r>
              <w:rPr>
                <w:b w:val="0"/>
                <w:color w:val="15803D"/>
                <w:sz w:val="18"/>
              </w:rPr>
              <w:t>FIXED — verified by test (3 MiB vs 1 MiB cap → HTTP 413, partial file removed).</w:t>
            </w:r>
          </w:p>
        </w:tc>
      </w:tr>
    </w:tbl>
    <w:p/>
    <w:p>
      <w:pPr>
        <w:pStyle w:val="Heading2"/>
      </w:pPr>
      <w:r>
        <w:t>F-03 · Oversized HTTP buffer / long keep-alive</w:t>
      </w:r>
    </w:p>
    <w:tbl>
      <w:tblPr>
        <w:tblStyle w:val="TableGrid"/>
        <w:tblW w:type="auto" w:w="0"/>
        <w:tblLook w:firstColumn="1" w:firstRow="1" w:lastColumn="0" w:lastRow="0" w:noHBand="0" w:noVBand="1" w:val="04A0"/>
      </w:tblPr>
      <w:tblGrid>
        <w:gridCol w:w="1400"/>
        <w:gridCol w:w="4320"/>
      </w:tblGrid>
      <w:tr>
        <w:tc>
          <w:tcPr>
            <w:tcW w:type="dxa" w:w="4320"/>
            <w:shd w:val="clear" w:fill="EEF2F7"/>
          </w:tcPr>
          <w:p>
            <w:pPr>
              <w:spacing w:after="20" w:before="20"/>
            </w:pPr>
            <w:r/>
            <w:r>
              <w:rPr>
                <w:b/>
                <w:sz w:val="18"/>
              </w:rPr>
              <w:t>Severity</w:t>
            </w:r>
          </w:p>
        </w:tc>
        <w:tc>
          <w:tcPr>
            <w:tcW w:type="dxa" w:w="4320"/>
          </w:tcPr>
          <w:p>
            <w:pPr>
              <w:spacing w:after="20" w:before="20"/>
            </w:pPr>
            <w:r/>
            <w:r>
              <w:rPr>
                <w:b/>
                <w:color w:val="A16207"/>
                <w:sz w:val="18"/>
              </w:rPr>
              <w:t>MEDIUM · CWE-400 / Slowloris</w:t>
            </w:r>
          </w:p>
        </w:tc>
      </w:tr>
      <w:tr>
        <w:tc>
          <w:tcPr>
            <w:tcW w:type="dxa" w:w="4320"/>
            <w:shd w:val="clear" w:fill="EEF2F7"/>
          </w:tcPr>
          <w:p>
            <w:pPr>
              <w:spacing w:after="20" w:before="20"/>
            </w:pPr>
            <w:r/>
            <w:r>
              <w:rPr>
                <w:b/>
                <w:sz w:val="18"/>
              </w:rPr>
              <w:t>Description</w:t>
            </w:r>
          </w:p>
        </w:tc>
        <w:tc>
          <w:tcPr>
            <w:tcW w:type="dxa" w:w="4320"/>
          </w:tcPr>
          <w:p>
            <w:pPr>
              <w:spacing w:after="20" w:before="20"/>
            </w:pPr>
            <w:r/>
            <w:r>
              <w:rPr>
                <w:b w:val="0"/>
                <w:sz w:val="18"/>
              </w:rPr>
              <w:t>uvicorn was started with h11_max_incomplete_event_size = 10 GB and timeout_keep_alive = 600 s.</w:t>
            </w:r>
          </w:p>
        </w:tc>
      </w:tr>
      <w:tr>
        <w:tc>
          <w:tcPr>
            <w:tcW w:type="dxa" w:w="4320"/>
            <w:shd w:val="clear" w:fill="EEF2F7"/>
          </w:tcPr>
          <w:p>
            <w:pPr>
              <w:spacing w:after="20" w:before="20"/>
            </w:pPr>
            <w:r/>
            <w:r>
              <w:rPr>
                <w:b/>
                <w:sz w:val="18"/>
              </w:rPr>
              <w:t>Impact</w:t>
            </w:r>
          </w:p>
        </w:tc>
        <w:tc>
          <w:tcPr>
            <w:tcW w:type="dxa" w:w="4320"/>
          </w:tcPr>
          <w:p>
            <w:pPr>
              <w:spacing w:after="20" w:before="20"/>
            </w:pPr>
            <w:r/>
            <w:r>
              <w:rPr>
                <w:b w:val="0"/>
                <w:sz w:val="18"/>
              </w:rPr>
              <w:t>A client could force the server to buffer up to 10 GB for a single incomplete request, and hold connections open for 10 min — resource-exhaustion / slowloris surface.</w:t>
            </w:r>
          </w:p>
        </w:tc>
      </w:tr>
    </w:tbl>
    <w:p>
      <w:r>
        <w:rPr>
          <w:b/>
          <w:sz w:val="17"/>
        </w:rPr>
        <w:t xml:space="preserve">Evidence:  </w:t>
      </w:r>
      <w:r>
        <w:rPr>
          <w:rFonts w:ascii="Consolas" w:hAnsi="Consolas"/>
          <w:sz w:val="16"/>
        </w:rPr>
        <w:t>uvicorn.run(…, timeout_keep_alive=600, h11_max_incomplete_event_size=10*1024**3)</w:t>
      </w:r>
    </w:p>
    <w:tbl>
      <w:tblPr>
        <w:tblStyle w:val="TableGrid"/>
        <w:tblW w:type="auto" w:w="0"/>
        <w:tblLook w:firstColumn="1" w:firstRow="1" w:lastColumn="0" w:lastRow="0" w:noHBand="0" w:noVBand="1" w:val="04A0"/>
      </w:tblPr>
      <w:tblGrid>
        <w:gridCol w:w="1400"/>
        <w:gridCol w:w="4320"/>
      </w:tblGrid>
      <w:tr>
        <w:tc>
          <w:tcPr>
            <w:tcW w:type="dxa" w:w="4320"/>
            <w:shd w:val="clear" w:fill="EEF2F7"/>
          </w:tcPr>
          <w:p>
            <w:pPr>
              <w:spacing w:after="20" w:before="20"/>
            </w:pPr>
            <w:r/>
            <w:r>
              <w:rPr>
                <w:b/>
                <w:sz w:val="18"/>
              </w:rPr>
              <w:t>Remediation</w:t>
            </w:r>
          </w:p>
        </w:tc>
        <w:tc>
          <w:tcPr>
            <w:tcW w:type="dxa" w:w="4320"/>
          </w:tcPr>
          <w:p>
            <w:pPr>
              <w:spacing w:after="20" w:before="20"/>
            </w:pPr>
            <w:r/>
            <w:r>
              <w:rPr>
                <w:b w:val="0"/>
                <w:sz w:val="18"/>
              </w:rPr>
              <w:t>Reduced the header buffer to 16 MB and keep-alive to 75 s.</w:t>
            </w:r>
          </w:p>
        </w:tc>
      </w:tr>
      <w:tr>
        <w:tc>
          <w:tcPr>
            <w:tcW w:type="dxa" w:w="4320"/>
            <w:shd w:val="clear" w:fill="EEF2F7"/>
          </w:tcPr>
          <w:p>
            <w:pPr>
              <w:spacing w:after="20" w:before="20"/>
            </w:pPr>
            <w:r/>
            <w:r>
              <w:rPr>
                <w:b/>
                <w:sz w:val="18"/>
              </w:rPr>
              <w:t>Status</w:t>
            </w:r>
          </w:p>
        </w:tc>
        <w:tc>
          <w:tcPr>
            <w:tcW w:type="dxa" w:w="4320"/>
          </w:tcPr>
          <w:p>
            <w:pPr>
              <w:spacing w:after="20" w:before="20"/>
            </w:pPr>
            <w:r/>
            <w:r>
              <w:rPr>
                <w:b w:val="0"/>
                <w:color w:val="15803D"/>
                <w:sz w:val="18"/>
              </w:rPr>
              <w:t>FIXED.</w:t>
            </w:r>
          </w:p>
        </w:tc>
      </w:tr>
    </w:tbl>
    <w:p/>
    <w:p>
      <w:pPr>
        <w:pStyle w:val="Heading2"/>
      </w:pPr>
      <w:r>
        <w:t>F-04 · Known-vulnerable dependencies</w:t>
      </w:r>
    </w:p>
    <w:tbl>
      <w:tblPr>
        <w:tblStyle w:val="TableGrid"/>
        <w:tblW w:type="auto" w:w="0"/>
        <w:tblLook w:firstColumn="1" w:firstRow="1" w:lastColumn="0" w:lastRow="0" w:noHBand="0" w:noVBand="1" w:val="04A0"/>
      </w:tblPr>
      <w:tblGrid>
        <w:gridCol w:w="1400"/>
        <w:gridCol w:w="4320"/>
      </w:tblGrid>
      <w:tr>
        <w:tc>
          <w:tcPr>
            <w:tcW w:type="dxa" w:w="4320"/>
            <w:shd w:val="clear" w:fill="EEF2F7"/>
          </w:tcPr>
          <w:p>
            <w:pPr>
              <w:spacing w:after="20" w:before="20"/>
            </w:pPr>
            <w:r/>
            <w:r>
              <w:rPr>
                <w:b/>
                <w:sz w:val="18"/>
              </w:rPr>
              <w:t>Severity</w:t>
            </w:r>
          </w:p>
        </w:tc>
        <w:tc>
          <w:tcPr>
            <w:tcW w:type="dxa" w:w="4320"/>
          </w:tcPr>
          <w:p>
            <w:pPr>
              <w:spacing w:after="20" w:before="20"/>
            </w:pPr>
            <w:r/>
            <w:r>
              <w:rPr>
                <w:b/>
                <w:color w:val="A16207"/>
                <w:sz w:val="18"/>
              </w:rPr>
              <w:t>MEDIUM · CWE-1395 Vulnerable Components</w:t>
            </w:r>
          </w:p>
        </w:tc>
      </w:tr>
      <w:tr>
        <w:tc>
          <w:tcPr>
            <w:tcW w:type="dxa" w:w="4320"/>
            <w:shd w:val="clear" w:fill="EEF2F7"/>
          </w:tcPr>
          <w:p>
            <w:pPr>
              <w:spacing w:after="20" w:before="20"/>
            </w:pPr>
            <w:r/>
            <w:r>
              <w:rPr>
                <w:b/>
                <w:sz w:val="18"/>
              </w:rPr>
              <w:t>Description</w:t>
            </w:r>
          </w:p>
        </w:tc>
        <w:tc>
          <w:tcPr>
            <w:tcW w:type="dxa" w:w="4320"/>
          </w:tcPr>
          <w:p>
            <w:pPr>
              <w:spacing w:after="20" w:before="20"/>
            </w:pPr>
            <w:r/>
            <w:r>
              <w:rPr>
                <w:b w:val="0"/>
                <w:sz w:val="18"/>
              </w:rPr>
              <w:t>pip-audit flags advisories (mostly DoS / parser edge cases) in python-multipart, starlette, requests, urllib3, click and python-dotenv.</w:t>
            </w:r>
          </w:p>
        </w:tc>
      </w:tr>
      <w:tr>
        <w:tc>
          <w:tcPr>
            <w:tcW w:type="dxa" w:w="4320"/>
            <w:shd w:val="clear" w:fill="EEF2F7"/>
          </w:tcPr>
          <w:p>
            <w:pPr>
              <w:spacing w:after="20" w:before="20"/>
            </w:pPr>
            <w:r/>
            <w:r>
              <w:rPr>
                <w:b/>
                <w:sz w:val="18"/>
              </w:rPr>
              <w:t>Impact</w:t>
            </w:r>
          </w:p>
        </w:tc>
        <w:tc>
          <w:tcPr>
            <w:tcW w:type="dxa" w:w="4320"/>
          </w:tcPr>
          <w:p>
            <w:pPr>
              <w:spacing w:after="20" w:before="20"/>
            </w:pPr>
            <w:r/>
            <w:r>
              <w:rPr>
                <w:b w:val="0"/>
                <w:sz w:val="18"/>
              </w:rPr>
              <w:t>DoS / parsing and request-handling weaknesses inherited from third-party libraries. None is remotely exploitable in PacketIQ's default deployment (loopback bind, single user, trusted local capture input).</w:t>
            </w:r>
          </w:p>
        </w:tc>
      </w:tr>
    </w:tbl>
    <w:p>
      <w:r>
        <w:rPr>
          <w:b/>
          <w:sz w:val="17"/>
        </w:rPr>
        <w:t xml:space="preserve">Evidence:  </w:t>
      </w:r>
      <w:r>
        <w:rPr>
          <w:rFonts w:ascii="Consolas" w:hAnsi="Consolas"/>
          <w:sz w:val="16"/>
        </w:rPr>
        <w:t>pip-audit → python-multipart 0.0.20, requests 2.32.5, urllib3 2.6.3, starlette 0.49.3, click 8.1.8, python-dotenv 1.2.1 — each is the newest release that still supports Python 3.9; the advisory fixes require Python ≥ 3.10.</w:t>
      </w:r>
    </w:p>
    <w:tbl>
      <w:tblPr>
        <w:tblStyle w:val="TableGrid"/>
        <w:tblW w:type="auto" w:w="0"/>
        <w:tblLook w:firstColumn="1" w:firstRow="1" w:lastColumn="0" w:lastRow="0" w:noHBand="0" w:noVBand="1" w:val="04A0"/>
      </w:tblPr>
      <w:tblGrid>
        <w:gridCol w:w="1400"/>
        <w:gridCol w:w="4320"/>
      </w:tblGrid>
      <w:tr>
        <w:tc>
          <w:tcPr>
            <w:tcW w:type="dxa" w:w="4320"/>
            <w:shd w:val="clear" w:fill="EEF2F7"/>
          </w:tcPr>
          <w:p>
            <w:pPr>
              <w:spacing w:after="20" w:before="20"/>
            </w:pPr>
            <w:r/>
            <w:r>
              <w:rPr>
                <w:b/>
                <w:sz w:val="18"/>
              </w:rPr>
              <w:t>Remediation</w:t>
            </w:r>
          </w:p>
        </w:tc>
        <w:tc>
          <w:tcPr>
            <w:tcW w:type="dxa" w:w="4320"/>
          </w:tcPr>
          <w:p>
            <w:pPr>
              <w:spacing w:after="20" w:before="20"/>
            </w:pPr>
            <w:r/>
            <w:r>
              <w:rPr>
                <w:b w:val="0"/>
                <w:sz w:val="18"/>
              </w:rPr>
              <w:t>Security-patched minimum versions are pinned in pyproject.toml and requirements.txt (requests ≥2.32.4, urllib3 ≥2.6.0, python-multipart ≥0.0.18, cryptography ≥44.0.1). On Python 3.10+ those floors resolve to the fully-patched releases with no code change. On Python 3.9 — which the project still supports — each package is already installed at the newest 3.9-compatible release; the residual advisories are only fixed in versions that require Python ≥ 3.10 (Python 3.9 reached end-of-life in October 2025).</w:t>
            </w:r>
          </w:p>
        </w:tc>
      </w:tr>
      <w:tr>
        <w:tc>
          <w:tcPr>
            <w:tcW w:type="dxa" w:w="4320"/>
            <w:shd w:val="clear" w:fill="EEF2F7"/>
          </w:tcPr>
          <w:p>
            <w:pPr>
              <w:spacing w:after="20" w:before="20"/>
            </w:pPr>
            <w:r/>
            <w:r>
              <w:rPr>
                <w:b/>
                <w:sz w:val="18"/>
              </w:rPr>
              <w:t>Status</w:t>
            </w:r>
          </w:p>
        </w:tc>
        <w:tc>
          <w:tcPr>
            <w:tcW w:type="dxa" w:w="4320"/>
          </w:tcPr>
          <w:p>
            <w:pPr>
              <w:spacing w:after="20" w:before="20"/>
            </w:pPr>
            <w:r/>
            <w:r>
              <w:rPr>
                <w:b w:val="0"/>
                <w:color w:val="15803D"/>
                <w:sz w:val="18"/>
              </w:rPr>
              <w:t>MITIGATED — fully patched on Python 3.10+; on 3.9 pinned to the newest compatible release. Primary recommendation: run PacketIQ on Python 3.10+ to pick up every fix automatically (see §6).</w:t>
            </w:r>
          </w:p>
        </w:tc>
      </w:tr>
    </w:tbl>
    <w:p/>
    <w:p>
      <w:pPr>
        <w:pStyle w:val="Heading2"/>
      </w:pPr>
      <w:r>
        <w:t>F-05 · Command-injection hardening (privileged setup)</w:t>
      </w:r>
    </w:p>
    <w:tbl>
      <w:tblPr>
        <w:tblStyle w:val="TableGrid"/>
        <w:tblW w:type="auto" w:w="0"/>
        <w:tblLook w:firstColumn="1" w:firstRow="1" w:lastColumn="0" w:lastRow="0" w:noHBand="0" w:noVBand="1" w:val="04A0"/>
      </w:tblPr>
      <w:tblGrid>
        <w:gridCol w:w="1400"/>
        <w:gridCol w:w="4320"/>
      </w:tblGrid>
      <w:tr>
        <w:tc>
          <w:tcPr>
            <w:tcW w:type="dxa" w:w="4320"/>
            <w:shd w:val="clear" w:fill="EEF2F7"/>
          </w:tcPr>
          <w:p>
            <w:pPr>
              <w:spacing w:after="20" w:before="20"/>
            </w:pPr>
            <w:r/>
            <w:r>
              <w:rPr>
                <w:b/>
                <w:sz w:val="18"/>
              </w:rPr>
              <w:t>Severity</w:t>
            </w:r>
          </w:p>
        </w:tc>
        <w:tc>
          <w:tcPr>
            <w:tcW w:type="dxa" w:w="4320"/>
          </w:tcPr>
          <w:p>
            <w:pPr>
              <w:spacing w:after="20" w:before="20"/>
            </w:pPr>
            <w:r/>
            <w:r>
              <w:rPr>
                <w:b/>
                <w:color w:val="15803D"/>
                <w:sz w:val="18"/>
              </w:rPr>
              <w:t>LOW · CWE-78 OS Command Injection</w:t>
            </w:r>
          </w:p>
        </w:tc>
      </w:tr>
      <w:tr>
        <w:tc>
          <w:tcPr>
            <w:tcW w:type="dxa" w:w="4320"/>
            <w:shd w:val="clear" w:fill="EEF2F7"/>
          </w:tcPr>
          <w:p>
            <w:pPr>
              <w:spacing w:after="20" w:before="20"/>
            </w:pPr>
            <w:r/>
            <w:r>
              <w:rPr>
                <w:b/>
                <w:sz w:val="18"/>
              </w:rPr>
              <w:t>Description</w:t>
            </w:r>
          </w:p>
        </w:tc>
        <w:tc>
          <w:tcPr>
            <w:tcW w:type="dxa" w:w="4320"/>
          </w:tcPr>
          <w:p>
            <w:pPr>
              <w:spacing w:after="20" w:before="20"/>
            </w:pPr>
            <w:r/>
            <w:r>
              <w:rPr>
                <w:b w:val="0"/>
                <w:sz w:val="18"/>
              </w:rPr>
              <w:t>capture_setup interpolates $USER/$LOGNAME into a shell script run with administrator privileges via osascript.</w:t>
            </w:r>
          </w:p>
        </w:tc>
      </w:tr>
      <w:tr>
        <w:tc>
          <w:tcPr>
            <w:tcW w:type="dxa" w:w="4320"/>
            <w:shd w:val="clear" w:fill="EEF2F7"/>
          </w:tcPr>
          <w:p>
            <w:pPr>
              <w:spacing w:after="20" w:before="20"/>
            </w:pPr>
            <w:r/>
            <w:r>
              <w:rPr>
                <w:b/>
                <w:sz w:val="18"/>
              </w:rPr>
              <w:t>Impact</w:t>
            </w:r>
          </w:p>
        </w:tc>
        <w:tc>
          <w:tcPr>
            <w:tcW w:type="dxa" w:w="4320"/>
          </w:tcPr>
          <w:p>
            <w:pPr>
              <w:spacing w:after="20" w:before="20"/>
            </w:pPr>
            <w:r/>
            <w:r>
              <w:rPr>
                <w:b w:val="0"/>
                <w:sz w:val="18"/>
              </w:rPr>
              <w:t>A tampered $USER containing a single quote could break out of the quoting and inject commands in a root context (low likelihood — local, user-controlled env — but high impact).</w:t>
            </w:r>
          </w:p>
        </w:tc>
      </w:tr>
    </w:tbl>
    <w:p>
      <w:r>
        <w:rPr>
          <w:b/>
          <w:sz w:val="17"/>
        </w:rPr>
        <w:t xml:space="preserve">Evidence:  </w:t>
      </w:r>
      <w:r>
        <w:rPr>
          <w:rFonts w:ascii="Consolas" w:hAnsi="Consolas"/>
          <w:sz w:val="16"/>
        </w:rPr>
        <w:t>script = f"… dseditgroup -o edit -a '{user}' …"  (run 'with administrator privileges')</w:t>
      </w:r>
    </w:p>
    <w:tbl>
      <w:tblPr>
        <w:tblStyle w:val="TableGrid"/>
        <w:tblW w:type="auto" w:w="0"/>
        <w:tblLook w:firstColumn="1" w:firstRow="1" w:lastColumn="0" w:lastRow="0" w:noHBand="0" w:noVBand="1" w:val="04A0"/>
      </w:tblPr>
      <w:tblGrid>
        <w:gridCol w:w="1400"/>
        <w:gridCol w:w="4320"/>
      </w:tblGrid>
      <w:tr>
        <w:tc>
          <w:tcPr>
            <w:tcW w:type="dxa" w:w="4320"/>
            <w:shd w:val="clear" w:fill="EEF2F7"/>
          </w:tcPr>
          <w:p>
            <w:pPr>
              <w:spacing w:after="20" w:before="20"/>
            </w:pPr>
            <w:r/>
            <w:r>
              <w:rPr>
                <w:b/>
                <w:sz w:val="18"/>
              </w:rPr>
              <w:t>Remediation</w:t>
            </w:r>
          </w:p>
        </w:tc>
        <w:tc>
          <w:tcPr>
            <w:tcW w:type="dxa" w:w="4320"/>
          </w:tcPr>
          <w:p>
            <w:pPr>
              <w:spacing w:after="20" w:before="20"/>
            </w:pPr>
            <w:r/>
            <w:r>
              <w:rPr>
                <w:b w:val="0"/>
                <w:sz w:val="18"/>
              </w:rPr>
              <w:t>Added strict charset validation (^[A-Za-z0-9._-]{1,32}$); the privileged script is not built unless the username is safe.</w:t>
            </w:r>
          </w:p>
        </w:tc>
      </w:tr>
      <w:tr>
        <w:tc>
          <w:tcPr>
            <w:tcW w:type="dxa" w:w="4320"/>
            <w:shd w:val="clear" w:fill="EEF2F7"/>
          </w:tcPr>
          <w:p>
            <w:pPr>
              <w:spacing w:after="20" w:before="20"/>
            </w:pPr>
            <w:r/>
            <w:r>
              <w:rPr>
                <w:b/>
                <w:sz w:val="18"/>
              </w:rPr>
              <w:t>Status</w:t>
            </w:r>
          </w:p>
        </w:tc>
        <w:tc>
          <w:tcPr>
            <w:tcW w:type="dxa" w:w="4320"/>
          </w:tcPr>
          <w:p>
            <w:pPr>
              <w:spacing w:after="20" w:before="20"/>
            </w:pPr>
            <w:r/>
            <w:r>
              <w:rPr>
                <w:b w:val="0"/>
                <w:color w:val="15803D"/>
                <w:sz w:val="18"/>
              </w:rPr>
              <w:t>FIXED — verified by test (evil$(id), a;rm -rf /, x'y all rejected).</w:t>
            </w:r>
          </w:p>
        </w:tc>
      </w:tr>
    </w:tbl>
    <w:p/>
    <w:p>
      <w:pPr>
        <w:pStyle w:val="Heading2"/>
      </w:pPr>
      <w:r>
        <w:t>F-06 · Unauthenticated web API when exposed</w:t>
      </w:r>
    </w:p>
    <w:tbl>
      <w:tblPr>
        <w:tblStyle w:val="TableGrid"/>
        <w:tblW w:type="auto" w:w="0"/>
        <w:tblLook w:firstColumn="1" w:firstRow="1" w:lastColumn="0" w:lastRow="0" w:noHBand="0" w:noVBand="1" w:val="04A0"/>
      </w:tblPr>
      <w:tblGrid>
        <w:gridCol w:w="1400"/>
        <w:gridCol w:w="4320"/>
      </w:tblGrid>
      <w:tr>
        <w:tc>
          <w:tcPr>
            <w:tcW w:type="dxa" w:w="4320"/>
            <w:shd w:val="clear" w:fill="EEF2F7"/>
          </w:tcPr>
          <w:p>
            <w:pPr>
              <w:spacing w:after="20" w:before="20"/>
            </w:pPr>
            <w:r/>
            <w:r>
              <w:rPr>
                <w:b/>
                <w:sz w:val="18"/>
              </w:rPr>
              <w:t>Severity</w:t>
            </w:r>
          </w:p>
        </w:tc>
        <w:tc>
          <w:tcPr>
            <w:tcW w:type="dxa" w:w="4320"/>
          </w:tcPr>
          <w:p>
            <w:pPr>
              <w:spacing w:after="20" w:before="20"/>
            </w:pPr>
            <w:r/>
            <w:r>
              <w:rPr>
                <w:b/>
                <w:color w:val="15803D"/>
                <w:sz w:val="18"/>
              </w:rPr>
              <w:t>LOW · CWE-306 Missing Authentication</w:t>
            </w:r>
          </w:p>
        </w:tc>
      </w:tr>
      <w:tr>
        <w:tc>
          <w:tcPr>
            <w:tcW w:type="dxa" w:w="4320"/>
            <w:shd w:val="clear" w:fill="EEF2F7"/>
          </w:tcPr>
          <w:p>
            <w:pPr>
              <w:spacing w:after="20" w:before="20"/>
            </w:pPr>
            <w:r/>
            <w:r>
              <w:rPr>
                <w:b/>
                <w:sz w:val="18"/>
              </w:rPr>
              <w:t>Description</w:t>
            </w:r>
          </w:p>
        </w:tc>
        <w:tc>
          <w:tcPr>
            <w:tcW w:type="dxa" w:w="4320"/>
          </w:tcPr>
          <w:p>
            <w:pPr>
              <w:spacing w:after="20" w:before="20"/>
            </w:pPr>
            <w:r/>
            <w:r>
              <w:rPr>
                <w:b w:val="0"/>
                <w:sz w:val="18"/>
              </w:rPr>
              <w:t>The web API has no authentication, CORS or rate-limiting. It binds 127.0.0.1 by default (safe), but --host 0.0.0.0 exposes upload/analysis/AI to the network.</w:t>
            </w:r>
          </w:p>
        </w:tc>
      </w:tr>
      <w:tr>
        <w:tc>
          <w:tcPr>
            <w:tcW w:type="dxa" w:w="4320"/>
            <w:shd w:val="clear" w:fill="EEF2F7"/>
          </w:tcPr>
          <w:p>
            <w:pPr>
              <w:spacing w:after="20" w:before="20"/>
            </w:pPr>
            <w:r/>
            <w:r>
              <w:rPr>
                <w:b/>
                <w:sz w:val="18"/>
              </w:rPr>
              <w:t>Impact</w:t>
            </w:r>
          </w:p>
        </w:tc>
        <w:tc>
          <w:tcPr>
            <w:tcW w:type="dxa" w:w="4320"/>
          </w:tcPr>
          <w:p>
            <w:pPr>
              <w:spacing w:after="20" w:before="20"/>
            </w:pPr>
            <w:r/>
            <w:r>
              <w:rPr>
                <w:b w:val="0"/>
                <w:sz w:val="18"/>
              </w:rPr>
              <w:t>On a non-loopback bind, anyone on the network can upload captures, read results, drive paid AI usage, or trigger the privileged capture setup.</w:t>
            </w:r>
          </w:p>
        </w:tc>
      </w:tr>
    </w:tbl>
    <w:p>
      <w:r>
        <w:rPr>
          <w:b/>
          <w:sz w:val="17"/>
        </w:rPr>
        <w:t xml:space="preserve">Evidence:  </w:t>
      </w:r>
      <w:r>
        <w:rPr>
          <w:rFonts w:ascii="Consolas" w:hAnsi="Consolas"/>
          <w:sz w:val="16"/>
        </w:rPr>
        <w:t>FastAPI(...) — no auth dependency; cli webapp --host 0.0.0.0 option.</w:t>
      </w:r>
    </w:p>
    <w:tbl>
      <w:tblPr>
        <w:tblStyle w:val="TableGrid"/>
        <w:tblW w:type="auto" w:w="0"/>
        <w:tblLook w:firstColumn="1" w:firstRow="1" w:lastColumn="0" w:lastRow="0" w:noHBand="0" w:noVBand="1" w:val="04A0"/>
      </w:tblPr>
      <w:tblGrid>
        <w:gridCol w:w="1400"/>
        <w:gridCol w:w="4320"/>
      </w:tblGrid>
      <w:tr>
        <w:tc>
          <w:tcPr>
            <w:tcW w:type="dxa" w:w="4320"/>
            <w:shd w:val="clear" w:fill="EEF2F7"/>
          </w:tcPr>
          <w:p>
            <w:pPr>
              <w:spacing w:after="20" w:before="20"/>
            </w:pPr>
            <w:r/>
            <w:r>
              <w:rPr>
                <w:b/>
                <w:sz w:val="18"/>
              </w:rPr>
              <w:t>Remediation</w:t>
            </w:r>
          </w:p>
        </w:tc>
        <w:tc>
          <w:tcPr>
            <w:tcW w:type="dxa" w:w="4320"/>
          </w:tcPr>
          <w:p>
            <w:pPr>
              <w:spacing w:after="20" w:before="20"/>
            </w:pPr>
            <w:r/>
            <w:r>
              <w:rPr>
                <w:b w:val="0"/>
                <w:sz w:val="18"/>
              </w:rPr>
              <w:t>Added an explicit security warning printed whenever the server binds to a non-loopback address; documented that exposure requires a trusted network or an authenticated reverse proxy. (By design the tool is single-user/local.)</w:t>
            </w:r>
          </w:p>
        </w:tc>
      </w:tr>
      <w:tr>
        <w:tc>
          <w:tcPr>
            <w:tcW w:type="dxa" w:w="4320"/>
            <w:shd w:val="clear" w:fill="EEF2F7"/>
          </w:tcPr>
          <w:p>
            <w:pPr>
              <w:spacing w:after="20" w:before="20"/>
            </w:pPr>
            <w:r/>
            <w:r>
              <w:rPr>
                <w:b/>
                <w:sz w:val="18"/>
              </w:rPr>
              <w:t>Status</w:t>
            </w:r>
          </w:p>
        </w:tc>
        <w:tc>
          <w:tcPr>
            <w:tcW w:type="dxa" w:w="4320"/>
          </w:tcPr>
          <w:p>
            <w:pPr>
              <w:spacing w:after="20" w:before="20"/>
            </w:pPr>
            <w:r/>
            <w:r>
              <w:rPr>
                <w:b w:val="0"/>
                <w:color w:val="15803D"/>
                <w:sz w:val="18"/>
              </w:rPr>
              <w:t>FIXED (warning + guidance) — full auth is a deployment-layer concern, documented as a recommendation.</w:t>
            </w:r>
          </w:p>
        </w:tc>
      </w:tr>
    </w:tbl>
    <w:p/>
    <w:p>
      <w:pPr>
        <w:pStyle w:val="Heading2"/>
      </w:pPr>
      <w:r>
        <w:t>F-09 · Path traversal / arbitrary file write in evidence export</w:t>
      </w:r>
    </w:p>
    <w:tbl>
      <w:tblPr>
        <w:tblStyle w:val="TableGrid"/>
        <w:tblW w:type="auto" w:w="0"/>
        <w:tblLook w:firstColumn="1" w:firstRow="1" w:lastColumn="0" w:lastRow="0" w:noHBand="0" w:noVBand="1" w:val="04A0"/>
      </w:tblPr>
      <w:tblGrid>
        <w:gridCol w:w="1400"/>
        <w:gridCol w:w="4320"/>
      </w:tblGrid>
      <w:tr>
        <w:tc>
          <w:tcPr>
            <w:tcW w:type="dxa" w:w="4320"/>
            <w:shd w:val="clear" w:fill="EEF2F7"/>
          </w:tcPr>
          <w:p>
            <w:pPr>
              <w:spacing w:after="20" w:before="20"/>
            </w:pPr>
            <w:r/>
            <w:r>
              <w:rPr>
                <w:b/>
                <w:sz w:val="18"/>
              </w:rPr>
              <w:t>Severity</w:t>
            </w:r>
          </w:p>
        </w:tc>
        <w:tc>
          <w:tcPr>
            <w:tcW w:type="dxa" w:w="4320"/>
          </w:tcPr>
          <w:p>
            <w:pPr>
              <w:spacing w:after="20" w:before="20"/>
            </w:pPr>
            <w:r/>
            <w:r>
              <w:rPr>
                <w:b/>
                <w:color w:val="A16207"/>
                <w:sz w:val="18"/>
              </w:rPr>
              <w:t>MEDIUM · CWE-22 Path Traversal</w:t>
            </w:r>
          </w:p>
        </w:tc>
      </w:tr>
      <w:tr>
        <w:tc>
          <w:tcPr>
            <w:tcW w:type="dxa" w:w="4320"/>
            <w:shd w:val="clear" w:fill="EEF2F7"/>
          </w:tcPr>
          <w:p>
            <w:pPr>
              <w:spacing w:after="20" w:before="20"/>
            </w:pPr>
            <w:r/>
            <w:r>
              <w:rPr>
                <w:b/>
                <w:sz w:val="18"/>
              </w:rPr>
              <w:t>Description</w:t>
            </w:r>
          </w:p>
        </w:tc>
        <w:tc>
          <w:tcPr>
            <w:tcW w:type="dxa" w:w="4320"/>
          </w:tcPr>
          <w:p>
            <w:pPr>
              <w:spacing w:after="20" w:before="20"/>
            </w:pPr>
            <w:r/>
            <w:r>
              <w:rPr>
                <w:b w:val="0"/>
                <w:sz w:val="18"/>
              </w:rPr>
              <w:t>The /api/evidence endpoint built the output filename by interpolating the user-controlled ip query parameter directly into a filesystem path.</w:t>
            </w:r>
          </w:p>
        </w:tc>
      </w:tr>
      <w:tr>
        <w:tc>
          <w:tcPr>
            <w:tcW w:type="dxa" w:w="4320"/>
            <w:shd w:val="clear" w:fill="EEF2F7"/>
          </w:tcPr>
          <w:p>
            <w:pPr>
              <w:spacing w:after="20" w:before="20"/>
            </w:pPr>
            <w:r/>
            <w:r>
              <w:rPr>
                <w:b/>
                <w:sz w:val="18"/>
              </w:rPr>
              <w:t>Impact</w:t>
            </w:r>
          </w:p>
        </w:tc>
        <w:tc>
          <w:tcPr>
            <w:tcW w:type="dxa" w:w="4320"/>
          </w:tcPr>
          <w:p>
            <w:pPr>
              <w:spacing w:after="20" w:before="20"/>
            </w:pPr>
            <w:r/>
            <w:r>
              <w:rPr>
                <w:b w:val="0"/>
                <w:sz w:val="18"/>
              </w:rPr>
              <w:t>A request with ip=../../../../tmp/PWNED wrote the sliced capture OUTSIDE the upload directory — arbitrary .pcap file write (verified: the crafted path escaped UPLOAD_DIR).</w:t>
            </w:r>
          </w:p>
        </w:tc>
      </w:tr>
    </w:tbl>
    <w:p>
      <w:r>
        <w:rPr>
          <w:b/>
          <w:sz w:val="17"/>
        </w:rPr>
        <w:t xml:space="preserve">Evidence:  </w:t>
      </w:r>
      <w:r>
        <w:rPr>
          <w:rFonts w:ascii="Consolas" w:hAnsi="Consolas"/>
          <w:sz w:val="16"/>
        </w:rPr>
        <w:t>out = UPLOAD_DIR / f"evidence_{job_id[:8]}_{ip}_{port}.pcap"   # ip from the URL</w:t>
      </w:r>
    </w:p>
    <w:tbl>
      <w:tblPr>
        <w:tblStyle w:val="TableGrid"/>
        <w:tblW w:type="auto" w:w="0"/>
        <w:tblLook w:firstColumn="1" w:firstRow="1" w:lastColumn="0" w:lastRow="0" w:noHBand="0" w:noVBand="1" w:val="04A0"/>
      </w:tblPr>
      <w:tblGrid>
        <w:gridCol w:w="1400"/>
        <w:gridCol w:w="4320"/>
      </w:tblGrid>
      <w:tr>
        <w:tc>
          <w:tcPr>
            <w:tcW w:type="dxa" w:w="4320"/>
            <w:shd w:val="clear" w:fill="EEF2F7"/>
          </w:tcPr>
          <w:p>
            <w:pPr>
              <w:spacing w:after="20" w:before="20"/>
            </w:pPr>
            <w:r/>
            <w:r>
              <w:rPr>
                <w:b/>
                <w:sz w:val="18"/>
              </w:rPr>
              <w:t>Remediation</w:t>
            </w:r>
          </w:p>
        </w:tc>
        <w:tc>
          <w:tcPr>
            <w:tcW w:type="dxa" w:w="4320"/>
          </w:tcPr>
          <w:p>
            <w:pPr>
              <w:spacing w:after="20" w:before="20"/>
            </w:pPr>
            <w:r/>
            <w:r>
              <w:rPr>
                <w:b w:val="0"/>
                <w:sz w:val="18"/>
              </w:rPr>
              <w:t>The `ip` is now validated as a real IP (ipaddress.ip_address) and the output filename is built from server-controlled values + a random token only — the raw parameter never reaches the path. (The filter itself uses set membership, not a BPF string, so there was no BPF injection.)</w:t>
            </w:r>
          </w:p>
        </w:tc>
      </w:tr>
      <w:tr>
        <w:tc>
          <w:tcPr>
            <w:tcW w:type="dxa" w:w="4320"/>
            <w:shd w:val="clear" w:fill="EEF2F7"/>
          </w:tcPr>
          <w:p>
            <w:pPr>
              <w:spacing w:after="20" w:before="20"/>
            </w:pPr>
            <w:r/>
            <w:r>
              <w:rPr>
                <w:b/>
                <w:sz w:val="18"/>
              </w:rPr>
              <w:t>Status</w:t>
            </w:r>
          </w:p>
        </w:tc>
        <w:tc>
          <w:tcPr>
            <w:tcW w:type="dxa" w:w="4320"/>
          </w:tcPr>
          <w:p>
            <w:pPr>
              <w:spacing w:after="20" w:before="20"/>
            </w:pPr>
            <w:r/>
            <w:r>
              <w:rPr>
                <w:b w:val="0"/>
                <w:color w:val="15803D"/>
                <w:sz w:val="18"/>
              </w:rPr>
              <w:t>FIXED — verified live (ip=../../../../tmp/PWNED → HTTP 400, no file created) and by test.</w:t>
            </w:r>
          </w:p>
        </w:tc>
      </w:tr>
    </w:tbl>
    <w:p/>
    <w:p>
      <w:pPr>
        <w:pStyle w:val="Heading2"/>
      </w:pPr>
      <w:r>
        <w:t>F-10 · No Host-header validation (DNS rebinding)</w:t>
      </w:r>
    </w:p>
    <w:tbl>
      <w:tblPr>
        <w:tblStyle w:val="TableGrid"/>
        <w:tblW w:type="auto" w:w="0"/>
        <w:tblLook w:firstColumn="1" w:firstRow="1" w:lastColumn="0" w:lastRow="0" w:noHBand="0" w:noVBand="1" w:val="04A0"/>
      </w:tblPr>
      <w:tblGrid>
        <w:gridCol w:w="1400"/>
        <w:gridCol w:w="4320"/>
      </w:tblGrid>
      <w:tr>
        <w:tc>
          <w:tcPr>
            <w:tcW w:type="dxa" w:w="4320"/>
            <w:shd w:val="clear" w:fill="EEF2F7"/>
          </w:tcPr>
          <w:p>
            <w:pPr>
              <w:spacing w:after="20" w:before="20"/>
            </w:pPr>
            <w:r/>
            <w:r>
              <w:rPr>
                <w:b/>
                <w:sz w:val="18"/>
              </w:rPr>
              <w:t>Severity</w:t>
            </w:r>
          </w:p>
        </w:tc>
        <w:tc>
          <w:tcPr>
            <w:tcW w:type="dxa" w:w="4320"/>
          </w:tcPr>
          <w:p>
            <w:pPr>
              <w:spacing w:after="20" w:before="20"/>
            </w:pPr>
            <w:r/>
            <w:r>
              <w:rPr>
                <w:b/>
                <w:color w:val="A16207"/>
                <w:sz w:val="18"/>
              </w:rPr>
              <w:t>MEDIUM · CWE-350 Reliance on Untrusted Inputs</w:t>
            </w:r>
          </w:p>
        </w:tc>
      </w:tr>
      <w:tr>
        <w:tc>
          <w:tcPr>
            <w:tcW w:type="dxa" w:w="4320"/>
            <w:shd w:val="clear" w:fill="EEF2F7"/>
          </w:tcPr>
          <w:p>
            <w:pPr>
              <w:spacing w:after="20" w:before="20"/>
            </w:pPr>
            <w:r/>
            <w:r>
              <w:rPr>
                <w:b/>
                <w:sz w:val="18"/>
              </w:rPr>
              <w:t>Description</w:t>
            </w:r>
          </w:p>
        </w:tc>
        <w:tc>
          <w:tcPr>
            <w:tcW w:type="dxa" w:w="4320"/>
          </w:tcPr>
          <w:p>
            <w:pPr>
              <w:spacing w:after="20" w:before="20"/>
            </w:pPr>
            <w:r/>
            <w:r>
              <w:rPr>
                <w:b w:val="0"/>
                <w:sz w:val="18"/>
              </w:rPr>
              <w:t>The local web server did not validate the HTTP Host header, so a malicious website whose domain resolves to 127.0.0.1 (DNS rebinding) could drive the API from the victim's browser.</w:t>
            </w:r>
          </w:p>
        </w:tc>
      </w:tr>
      <w:tr>
        <w:tc>
          <w:tcPr>
            <w:tcW w:type="dxa" w:w="4320"/>
            <w:shd w:val="clear" w:fill="EEF2F7"/>
          </w:tcPr>
          <w:p>
            <w:pPr>
              <w:spacing w:after="20" w:before="20"/>
            </w:pPr>
            <w:r/>
            <w:r>
              <w:rPr>
                <w:b/>
                <w:sz w:val="18"/>
              </w:rPr>
              <w:t>Impact</w:t>
            </w:r>
          </w:p>
        </w:tc>
        <w:tc>
          <w:tcPr>
            <w:tcW w:type="dxa" w:w="4320"/>
          </w:tcPr>
          <w:p>
            <w:pPr>
              <w:spacing w:after="20" w:before="20"/>
            </w:pPr>
            <w:r/>
            <w:r>
              <w:rPr>
                <w:b w:val="0"/>
                <w:sz w:val="18"/>
              </w:rPr>
              <w:t>A visited web page could read analysis results or invoke actions on the locally-running PacketIQ.</w:t>
            </w:r>
          </w:p>
        </w:tc>
      </w:tr>
    </w:tbl>
    <w:p>
      <w:r>
        <w:rPr>
          <w:b/>
          <w:sz w:val="17"/>
        </w:rPr>
        <w:t xml:space="preserve">Evidence:  </w:t>
      </w:r>
      <w:r>
        <w:rPr>
          <w:rFonts w:ascii="Consolas" w:hAnsi="Consolas"/>
          <w:sz w:val="16"/>
        </w:rPr>
        <w:t>No TrustedHost / Host check on any route.</w:t>
      </w:r>
    </w:p>
    <w:tbl>
      <w:tblPr>
        <w:tblStyle w:val="TableGrid"/>
        <w:tblW w:type="auto" w:w="0"/>
        <w:tblLook w:firstColumn="1" w:firstRow="1" w:lastColumn="0" w:lastRow="0" w:noHBand="0" w:noVBand="1" w:val="04A0"/>
      </w:tblPr>
      <w:tblGrid>
        <w:gridCol w:w="1400"/>
        <w:gridCol w:w="4320"/>
      </w:tblGrid>
      <w:tr>
        <w:tc>
          <w:tcPr>
            <w:tcW w:type="dxa" w:w="4320"/>
            <w:shd w:val="clear" w:fill="EEF2F7"/>
          </w:tcPr>
          <w:p>
            <w:pPr>
              <w:spacing w:after="20" w:before="20"/>
            </w:pPr>
            <w:r/>
            <w:r>
              <w:rPr>
                <w:b/>
                <w:sz w:val="18"/>
              </w:rPr>
              <w:t>Remediation</w:t>
            </w:r>
          </w:p>
        </w:tc>
        <w:tc>
          <w:tcPr>
            <w:tcW w:type="dxa" w:w="4320"/>
          </w:tcPr>
          <w:p>
            <w:pPr>
              <w:spacing w:after="20" w:before="20"/>
            </w:pPr>
            <w:r/>
            <w:r>
              <w:rPr>
                <w:b w:val="0"/>
                <w:sz w:val="18"/>
              </w:rPr>
              <w:t>Added a security middleware that validates the Host header against a loopback allow-list (widened by the launcher only when the operator deliberately binds a non-loopback address).</w:t>
            </w:r>
          </w:p>
        </w:tc>
      </w:tr>
      <w:tr>
        <w:tc>
          <w:tcPr>
            <w:tcW w:type="dxa" w:w="4320"/>
            <w:shd w:val="clear" w:fill="EEF2F7"/>
          </w:tcPr>
          <w:p>
            <w:pPr>
              <w:spacing w:after="20" w:before="20"/>
            </w:pPr>
            <w:r/>
            <w:r>
              <w:rPr>
                <w:b/>
                <w:sz w:val="18"/>
              </w:rPr>
              <w:t>Status</w:t>
            </w:r>
          </w:p>
        </w:tc>
        <w:tc>
          <w:tcPr>
            <w:tcW w:type="dxa" w:w="4320"/>
          </w:tcPr>
          <w:p>
            <w:pPr>
              <w:spacing w:after="20" w:before="20"/>
            </w:pPr>
            <w:r/>
            <w:r>
              <w:rPr>
                <w:b w:val="0"/>
                <w:color w:val="15803D"/>
                <w:sz w:val="18"/>
              </w:rPr>
              <w:t>FIXED — verified live (Host: evil.com → HTTP 400) and by test.</w:t>
            </w:r>
          </w:p>
        </w:tc>
      </w:tr>
    </w:tbl>
    <w:p/>
    <w:p>
      <w:pPr>
        <w:pStyle w:val="Heading2"/>
      </w:pPr>
      <w:r>
        <w:t>F-11 · Cross-site request forgery on state-changing endpoints</w:t>
      </w:r>
    </w:p>
    <w:tbl>
      <w:tblPr>
        <w:tblStyle w:val="TableGrid"/>
        <w:tblW w:type="auto" w:w="0"/>
        <w:tblLook w:firstColumn="1" w:firstRow="1" w:lastColumn="0" w:lastRow="0" w:noHBand="0" w:noVBand="1" w:val="04A0"/>
      </w:tblPr>
      <w:tblGrid>
        <w:gridCol w:w="1400"/>
        <w:gridCol w:w="4320"/>
      </w:tblGrid>
      <w:tr>
        <w:tc>
          <w:tcPr>
            <w:tcW w:type="dxa" w:w="4320"/>
            <w:shd w:val="clear" w:fill="EEF2F7"/>
          </w:tcPr>
          <w:p>
            <w:pPr>
              <w:spacing w:after="20" w:before="20"/>
            </w:pPr>
            <w:r/>
            <w:r>
              <w:rPr>
                <w:b/>
                <w:sz w:val="18"/>
              </w:rPr>
              <w:t>Severity</w:t>
            </w:r>
          </w:p>
        </w:tc>
        <w:tc>
          <w:tcPr>
            <w:tcW w:type="dxa" w:w="4320"/>
          </w:tcPr>
          <w:p>
            <w:pPr>
              <w:spacing w:after="20" w:before="20"/>
            </w:pPr>
            <w:r/>
            <w:r>
              <w:rPr>
                <w:b/>
                <w:color w:val="A16207"/>
                <w:sz w:val="18"/>
              </w:rPr>
              <w:t>MEDIUM · CWE-352 CSRF</w:t>
            </w:r>
          </w:p>
        </w:tc>
      </w:tr>
      <w:tr>
        <w:tc>
          <w:tcPr>
            <w:tcW w:type="dxa" w:w="4320"/>
            <w:shd w:val="clear" w:fill="EEF2F7"/>
          </w:tcPr>
          <w:p>
            <w:pPr>
              <w:spacing w:after="20" w:before="20"/>
            </w:pPr>
            <w:r/>
            <w:r>
              <w:rPr>
                <w:b/>
                <w:sz w:val="18"/>
              </w:rPr>
              <w:t>Description</w:t>
            </w:r>
          </w:p>
        </w:tc>
        <w:tc>
          <w:tcPr>
            <w:tcW w:type="dxa" w:w="4320"/>
          </w:tcPr>
          <w:p>
            <w:pPr>
              <w:spacing w:after="20" w:before="20"/>
            </w:pPr>
            <w:r/>
            <w:r>
              <w:rPr>
                <w:b w:val="0"/>
                <w:sz w:val="18"/>
              </w:rPr>
              <w:t>State-changing POSTs (including /api/live/setup-capture, which triggers a privileged admin-password prompt) had no origin check, so a malicious page could submit them cross-origin from the victim's browser.</w:t>
            </w:r>
          </w:p>
        </w:tc>
      </w:tr>
      <w:tr>
        <w:tc>
          <w:tcPr>
            <w:tcW w:type="dxa" w:w="4320"/>
            <w:shd w:val="clear" w:fill="EEF2F7"/>
          </w:tcPr>
          <w:p>
            <w:pPr>
              <w:spacing w:after="20" w:before="20"/>
            </w:pPr>
            <w:r/>
            <w:r>
              <w:rPr>
                <w:b/>
                <w:sz w:val="18"/>
              </w:rPr>
              <w:t>Impact</w:t>
            </w:r>
          </w:p>
        </w:tc>
        <w:tc>
          <w:tcPr>
            <w:tcW w:type="dxa" w:w="4320"/>
          </w:tcPr>
          <w:p>
            <w:pPr>
              <w:spacing w:after="20" w:before="20"/>
            </w:pPr>
            <w:r/>
            <w:r>
              <w:rPr>
                <w:b w:val="0"/>
                <w:sz w:val="18"/>
              </w:rPr>
              <w:t>A visited web page could pop the OS admin-password prompt or start analysis / drive paid AI usage without consent.</w:t>
            </w:r>
          </w:p>
        </w:tc>
      </w:tr>
    </w:tbl>
    <w:p>
      <w:r>
        <w:rPr>
          <w:b/>
          <w:sz w:val="17"/>
        </w:rPr>
        <w:t xml:space="preserve">Evidence:  </w:t>
      </w:r>
      <w:r>
        <w:rPr>
          <w:rFonts w:ascii="Consolas" w:hAnsi="Consolas"/>
          <w:sz w:val="16"/>
        </w:rPr>
        <w:t>POST /api/live/setup-capture with no CSRF/Origin protection.</w:t>
      </w:r>
    </w:p>
    <w:tbl>
      <w:tblPr>
        <w:tblStyle w:val="TableGrid"/>
        <w:tblW w:type="auto" w:w="0"/>
        <w:tblLook w:firstColumn="1" w:firstRow="1" w:lastColumn="0" w:lastRow="0" w:noHBand="0" w:noVBand="1" w:val="04A0"/>
      </w:tblPr>
      <w:tblGrid>
        <w:gridCol w:w="1400"/>
        <w:gridCol w:w="4320"/>
      </w:tblGrid>
      <w:tr>
        <w:tc>
          <w:tcPr>
            <w:tcW w:type="dxa" w:w="4320"/>
            <w:shd w:val="clear" w:fill="EEF2F7"/>
          </w:tcPr>
          <w:p>
            <w:pPr>
              <w:spacing w:after="20" w:before="20"/>
            </w:pPr>
            <w:r/>
            <w:r>
              <w:rPr>
                <w:b/>
                <w:sz w:val="18"/>
              </w:rPr>
              <w:t>Remediation</w:t>
            </w:r>
          </w:p>
        </w:tc>
        <w:tc>
          <w:tcPr>
            <w:tcW w:type="dxa" w:w="4320"/>
          </w:tcPr>
          <w:p>
            <w:pPr>
              <w:spacing w:after="20" w:before="20"/>
            </w:pPr>
            <w:r/>
            <w:r>
              <w:rPr>
                <w:b w:val="0"/>
                <w:sz w:val="18"/>
              </w:rPr>
              <w:t>The same middleware rejects state-changing requests whose Origin is cross-site (HTTP 403); read-only GETs are unaffected; same-origin SPA calls continue to work.</w:t>
            </w:r>
          </w:p>
        </w:tc>
      </w:tr>
      <w:tr>
        <w:tc>
          <w:tcPr>
            <w:tcW w:type="dxa" w:w="4320"/>
            <w:shd w:val="clear" w:fill="EEF2F7"/>
          </w:tcPr>
          <w:p>
            <w:pPr>
              <w:spacing w:after="20" w:before="20"/>
            </w:pPr>
            <w:r/>
            <w:r>
              <w:rPr>
                <w:b/>
                <w:sz w:val="18"/>
              </w:rPr>
              <w:t>Status</w:t>
            </w:r>
          </w:p>
        </w:tc>
        <w:tc>
          <w:tcPr>
            <w:tcW w:type="dxa" w:w="4320"/>
          </w:tcPr>
          <w:p>
            <w:pPr>
              <w:spacing w:after="20" w:before="20"/>
            </w:pPr>
            <w:r/>
            <w:r>
              <w:rPr>
                <w:b w:val="0"/>
                <w:color w:val="15803D"/>
                <w:sz w:val="18"/>
              </w:rPr>
              <w:t>FIXED — verified live (cross-origin POST setup-capture → HTTP 403) and by test.</w:t>
            </w:r>
          </w:p>
        </w:tc>
      </w:tr>
    </w:tbl>
    <w:p/>
    <w:p>
      <w:pPr>
        <w:pStyle w:val="Heading2"/>
      </w:pPr>
      <w:r>
        <w:t>F-12 · World-readable upload / history directories</w:t>
      </w:r>
    </w:p>
    <w:tbl>
      <w:tblPr>
        <w:tblStyle w:val="TableGrid"/>
        <w:tblW w:type="auto" w:w="0"/>
        <w:tblLook w:firstColumn="1" w:firstRow="1" w:lastColumn="0" w:lastRow="0" w:noHBand="0" w:noVBand="1" w:val="04A0"/>
      </w:tblPr>
      <w:tblGrid>
        <w:gridCol w:w="1400"/>
        <w:gridCol w:w="4320"/>
      </w:tblGrid>
      <w:tr>
        <w:tc>
          <w:tcPr>
            <w:tcW w:type="dxa" w:w="4320"/>
            <w:shd w:val="clear" w:fill="EEF2F7"/>
          </w:tcPr>
          <w:p>
            <w:pPr>
              <w:spacing w:after="20" w:before="20"/>
            </w:pPr>
            <w:r/>
            <w:r>
              <w:rPr>
                <w:b/>
                <w:sz w:val="18"/>
              </w:rPr>
              <w:t>Severity</w:t>
            </w:r>
          </w:p>
        </w:tc>
        <w:tc>
          <w:tcPr>
            <w:tcW w:type="dxa" w:w="4320"/>
          </w:tcPr>
          <w:p>
            <w:pPr>
              <w:spacing w:after="20" w:before="20"/>
            </w:pPr>
            <w:r/>
            <w:r>
              <w:rPr>
                <w:b/>
                <w:color w:val="15803D"/>
                <w:sz w:val="18"/>
              </w:rPr>
              <w:t>LOW · CWE-732 / CWE-377 Insecure Permissions</w:t>
            </w:r>
          </w:p>
        </w:tc>
      </w:tr>
      <w:tr>
        <w:tc>
          <w:tcPr>
            <w:tcW w:type="dxa" w:w="4320"/>
            <w:shd w:val="clear" w:fill="EEF2F7"/>
          </w:tcPr>
          <w:p>
            <w:pPr>
              <w:spacing w:after="20" w:before="20"/>
            </w:pPr>
            <w:r/>
            <w:r>
              <w:rPr>
                <w:b/>
                <w:sz w:val="18"/>
              </w:rPr>
              <w:t>Description</w:t>
            </w:r>
          </w:p>
        </w:tc>
        <w:tc>
          <w:tcPr>
            <w:tcW w:type="dxa" w:w="4320"/>
          </w:tcPr>
          <w:p>
            <w:pPr>
              <w:spacing w:after="20" w:before="20"/>
            </w:pPr>
            <w:r/>
            <w:r>
              <w:rPr>
                <w:b w:val="0"/>
                <w:sz w:val="18"/>
              </w:rPr>
              <w:t>Uploaded captures and the SQLite history DB were stored in directories created with default (world-readable) permissions in a shared temp location.</w:t>
            </w:r>
          </w:p>
        </w:tc>
      </w:tr>
      <w:tr>
        <w:tc>
          <w:tcPr>
            <w:tcW w:type="dxa" w:w="4320"/>
            <w:shd w:val="clear" w:fill="EEF2F7"/>
          </w:tcPr>
          <w:p>
            <w:pPr>
              <w:spacing w:after="20" w:before="20"/>
            </w:pPr>
            <w:r/>
            <w:r>
              <w:rPr>
                <w:b/>
                <w:sz w:val="18"/>
              </w:rPr>
              <w:t>Impact</w:t>
            </w:r>
          </w:p>
        </w:tc>
        <w:tc>
          <w:tcPr>
            <w:tcW w:type="dxa" w:w="4320"/>
          </w:tcPr>
          <w:p>
            <w:pPr>
              <w:spacing w:after="20" w:before="20"/>
            </w:pPr>
            <w:r/>
            <w:r>
              <w:rPr>
                <w:b w:val="0"/>
                <w:sz w:val="18"/>
              </w:rPr>
              <w:t>On a multi-user host, other local users could read potentially sensitive captured traffic and analysis history.</w:t>
            </w:r>
          </w:p>
        </w:tc>
      </w:tr>
    </w:tbl>
    <w:p>
      <w:r>
        <w:rPr>
          <w:b/>
          <w:sz w:val="17"/>
        </w:rPr>
        <w:t xml:space="preserve">Evidence:  </w:t>
      </w:r>
      <w:r>
        <w:rPr>
          <w:rFonts w:ascii="Consolas" w:hAnsi="Consolas"/>
          <w:sz w:val="16"/>
        </w:rPr>
        <w:t>UPLOAD_DIR.mkdir(exist_ok=True)  # default 0755; captures written 0644</w:t>
      </w:r>
    </w:p>
    <w:tbl>
      <w:tblPr>
        <w:tblStyle w:val="TableGrid"/>
        <w:tblW w:type="auto" w:w="0"/>
        <w:tblLook w:firstColumn="1" w:firstRow="1" w:lastColumn="0" w:lastRow="0" w:noHBand="0" w:noVBand="1" w:val="04A0"/>
      </w:tblPr>
      <w:tblGrid>
        <w:gridCol w:w="1400"/>
        <w:gridCol w:w="4320"/>
      </w:tblGrid>
      <w:tr>
        <w:tc>
          <w:tcPr>
            <w:tcW w:type="dxa" w:w="4320"/>
            <w:shd w:val="clear" w:fill="EEF2F7"/>
          </w:tcPr>
          <w:p>
            <w:pPr>
              <w:spacing w:after="20" w:before="20"/>
            </w:pPr>
            <w:r/>
            <w:r>
              <w:rPr>
                <w:b/>
                <w:sz w:val="18"/>
              </w:rPr>
              <w:t>Remediation</w:t>
            </w:r>
          </w:p>
        </w:tc>
        <w:tc>
          <w:tcPr>
            <w:tcW w:type="dxa" w:w="4320"/>
          </w:tcPr>
          <w:p>
            <w:pPr>
              <w:spacing w:after="20" w:before="20"/>
            </w:pPr>
            <w:r/>
            <w:r>
              <w:rPr>
                <w:b w:val="0"/>
                <w:sz w:val="18"/>
              </w:rPr>
              <w:t>The upload and history directories are now chmod 0700 (owner-only).</w:t>
            </w:r>
          </w:p>
        </w:tc>
      </w:tr>
      <w:tr>
        <w:tc>
          <w:tcPr>
            <w:tcW w:type="dxa" w:w="4320"/>
            <w:shd w:val="clear" w:fill="EEF2F7"/>
          </w:tcPr>
          <w:p>
            <w:pPr>
              <w:spacing w:after="20" w:before="20"/>
            </w:pPr>
            <w:r/>
            <w:r>
              <w:rPr>
                <w:b/>
                <w:sz w:val="18"/>
              </w:rPr>
              <w:t>Status</w:t>
            </w:r>
          </w:p>
        </w:tc>
        <w:tc>
          <w:tcPr>
            <w:tcW w:type="dxa" w:w="4320"/>
          </w:tcPr>
          <w:p>
            <w:pPr>
              <w:spacing w:after="20" w:before="20"/>
            </w:pPr>
            <w:r/>
            <w:r>
              <w:rPr>
                <w:b w:val="0"/>
                <w:color w:val="15803D"/>
                <w:sz w:val="18"/>
              </w:rPr>
              <w:t>FIXED.</w:t>
            </w:r>
          </w:p>
        </w:tc>
      </w:tr>
    </w:tbl>
    <w:p/>
    <w:p>
      <w:pPr>
        <w:pStyle w:val="Heading2"/>
      </w:pPr>
      <w:r>
        <w:t>F-07 · MD5 used in JA3 fingerprinting</w:t>
      </w:r>
    </w:p>
    <w:tbl>
      <w:tblPr>
        <w:tblStyle w:val="TableGrid"/>
        <w:tblW w:type="auto" w:w="0"/>
        <w:tblLook w:firstColumn="1" w:firstRow="1" w:lastColumn="0" w:lastRow="0" w:noHBand="0" w:noVBand="1" w:val="04A0"/>
      </w:tblPr>
      <w:tblGrid>
        <w:gridCol w:w="1400"/>
        <w:gridCol w:w="4320"/>
      </w:tblGrid>
      <w:tr>
        <w:tc>
          <w:tcPr>
            <w:tcW w:type="dxa" w:w="4320"/>
            <w:shd w:val="clear" w:fill="EEF2F7"/>
          </w:tcPr>
          <w:p>
            <w:pPr>
              <w:spacing w:after="20" w:before="20"/>
            </w:pPr>
            <w:r/>
            <w:r>
              <w:rPr>
                <w:b/>
                <w:sz w:val="18"/>
              </w:rPr>
              <w:t>Severity</w:t>
            </w:r>
          </w:p>
        </w:tc>
        <w:tc>
          <w:tcPr>
            <w:tcW w:type="dxa" w:w="4320"/>
          </w:tcPr>
          <w:p>
            <w:pPr>
              <w:spacing w:after="20" w:before="20"/>
            </w:pPr>
            <w:r/>
            <w:r>
              <w:rPr>
                <w:b/>
                <w:color w:val="475569"/>
                <w:sz w:val="18"/>
              </w:rPr>
              <w:t>INFO · CWE-327 (false positive)</w:t>
            </w:r>
          </w:p>
        </w:tc>
      </w:tr>
      <w:tr>
        <w:tc>
          <w:tcPr>
            <w:tcW w:type="dxa" w:w="4320"/>
            <w:shd w:val="clear" w:fill="EEF2F7"/>
          </w:tcPr>
          <w:p>
            <w:pPr>
              <w:spacing w:after="20" w:before="20"/>
            </w:pPr>
            <w:r/>
            <w:r>
              <w:rPr>
                <w:b/>
                <w:sz w:val="18"/>
              </w:rPr>
              <w:t>Description</w:t>
            </w:r>
          </w:p>
        </w:tc>
        <w:tc>
          <w:tcPr>
            <w:tcW w:type="dxa" w:w="4320"/>
          </w:tcPr>
          <w:p>
            <w:pPr>
              <w:spacing w:after="20" w:before="20"/>
            </w:pPr>
            <w:r/>
            <w:r>
              <w:rPr>
                <w:b w:val="0"/>
                <w:sz w:val="18"/>
              </w:rPr>
              <w:t>bandit flagged hashlib.md5 in the JA3 fingerprinter as a weak hash.</w:t>
            </w:r>
          </w:p>
        </w:tc>
      </w:tr>
      <w:tr>
        <w:tc>
          <w:tcPr>
            <w:tcW w:type="dxa" w:w="4320"/>
            <w:shd w:val="clear" w:fill="EEF2F7"/>
          </w:tcPr>
          <w:p>
            <w:pPr>
              <w:spacing w:after="20" w:before="20"/>
            </w:pPr>
            <w:r/>
            <w:r>
              <w:rPr>
                <w:b/>
                <w:sz w:val="18"/>
              </w:rPr>
              <w:t>Impact</w:t>
            </w:r>
          </w:p>
        </w:tc>
        <w:tc>
          <w:tcPr>
            <w:tcW w:type="dxa" w:w="4320"/>
          </w:tcPr>
          <w:p>
            <w:pPr>
              <w:spacing w:after="20" w:before="20"/>
            </w:pPr>
            <w:r/>
            <w:r>
              <w:rPr>
                <w:b w:val="0"/>
                <w:sz w:val="18"/>
              </w:rPr>
              <w:t>None. JA3 is DEFINED as the MD5 of the cipher string (Salesforce spec); it is an identifier, not a security/integrity control.</w:t>
            </w:r>
          </w:p>
        </w:tc>
      </w:tr>
    </w:tbl>
    <w:p>
      <w:r>
        <w:rPr>
          <w:b/>
          <w:sz w:val="17"/>
        </w:rPr>
        <w:t xml:space="preserve">Evidence:  </w:t>
      </w:r>
      <w:r>
        <w:rPr>
          <w:rFonts w:ascii="Consolas" w:hAnsi="Consolas"/>
          <w:sz w:val="16"/>
        </w:rPr>
        <w:t>return hashlib.md5(ja3_str.encode()).hexdigest()</w:t>
      </w:r>
    </w:p>
    <w:tbl>
      <w:tblPr>
        <w:tblStyle w:val="TableGrid"/>
        <w:tblW w:type="auto" w:w="0"/>
        <w:tblLook w:firstColumn="1" w:firstRow="1" w:lastColumn="0" w:lastRow="0" w:noHBand="0" w:noVBand="1" w:val="04A0"/>
      </w:tblPr>
      <w:tblGrid>
        <w:gridCol w:w="1400"/>
        <w:gridCol w:w="4320"/>
      </w:tblGrid>
      <w:tr>
        <w:tc>
          <w:tcPr>
            <w:tcW w:type="dxa" w:w="4320"/>
            <w:shd w:val="clear" w:fill="EEF2F7"/>
          </w:tcPr>
          <w:p>
            <w:pPr>
              <w:spacing w:after="20" w:before="20"/>
            </w:pPr>
            <w:r/>
            <w:r>
              <w:rPr>
                <w:b/>
                <w:sz w:val="18"/>
              </w:rPr>
              <w:t>Remediation</w:t>
            </w:r>
          </w:p>
        </w:tc>
        <w:tc>
          <w:tcPr>
            <w:tcW w:type="dxa" w:w="4320"/>
          </w:tcPr>
          <w:p>
            <w:pPr>
              <w:spacing w:after="20" w:before="20"/>
            </w:pPr>
            <w:r/>
            <w:r>
              <w:rPr>
                <w:b w:val="0"/>
                <w:sz w:val="18"/>
              </w:rPr>
              <w:t>Annotated with usedforsecurity=False and a comment documenting the intent (also clears the bandit HIGH).</w:t>
            </w:r>
          </w:p>
        </w:tc>
      </w:tr>
      <w:tr>
        <w:tc>
          <w:tcPr>
            <w:tcW w:type="dxa" w:w="4320"/>
            <w:shd w:val="clear" w:fill="EEF2F7"/>
          </w:tcPr>
          <w:p>
            <w:pPr>
              <w:spacing w:after="20" w:before="20"/>
            </w:pPr>
            <w:r/>
            <w:r>
              <w:rPr>
                <w:b/>
                <w:sz w:val="18"/>
              </w:rPr>
              <w:t>Status</w:t>
            </w:r>
          </w:p>
        </w:tc>
        <w:tc>
          <w:tcPr>
            <w:tcW w:type="dxa" w:w="4320"/>
          </w:tcPr>
          <w:p>
            <w:pPr>
              <w:spacing w:after="20" w:before="20"/>
            </w:pPr>
            <w:r/>
            <w:r>
              <w:rPr>
                <w:b w:val="0"/>
                <w:color w:val="15803D"/>
                <w:sz w:val="18"/>
              </w:rPr>
              <w:t>RESOLVED (annotated; not a real weakness).</w:t>
            </w:r>
          </w:p>
        </w:tc>
      </w:tr>
    </w:tbl>
    <w:p/>
    <w:p>
      <w:pPr>
        <w:pStyle w:val="Heading2"/>
      </w:pPr>
      <w:r>
        <w:t>F-08 · Subprocess started via PATH lookup</w:t>
      </w:r>
    </w:p>
    <w:tbl>
      <w:tblPr>
        <w:tblStyle w:val="TableGrid"/>
        <w:tblW w:type="auto" w:w="0"/>
        <w:tblLook w:firstColumn="1" w:firstRow="1" w:lastColumn="0" w:lastRow="0" w:noHBand="0" w:noVBand="1" w:val="04A0"/>
      </w:tblPr>
      <w:tblGrid>
        <w:gridCol w:w="1400"/>
        <w:gridCol w:w="4320"/>
      </w:tblGrid>
      <w:tr>
        <w:tc>
          <w:tcPr>
            <w:tcW w:type="dxa" w:w="4320"/>
            <w:shd w:val="clear" w:fill="EEF2F7"/>
          </w:tcPr>
          <w:p>
            <w:pPr>
              <w:spacing w:after="20" w:before="20"/>
            </w:pPr>
            <w:r/>
            <w:r>
              <w:rPr>
                <w:b/>
                <w:sz w:val="18"/>
              </w:rPr>
              <w:t>Severity</w:t>
            </w:r>
          </w:p>
        </w:tc>
        <w:tc>
          <w:tcPr>
            <w:tcW w:type="dxa" w:w="4320"/>
          </w:tcPr>
          <w:p>
            <w:pPr>
              <w:spacing w:after="20" w:before="20"/>
            </w:pPr>
            <w:r/>
            <w:r>
              <w:rPr>
                <w:b/>
                <w:color w:val="475569"/>
                <w:sz w:val="18"/>
              </w:rPr>
              <w:t>INFO · CWE-426 Untrusted Search Path</w:t>
            </w:r>
          </w:p>
        </w:tc>
      </w:tr>
      <w:tr>
        <w:tc>
          <w:tcPr>
            <w:tcW w:type="dxa" w:w="4320"/>
            <w:shd w:val="clear" w:fill="EEF2F7"/>
          </w:tcPr>
          <w:p>
            <w:pPr>
              <w:spacing w:after="20" w:before="20"/>
            </w:pPr>
            <w:r/>
            <w:r>
              <w:rPr>
                <w:b/>
                <w:sz w:val="18"/>
              </w:rPr>
              <w:t>Description</w:t>
            </w:r>
          </w:p>
        </w:tc>
        <w:tc>
          <w:tcPr>
            <w:tcW w:type="dxa" w:w="4320"/>
          </w:tcPr>
          <w:p>
            <w:pPr>
              <w:spacing w:after="20" w:before="20"/>
            </w:pPr>
            <w:r/>
            <w:r>
              <w:rPr>
                <w:b w:val="0"/>
                <w:sz w:val="18"/>
              </w:rPr>
              <w:t>getcap/setcap/osascript are invoked by name (relying on PATH) rather than absolute path.</w:t>
            </w:r>
          </w:p>
        </w:tc>
      </w:tr>
      <w:tr>
        <w:tc>
          <w:tcPr>
            <w:tcW w:type="dxa" w:w="4320"/>
            <w:shd w:val="clear" w:fill="EEF2F7"/>
          </w:tcPr>
          <w:p>
            <w:pPr>
              <w:spacing w:after="20" w:before="20"/>
            </w:pPr>
            <w:r/>
            <w:r>
              <w:rPr>
                <w:b/>
                <w:sz w:val="18"/>
              </w:rPr>
              <w:t>Impact</w:t>
            </w:r>
          </w:p>
        </w:tc>
        <w:tc>
          <w:tcPr>
            <w:tcW w:type="dxa" w:w="4320"/>
          </w:tcPr>
          <w:p>
            <w:pPr>
              <w:spacing w:after="20" w:before="20"/>
            </w:pPr>
            <w:r/>
            <w:r>
              <w:rPr>
                <w:b w:val="0"/>
                <w:sz w:val="18"/>
              </w:rPr>
              <w:t>Low — these are standard system binaries; exploitation needs an attacker-controlled PATH, which implies prior local compromise.</w:t>
            </w:r>
          </w:p>
        </w:tc>
      </w:tr>
    </w:tbl>
    <w:p>
      <w:r>
        <w:rPr>
          <w:b/>
          <w:sz w:val="17"/>
        </w:rPr>
        <w:t xml:space="preserve">Evidence:  </w:t>
      </w:r>
      <w:r>
        <w:rPr>
          <w:rFonts w:ascii="Consolas" w:hAnsi="Consolas"/>
          <w:sz w:val="16"/>
        </w:rPr>
        <w:t>bandit B607 — start_process_with_partial_path (×2).</w:t>
      </w:r>
    </w:p>
    <w:tbl>
      <w:tblPr>
        <w:tblStyle w:val="TableGrid"/>
        <w:tblW w:type="auto" w:w="0"/>
        <w:tblLook w:firstColumn="1" w:firstRow="1" w:lastColumn="0" w:lastRow="0" w:noHBand="0" w:noVBand="1" w:val="04A0"/>
      </w:tblPr>
      <w:tblGrid>
        <w:gridCol w:w="1400"/>
        <w:gridCol w:w="4320"/>
      </w:tblGrid>
      <w:tr>
        <w:tc>
          <w:tcPr>
            <w:tcW w:type="dxa" w:w="4320"/>
            <w:shd w:val="clear" w:fill="EEF2F7"/>
          </w:tcPr>
          <w:p>
            <w:pPr>
              <w:spacing w:after="20" w:before="20"/>
            </w:pPr>
            <w:r/>
            <w:r>
              <w:rPr>
                <w:b/>
                <w:sz w:val="18"/>
              </w:rPr>
              <w:t>Remediation</w:t>
            </w:r>
          </w:p>
        </w:tc>
        <w:tc>
          <w:tcPr>
            <w:tcW w:type="dxa" w:w="4320"/>
          </w:tcPr>
          <w:p>
            <w:pPr>
              <w:spacing w:after="20" w:before="20"/>
            </w:pPr>
            <w:r/>
            <w:r>
              <w:rPr>
                <w:b w:val="0"/>
                <w:sz w:val="18"/>
              </w:rPr>
              <w:t>Accepted risk / documented. All subprocess calls already use list-form args (no shell=True) so there is no shell-metacharacter exposure.</w:t>
            </w:r>
          </w:p>
        </w:tc>
      </w:tr>
      <w:tr>
        <w:tc>
          <w:tcPr>
            <w:tcW w:type="dxa" w:w="4320"/>
            <w:shd w:val="clear" w:fill="EEF2F7"/>
          </w:tcPr>
          <w:p>
            <w:pPr>
              <w:spacing w:after="20" w:before="20"/>
            </w:pPr>
            <w:r/>
            <w:r>
              <w:rPr>
                <w:b/>
                <w:sz w:val="18"/>
              </w:rPr>
              <w:t>Status</w:t>
            </w:r>
          </w:p>
        </w:tc>
        <w:tc>
          <w:tcPr>
            <w:tcW w:type="dxa" w:w="4320"/>
          </w:tcPr>
          <w:p>
            <w:pPr>
              <w:spacing w:after="20" w:before="20"/>
            </w:pPr>
            <w:r/>
            <w:r>
              <w:rPr>
                <w:b w:val="0"/>
                <w:color w:val="15803D"/>
                <w:sz w:val="18"/>
              </w:rPr>
              <w:t>ACCEPTED (documented residual risk).</w:t>
            </w:r>
          </w:p>
        </w:tc>
      </w:tr>
    </w:tbl>
    <w:p/>
    <w:p>
      <w:r>
        <w:br w:type="page"/>
      </w:r>
    </w:p>
    <w:p>
      <w:pPr>
        <w:pStyle w:val="Heading1"/>
      </w:pPr>
      <w:r>
        <w:t>5. Security Controls Verified (No Finding)</w:t>
      </w:r>
    </w:p>
    <w:p>
      <w:pPr>
        <w:pBdr>
          <w:bottom w:val="single" w:sz="6" w:space="1" w:color="1D4ED8"/>
        </w:pBdr>
      </w:pPr>
    </w:p>
    <w:tbl>
      <w:tblPr>
        <w:tblStyle w:val="TableGrid"/>
        <w:tblW w:type="auto" w:w="0"/>
        <w:tblLook w:firstColumn="1" w:firstRow="1" w:lastColumn="0" w:lastRow="0" w:noHBand="0" w:noVBand="1" w:val="04A0"/>
      </w:tblPr>
      <w:tblGrid>
        <w:gridCol w:w="2600"/>
        <w:gridCol w:w="4320"/>
      </w:tblGrid>
      <w:tr>
        <w:tc>
          <w:tcPr>
            <w:tcW w:type="dxa" w:w="4320"/>
            <w:shd w:val="clear" w:fill="15803D"/>
          </w:tcPr>
          <w:p>
            <w:pPr>
              <w:spacing w:after="20" w:before="20"/>
            </w:pPr>
            <w:r/>
            <w:r>
              <w:rPr>
                <w:b/>
                <w:color w:val="FFFFFF"/>
                <w:sz w:val="18"/>
              </w:rPr>
              <w:t>Control</w:t>
            </w:r>
          </w:p>
        </w:tc>
        <w:tc>
          <w:tcPr>
            <w:tcW w:type="dxa" w:w="4320"/>
            <w:shd w:val="clear" w:fill="15803D"/>
          </w:tcPr>
          <w:p>
            <w:pPr>
              <w:spacing w:after="20" w:before="20"/>
            </w:pPr>
            <w:r/>
            <w:r>
              <w:rPr>
                <w:b/>
                <w:color w:val="FFFFFF"/>
                <w:sz w:val="18"/>
              </w:rPr>
              <w:t>Result</w:t>
            </w:r>
          </w:p>
        </w:tc>
      </w:tr>
      <w:tr>
        <w:tc>
          <w:tcPr>
            <w:tcW w:type="dxa" w:w="4320"/>
          </w:tcPr>
          <w:p>
            <w:pPr>
              <w:spacing w:after="20" w:before="20"/>
            </w:pPr>
            <w:r/>
            <w:r>
              <w:rPr>
                <w:b/>
                <w:sz w:val="18"/>
              </w:rPr>
              <w:t>Cross-site scripting (XSS)</w:t>
            </w:r>
          </w:p>
        </w:tc>
        <w:tc>
          <w:tcPr>
            <w:tcW w:type="dxa" w:w="4320"/>
          </w:tcPr>
          <w:p>
            <w:pPr>
              <w:spacing w:after="20" w:before="20"/>
            </w:pPr>
            <w:r/>
            <w:r>
              <w:rPr>
                <w:b w:val="0"/>
                <w:sz w:val="17"/>
              </w:rPr>
              <w:t>✓ Every SPA interpolation of attacker-influenceable free text (packet info, HTTP host/path/User-Agent, software banners, CVE descriptions, filenames) is HTML-escaped; an interpolation scan of all 287 template expressions confirmed no unescaped free-text sink (IP fields, additionally escaped, are structurally constrained).</w:t>
            </w:r>
          </w:p>
        </w:tc>
      </w:tr>
      <w:tr>
        <w:tc>
          <w:tcPr>
            <w:tcW w:type="dxa" w:w="4320"/>
          </w:tcPr>
          <w:p>
            <w:pPr>
              <w:spacing w:after="20" w:before="20"/>
            </w:pPr>
            <w:r/>
            <w:r>
              <w:rPr>
                <w:b/>
                <w:sz w:val="18"/>
              </w:rPr>
              <w:t>BPF / filter injection</w:t>
            </w:r>
          </w:p>
        </w:tc>
        <w:tc>
          <w:tcPr>
            <w:tcW w:type="dxa" w:w="4320"/>
          </w:tcPr>
          <w:p>
            <w:pPr>
              <w:spacing w:after="20" w:before="20"/>
            </w:pPr>
            <w:r/>
            <w:r>
              <w:rPr>
                <w:b w:val="0"/>
                <w:sz w:val="17"/>
              </w:rPr>
              <w:t>✓ The evidence filter matches by Python set membership, not a compiled BPF string — no filter-language injection.</w:t>
            </w:r>
          </w:p>
        </w:tc>
      </w:tr>
      <w:tr>
        <w:tc>
          <w:tcPr>
            <w:tcW w:type="dxa" w:w="4320"/>
          </w:tcPr>
          <w:p>
            <w:pPr>
              <w:spacing w:after="20" w:before="20"/>
            </w:pPr>
            <w:r/>
            <w:r>
              <w:rPr>
                <w:b/>
                <w:sz w:val="18"/>
              </w:rPr>
              <w:t>ReDoS</w:t>
            </w:r>
          </w:p>
        </w:tc>
        <w:tc>
          <w:tcPr>
            <w:tcW w:type="dxa" w:w="4320"/>
          </w:tcPr>
          <w:p>
            <w:pPr>
              <w:spacing w:after="20" w:before="20"/>
            </w:pPr>
            <w:r/>
            <w:r>
              <w:rPr>
                <w:b w:val="0"/>
                <w:sz w:val="17"/>
              </w:rPr>
              <w:t>✓ Attacker-facing regexes (HTTP-attack, DNS, banner parsing) use bounded quantifiers with no catastrophic backtracking.</w:t>
            </w:r>
          </w:p>
        </w:tc>
      </w:tr>
      <w:tr>
        <w:tc>
          <w:tcPr>
            <w:tcW w:type="dxa" w:w="4320"/>
          </w:tcPr>
          <w:p>
            <w:pPr>
              <w:spacing w:after="20" w:before="20"/>
            </w:pPr>
            <w:r/>
            <w:r>
              <w:rPr>
                <w:b/>
                <w:sz w:val="18"/>
              </w:rPr>
              <w:t>Unsafe deserialisation</w:t>
            </w:r>
          </w:p>
        </w:tc>
        <w:tc>
          <w:tcPr>
            <w:tcW w:type="dxa" w:w="4320"/>
          </w:tcPr>
          <w:p>
            <w:pPr>
              <w:spacing w:after="20" w:before="20"/>
            </w:pPr>
            <w:r/>
            <w:r>
              <w:rPr>
                <w:b w:val="0"/>
                <w:sz w:val="17"/>
              </w:rPr>
              <w:t>✓ No yaml.load / pickle / marshal on untrusted input; all parsing is JSON or Scapy.</w:t>
            </w:r>
          </w:p>
        </w:tc>
      </w:tr>
      <w:tr>
        <w:tc>
          <w:tcPr>
            <w:tcW w:type="dxa" w:w="4320"/>
          </w:tcPr>
          <w:p>
            <w:pPr>
              <w:spacing w:after="20" w:before="20"/>
            </w:pPr>
            <w:r/>
            <w:r>
              <w:rPr>
                <w:b/>
                <w:sz w:val="18"/>
              </w:rPr>
              <w:t>SQL injection</w:t>
            </w:r>
          </w:p>
        </w:tc>
        <w:tc>
          <w:tcPr>
            <w:tcW w:type="dxa" w:w="4320"/>
          </w:tcPr>
          <w:p>
            <w:pPr>
              <w:spacing w:after="20" w:before="20"/>
            </w:pPr>
            <w:r/>
            <w:r>
              <w:rPr>
                <w:b w:val="0"/>
                <w:sz w:val="17"/>
              </w:rPr>
              <w:t>✓ All database access uses parameterised queries (? placeholders, int() casts). No string-built SQL.</w:t>
            </w:r>
          </w:p>
        </w:tc>
      </w:tr>
      <w:tr>
        <w:tc>
          <w:tcPr>
            <w:tcW w:type="dxa" w:w="4320"/>
          </w:tcPr>
          <w:p>
            <w:pPr>
              <w:spacing w:after="20" w:before="20"/>
            </w:pPr>
            <w:r/>
            <w:r>
              <w:rPr>
                <w:b/>
                <w:sz w:val="18"/>
              </w:rPr>
              <w:t>Path traversal</w:t>
            </w:r>
          </w:p>
        </w:tc>
        <w:tc>
          <w:tcPr>
            <w:tcW w:type="dxa" w:w="4320"/>
          </w:tcPr>
          <w:p>
            <w:pPr>
              <w:spacing w:after="20" w:before="20"/>
            </w:pPr>
            <w:r/>
            <w:r>
              <w:rPr>
                <w:b w:val="0"/>
                <w:sz w:val="17"/>
              </w:rPr>
              <w:t>✓ File paths are derived from server-generated UUID job keys validated against the in-memory job registry — the URL job_id is never used to build a filesystem path directly.</w:t>
            </w:r>
          </w:p>
        </w:tc>
      </w:tr>
      <w:tr>
        <w:tc>
          <w:tcPr>
            <w:tcW w:type="dxa" w:w="4320"/>
          </w:tcPr>
          <w:p>
            <w:pPr>
              <w:spacing w:after="20" w:before="20"/>
            </w:pPr>
            <w:r/>
            <w:r>
              <w:rPr>
                <w:b/>
                <w:sz w:val="18"/>
              </w:rPr>
              <w:t>Dangerous sinks</w:t>
            </w:r>
          </w:p>
        </w:tc>
        <w:tc>
          <w:tcPr>
            <w:tcW w:type="dxa" w:w="4320"/>
          </w:tcPr>
          <w:p>
            <w:pPr>
              <w:spacing w:after="20" w:before="20"/>
            </w:pPr>
            <w:r/>
            <w:r>
              <w:rPr>
                <w:b w:val="0"/>
                <w:sz w:val="17"/>
              </w:rPr>
              <w:t>✓ No eval / exec / pickle / os.system / shell=True / yaml.load anywhere in production code.</w:t>
            </w:r>
          </w:p>
        </w:tc>
      </w:tr>
      <w:tr>
        <w:tc>
          <w:tcPr>
            <w:tcW w:type="dxa" w:w="4320"/>
          </w:tcPr>
          <w:p>
            <w:pPr>
              <w:spacing w:after="20" w:before="20"/>
            </w:pPr>
            <w:r/>
            <w:r>
              <w:rPr>
                <w:b/>
                <w:sz w:val="18"/>
              </w:rPr>
              <w:t>Injection in HTML report</w:t>
            </w:r>
          </w:p>
        </w:tc>
        <w:tc>
          <w:tcPr>
            <w:tcW w:type="dxa" w:w="4320"/>
          </w:tcPr>
          <w:p>
            <w:pPr>
              <w:spacing w:after="20" w:before="20"/>
            </w:pPr>
            <w:r/>
            <w:r>
              <w:rPr>
                <w:b w:val="0"/>
                <w:sz w:val="17"/>
              </w:rPr>
              <w:t>✓ All user/observed data is HTML-escaped (_esc) in the report; the SPA escapes via esc().</w:t>
            </w:r>
          </w:p>
        </w:tc>
      </w:tr>
      <w:tr>
        <w:tc>
          <w:tcPr>
            <w:tcW w:type="dxa" w:w="4320"/>
          </w:tcPr>
          <w:p>
            <w:pPr>
              <w:spacing w:after="20" w:before="20"/>
            </w:pPr>
            <w:r/>
            <w:r>
              <w:rPr>
                <w:b/>
                <w:sz w:val="18"/>
              </w:rPr>
              <w:t>Network timeouts</w:t>
            </w:r>
          </w:p>
        </w:tc>
        <w:tc>
          <w:tcPr>
            <w:tcW w:type="dxa" w:w="4320"/>
          </w:tcPr>
          <w:p>
            <w:pPr>
              <w:spacing w:after="20" w:before="20"/>
            </w:pPr>
            <w:r/>
            <w:r>
              <w:rPr>
                <w:b w:val="0"/>
                <w:sz w:val="17"/>
              </w:rPr>
              <w:t>✓ All outbound requests (NVD, CISA, MISP, Telegram, feeds) set explicit timeouts (no hang/DoS).</w:t>
            </w:r>
          </w:p>
        </w:tc>
      </w:tr>
      <w:tr>
        <w:tc>
          <w:tcPr>
            <w:tcW w:type="dxa" w:w="4320"/>
          </w:tcPr>
          <w:p>
            <w:pPr>
              <w:spacing w:after="20" w:before="20"/>
            </w:pPr>
            <w:r/>
            <w:r>
              <w:rPr>
                <w:b/>
                <w:sz w:val="18"/>
              </w:rPr>
              <w:t>Secrets at rest</w:t>
            </w:r>
          </w:p>
        </w:tc>
        <w:tc>
          <w:tcPr>
            <w:tcW w:type="dxa" w:w="4320"/>
          </w:tcPr>
          <w:p>
            <w:pPr>
              <w:spacing w:after="20" w:before="20"/>
            </w:pPr>
            <w:r/>
            <w:r>
              <w:rPr>
                <w:b w:val="0"/>
                <w:sz w:val="17"/>
              </w:rPr>
              <w:t>✓ .env is gitignored; the working tree contains only placeholders; API keys are read at runtime, never logged.</w:t>
            </w:r>
          </w:p>
        </w:tc>
      </w:tr>
      <w:tr>
        <w:tc>
          <w:tcPr>
            <w:tcW w:type="dxa" w:w="4320"/>
          </w:tcPr>
          <w:p>
            <w:pPr>
              <w:spacing w:after="20" w:before="20"/>
            </w:pPr>
            <w:r/>
            <w:r>
              <w:rPr>
                <w:b/>
                <w:sz w:val="18"/>
              </w:rPr>
              <w:t>API surface</w:t>
            </w:r>
          </w:p>
        </w:tc>
        <w:tc>
          <w:tcPr>
            <w:tcW w:type="dxa" w:w="4320"/>
          </w:tcPr>
          <w:p>
            <w:pPr>
              <w:spacing w:after="20" w:before="20"/>
            </w:pPr>
            <w:r/>
            <w:r>
              <w:rPr>
                <w:b w:val="0"/>
                <w:sz w:val="17"/>
              </w:rPr>
              <w:t>✓ Swagger/ReDoc docs are disabled (docs_url=None); the server defaults to loopback binding.</w:t>
            </w:r>
          </w:p>
        </w:tc>
      </w:tr>
      <w:tr>
        <w:tc>
          <w:tcPr>
            <w:tcW w:type="dxa" w:w="4320"/>
          </w:tcPr>
          <w:p>
            <w:pPr>
              <w:spacing w:after="20" w:before="20"/>
            </w:pPr>
            <w:r/>
            <w:r>
              <w:rPr>
                <w:b/>
                <w:sz w:val="18"/>
              </w:rPr>
              <w:t>SSRF</w:t>
            </w:r>
          </w:p>
        </w:tc>
        <w:tc>
          <w:tcPr>
            <w:tcW w:type="dxa" w:w="4320"/>
          </w:tcPr>
          <w:p>
            <w:pPr>
              <w:spacing w:after="20" w:before="20"/>
            </w:pPr>
            <w:r/>
            <w:r>
              <w:rPr>
                <w:b w:val="0"/>
                <w:sz w:val="17"/>
              </w:rPr>
              <w:t>✓ All third-party URLs are hard-coded (NVD/CISA/abuse.ch); only the operator-configured MISP/webhook URLs are user-set, by design.</w:t>
            </w:r>
          </w:p>
        </w:tc>
      </w:tr>
    </w:tbl>
    <w:p>
      <w:r>
        <w:br w:type="page"/>
      </w:r>
    </w:p>
    <w:p>
      <w:pPr>
        <w:pStyle w:val="Heading1"/>
      </w:pPr>
      <w:r>
        <w:t>6. Remediation Verification &amp; Required Owner Action</w:t>
      </w:r>
    </w:p>
    <w:p>
      <w:pPr>
        <w:pBdr>
          <w:bottom w:val="single" w:sz="6" w:space="1" w:color="1D4ED8"/>
        </w:pBdr>
      </w:pPr>
    </w:p>
    <w:p>
      <w:r>
        <w:rPr>
          <w:sz w:val="20"/>
        </w:rPr>
        <w:t>After applying the fixes the full battery was re-run:</w:t>
      </w:r>
    </w:p>
    <w:tbl>
      <w:tblPr>
        <w:tblStyle w:val="TableGrid"/>
        <w:tblW w:type="auto" w:w="0"/>
        <w:tblLook w:firstColumn="1" w:firstRow="1" w:lastColumn="0" w:lastRow="0" w:noHBand="0" w:noVBand="1" w:val="04A0"/>
      </w:tblPr>
      <w:tblGrid>
        <w:gridCol w:w="2400"/>
        <w:gridCol w:w="4320"/>
      </w:tblGrid>
      <w:tr>
        <w:tc>
          <w:tcPr>
            <w:tcW w:type="dxa" w:w="4320"/>
            <w:shd w:val="clear" w:fill="EEF2F7"/>
          </w:tcPr>
          <w:p>
            <w:pPr>
              <w:spacing w:after="20" w:before="20"/>
            </w:pPr>
            <w:r/>
            <w:r>
              <w:rPr>
                <w:b/>
                <w:sz w:val="18"/>
              </w:rPr>
              <w:t>Unit/integration tests</w:t>
            </w:r>
          </w:p>
        </w:tc>
        <w:tc>
          <w:tcPr>
            <w:tcW w:type="dxa" w:w="4320"/>
          </w:tcPr>
          <w:p>
            <w:pPr>
              <w:spacing w:after="20" w:before="20"/>
            </w:pPr>
            <w:r/>
            <w:r>
              <w:rPr>
                <w:b w:val="0"/>
                <w:sz w:val="18"/>
              </w:rPr>
              <w:t>304 passed — the full suite, including the security regression tests added in this engagement — no regressions.</w:t>
            </w:r>
          </w:p>
        </w:tc>
      </w:tr>
      <w:tr>
        <w:tc>
          <w:tcPr>
            <w:tcW w:type="dxa" w:w="4320"/>
            <w:shd w:val="clear" w:fill="EEF2F7"/>
          </w:tcPr>
          <w:p>
            <w:pPr>
              <w:spacing w:after="20" w:before="20"/>
            </w:pPr>
            <w:r/>
            <w:r>
              <w:rPr>
                <w:b/>
                <w:sz w:val="18"/>
              </w:rPr>
              <w:t>Linter (ruff)</w:t>
            </w:r>
          </w:p>
        </w:tc>
        <w:tc>
          <w:tcPr>
            <w:tcW w:type="dxa" w:w="4320"/>
          </w:tcPr>
          <w:p>
            <w:pPr>
              <w:spacing w:after="20" w:before="20"/>
            </w:pPr>
            <w:r/>
            <w:r>
              <w:rPr>
                <w:b w:val="0"/>
                <w:sz w:val="18"/>
              </w:rPr>
              <w:t>All checks passed.</w:t>
            </w:r>
          </w:p>
        </w:tc>
      </w:tr>
      <w:tr>
        <w:tc>
          <w:tcPr>
            <w:tcW w:type="dxa" w:w="4320"/>
            <w:shd w:val="clear" w:fill="EEF2F7"/>
          </w:tcPr>
          <w:p>
            <w:pPr>
              <w:spacing w:after="20" w:before="20"/>
            </w:pPr>
            <w:r/>
            <w:r>
              <w:rPr>
                <w:b/>
                <w:sz w:val="18"/>
              </w:rPr>
              <w:t>bandit (SAST)</w:t>
            </w:r>
          </w:p>
        </w:tc>
        <w:tc>
          <w:tcPr>
            <w:tcW w:type="dxa" w:w="4320"/>
          </w:tcPr>
          <w:p>
            <w:pPr>
              <w:spacing w:after="20" w:before="20"/>
            </w:pPr>
            <w:r/>
            <w:r>
              <w:rPr>
                <w:b w:val="0"/>
                <w:sz w:val="18"/>
              </w:rPr>
              <w:t>High: 0, Medium: 0, Low: 53. Remaining Low findings are defensive try/except/pass and list-form subprocess calls (no shell=True). The pseudo-random calls in the synthetic capture/benchmark generators are annotated "# nosec B311" (deterministic sample data, never cryptographic).</w:t>
            </w:r>
          </w:p>
        </w:tc>
      </w:tr>
      <w:tr>
        <w:tc>
          <w:tcPr>
            <w:tcW w:type="dxa" w:w="4320"/>
            <w:shd w:val="clear" w:fill="EEF2F7"/>
          </w:tcPr>
          <w:p>
            <w:pPr>
              <w:spacing w:after="20" w:before="20"/>
            </w:pPr>
            <w:r/>
            <w:r>
              <w:rPr>
                <w:b/>
                <w:sz w:val="18"/>
              </w:rPr>
              <w:t>Live exploit re-tests</w:t>
            </w:r>
          </w:p>
        </w:tc>
        <w:tc>
          <w:tcPr>
            <w:tcW w:type="dxa" w:w="4320"/>
          </w:tcPr>
          <w:p>
            <w:pPr>
              <w:spacing w:after="20" w:before="20"/>
            </w:pPr>
            <w:r/>
            <w:r>
              <w:rPr>
                <w:b w:val="0"/>
                <w:sz w:val="18"/>
              </w:rPr>
              <w:t>Path traversal (ip=../../..) → 400, no file written; DNS-rebinding (bad Host) → 400; cross-origin POST to privileged setup-capture → 403.</w:t>
            </w:r>
          </w:p>
        </w:tc>
      </w:tr>
      <w:tr>
        <w:tc>
          <w:tcPr>
            <w:tcW w:type="dxa" w:w="4320"/>
            <w:shd w:val="clear" w:fill="EEF2F7"/>
          </w:tcPr>
          <w:p>
            <w:pPr>
              <w:spacing w:after="20" w:before="20"/>
            </w:pPr>
            <w:r/>
            <w:r>
              <w:rPr>
                <w:b/>
                <w:sz w:val="18"/>
              </w:rPr>
              <w:t>pip-audit</w:t>
            </w:r>
          </w:p>
        </w:tc>
        <w:tc>
          <w:tcPr>
            <w:tcW w:type="dxa" w:w="4320"/>
          </w:tcPr>
          <w:p>
            <w:pPr>
              <w:spacing w:after="20" w:before="20"/>
            </w:pPr>
            <w:r/>
            <w:r>
              <w:rPr>
                <w:b w:val="0"/>
                <w:sz w:val="18"/>
              </w:rPr>
              <w:t>On Python 3.10+ the pinned floors resolve to fully-patched releases. On Python 3.9 every flagged package is at its newest 3.9-compatible version; the residual fixes require Python &gt;= 3.10 (3.9 is end-of-life).</w:t>
            </w:r>
          </w:p>
        </w:tc>
      </w:tr>
    </w:tbl>
    <w:p>
      <w:pPr>
        <w:pStyle w:val="Heading2"/>
      </w:pPr>
      <w:r>
        <w:t>Owner action (F-01) — completed</w:t>
      </w:r>
    </w:p>
    <w:p>
      <w:r>
        <w:rPr>
          <w:sz w:val="20"/>
        </w:rPr>
        <w:t>The account owner revoked both exposed keys in the provider consoles (Google AI Studio &amp; Groq) on 2026-07-12, so the leaked values no longer authenticate. Optionally, scrub them from git history before any public push so the dead values do not linger in the record:</w:t>
      </w:r>
    </w:p>
    <w:p>
      <w:r>
        <w:rPr>
          <w:rFonts w:ascii="Consolas" w:hAnsi="Consolas"/>
          <w:sz w:val="18"/>
        </w:rPr>
        <w:t>pip install git-filter-repo</w:t>
        <w:br/>
        <w:t>git filter-repo --path .env.example --invert-paths</w:t>
        <w:br/>
        <w:t>git push --force --all</w:t>
      </w:r>
    </w:p>
    <w:p>
      <w:pPr>
        <w:pStyle w:val="Heading1"/>
      </w:pPr>
      <w:r>
        <w:t>7. Conclusion</w:t>
      </w:r>
    </w:p>
    <w:p>
      <w:pPr>
        <w:pBdr>
          <w:bottom w:val="single" w:sz="6" w:space="1" w:color="1D4ED8"/>
        </w:pBdr>
      </w:pPr>
    </w:p>
    <w:p>
      <w:r>
        <w:t>At the code level PacketIQ is a well-built and defensible application: it avoids the common high-impact web vulnerabilities and now streams uploads, bounds its buffers, validates Host/Origin headers, blocks path traversal, hardens its one privileged path, and restricts its data directories. After this engagement there are no outstanding code-level vulnerabilities, including a real path-traversal and CSRF/DNS-rebinding class closed in round two. The one operational risk, API keys committed to git history, has been closed by the owner revoking those keys. The main forward-looking recommendation is to run on Python 3.10+ so the pinned dependency floors resolve to fully-patched releases; further hardening (authentication, rate-limiting) is worthwhile only if the web app is ever exposed beyond localhost.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75569"/>
        <w:sz w:val="15"/>
      </w:rPr>
      <w:t>PacketIQ Security Audit Report · Confidential · Authorised self-assessment of the author's own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D4ED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D4ED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