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0CEEA" w14:textId="77777777" w:rsidR="00086CDE" w:rsidRDefault="00086CDE" w:rsidP="00086CDE">
      <w:pPr>
        <w:rPr>
          <w:b/>
          <w:bCs/>
        </w:rPr>
      </w:pPr>
      <w:r w:rsidRPr="00D047F6">
        <w:rPr>
          <w:b/>
          <w:bCs/>
        </w:rPr>
        <w:t>Glimpses of the Mega</w:t>
      </w:r>
      <w:r>
        <w:rPr>
          <w:b/>
          <w:bCs/>
        </w:rPr>
        <w:t xml:space="preserve"> </w:t>
      </w:r>
      <w:r w:rsidRPr="00D047F6">
        <w:rPr>
          <w:b/>
          <w:bCs/>
        </w:rPr>
        <w:t>Hybrid Event : GFF2022</w:t>
      </w:r>
    </w:p>
    <w:p w14:paraId="69FE9174" w14:textId="77777777" w:rsidR="00086CDE" w:rsidRDefault="00086CDE" w:rsidP="00086CDE">
      <w:pPr>
        <w:rPr>
          <w:b/>
          <w:bCs/>
        </w:rPr>
      </w:pPr>
      <w:r>
        <w:rPr>
          <w:b/>
          <w:bCs/>
        </w:rPr>
        <w:t xml:space="preserve">Banner </w:t>
      </w:r>
    </w:p>
    <w:p w14:paraId="661EF84D" w14:textId="77777777" w:rsidR="00086CDE" w:rsidRDefault="00086CDE" w:rsidP="00086CDE">
      <w:pPr>
        <w:rPr>
          <w:b/>
          <w:bCs/>
        </w:rPr>
      </w:pPr>
    </w:p>
    <w:p w14:paraId="4D288C5F" w14:textId="77777777" w:rsidR="00086CDE" w:rsidRPr="006F0F01" w:rsidRDefault="00086CDE" w:rsidP="00086CDE">
      <w:pPr>
        <w:rPr>
          <w:b/>
          <w:bCs/>
        </w:rPr>
      </w:pPr>
      <w:r w:rsidRPr="006F0F01">
        <w:rPr>
          <w:b/>
          <w:bCs/>
        </w:rPr>
        <w:t xml:space="preserve">We at Pay10 were delighted to have the opportunity to participate as exhibitors at GFF22. </w:t>
      </w:r>
    </w:p>
    <w:p w14:paraId="279DEFA8" w14:textId="77777777" w:rsidR="00086CDE" w:rsidRDefault="00086CDE" w:rsidP="00086CDE">
      <w:r w:rsidRPr="00D047F6">
        <w:t>Th</w:t>
      </w:r>
      <w:r>
        <w:t>e</w:t>
      </w:r>
      <w:r w:rsidRPr="00D047F6">
        <w:t xml:space="preserve"> international conference was a collaborative effort between the National Payments Corporation of India, the Payments Council of India, and the Fintech Convergence Council, centred around the theme of Global collaboration for a responsible financial ecosystem.</w:t>
      </w:r>
    </w:p>
    <w:p w14:paraId="70FFBD05" w14:textId="77777777" w:rsidR="00086CDE" w:rsidRDefault="00086CDE" w:rsidP="00086CDE"/>
    <w:p w14:paraId="1E03637A" w14:textId="77777777" w:rsidR="00086CDE" w:rsidRPr="006F0F01" w:rsidRDefault="00086CDE" w:rsidP="00086CDE">
      <w:pPr>
        <w:pStyle w:val="Heading1"/>
        <w:rPr>
          <w:b/>
          <w:bCs/>
          <w:color w:val="auto"/>
          <w:sz w:val="24"/>
          <w:szCs w:val="24"/>
        </w:rPr>
      </w:pPr>
      <w:r w:rsidRPr="006F0F01">
        <w:rPr>
          <w:b/>
          <w:bCs/>
          <w:color w:val="auto"/>
          <w:sz w:val="24"/>
          <w:szCs w:val="24"/>
        </w:rPr>
        <w:t>Our Payments Solution Suite</w:t>
      </w:r>
    </w:p>
    <w:p w14:paraId="030C0023" w14:textId="77777777" w:rsidR="00086CDE" w:rsidRPr="003A0BAD" w:rsidRDefault="00086CDE" w:rsidP="00086CDE">
      <w:pPr>
        <w:rPr>
          <w:rFonts w:asciiTheme="majorHAnsi" w:hAnsiTheme="majorHAnsi"/>
        </w:rPr>
      </w:pPr>
      <w:r w:rsidRPr="003A0BAD">
        <w:rPr>
          <w:rFonts w:asciiTheme="majorHAnsi" w:hAnsiTheme="majorHAnsi"/>
        </w:rPr>
        <w:t>Pay10 offers an easy, hassle-free solution to every digital payment need in the world of finance.</w:t>
      </w:r>
    </w:p>
    <w:p w14:paraId="7E6DF6C2" w14:textId="77777777" w:rsidR="00086CDE" w:rsidRPr="003A0BAD" w:rsidRDefault="00086CDE" w:rsidP="00086CDE">
      <w:pPr>
        <w:pStyle w:val="Heading1"/>
        <w:rPr>
          <w:color w:val="auto"/>
          <w:sz w:val="24"/>
          <w:szCs w:val="24"/>
        </w:rPr>
      </w:pPr>
      <w:r w:rsidRPr="003A0BAD">
        <w:rPr>
          <w:color w:val="auto"/>
          <w:sz w:val="24"/>
          <w:szCs w:val="24"/>
        </w:rPr>
        <w:t>PAYMENT AGGREGATOR</w:t>
      </w:r>
      <w:r w:rsidRPr="003A0BAD">
        <w:rPr>
          <w:color w:val="auto"/>
          <w:sz w:val="24"/>
          <w:szCs w:val="24"/>
        </w:rPr>
        <w:br/>
      </w:r>
    </w:p>
    <w:p w14:paraId="5BA06B96" w14:textId="77777777" w:rsidR="00086CDE" w:rsidRPr="003A0BAD" w:rsidRDefault="00086CDE" w:rsidP="00086CDE">
      <w:pPr>
        <w:rPr>
          <w:rFonts w:asciiTheme="majorHAnsi" w:hAnsiTheme="majorHAnsi"/>
        </w:rPr>
      </w:pPr>
      <w:r w:rsidRPr="003A0BAD">
        <w:rPr>
          <w:rFonts w:asciiTheme="majorHAnsi" w:hAnsiTheme="majorHAnsi"/>
        </w:rPr>
        <w:t>Pay10 enables businesses to seamlessly accept cards, UPI, wallets, and more through a unified platform, ensuring faster turnaround time.</w:t>
      </w:r>
    </w:p>
    <w:p w14:paraId="344C34AE" w14:textId="77777777" w:rsidR="00086CDE" w:rsidRPr="003A0BAD" w:rsidRDefault="00086CDE" w:rsidP="00086CDE">
      <w:pPr>
        <w:pStyle w:val="Heading1"/>
        <w:rPr>
          <w:color w:val="auto"/>
          <w:sz w:val="24"/>
          <w:szCs w:val="24"/>
        </w:rPr>
      </w:pPr>
      <w:r w:rsidRPr="003A0BAD">
        <w:rPr>
          <w:color w:val="auto"/>
          <w:sz w:val="24"/>
          <w:szCs w:val="24"/>
        </w:rPr>
        <w:t>PAYMENT LINKS</w:t>
      </w:r>
    </w:p>
    <w:p w14:paraId="6A8DD338" w14:textId="77777777" w:rsidR="00086CDE" w:rsidRPr="003A0BAD" w:rsidRDefault="00086CDE" w:rsidP="00086CDE">
      <w:pPr>
        <w:rPr>
          <w:rFonts w:asciiTheme="majorHAnsi" w:hAnsiTheme="majorHAnsi"/>
        </w:rPr>
      </w:pPr>
      <w:r w:rsidRPr="003A0BAD">
        <w:rPr>
          <w:rFonts w:asciiTheme="majorHAnsi" w:hAnsiTheme="majorHAnsi"/>
        </w:rPr>
        <w:t>Pay10 enables businesses to request payments by providing a secure, clickable link to customers, facilitating swift and seamless transactions.</w:t>
      </w:r>
    </w:p>
    <w:p w14:paraId="5DED0DA4" w14:textId="77777777" w:rsidR="00086CDE" w:rsidRPr="003A0BAD" w:rsidRDefault="00086CDE" w:rsidP="00086CDE">
      <w:pPr>
        <w:pStyle w:val="Heading1"/>
        <w:rPr>
          <w:color w:val="auto"/>
          <w:sz w:val="24"/>
          <w:szCs w:val="24"/>
        </w:rPr>
      </w:pPr>
      <w:r w:rsidRPr="003A0BAD">
        <w:rPr>
          <w:color w:val="auto"/>
          <w:sz w:val="24"/>
          <w:szCs w:val="24"/>
        </w:rPr>
        <w:t>PAYMENT AGGREGATOR CROSS BORDER</w:t>
      </w:r>
    </w:p>
    <w:p w14:paraId="6A3147E8" w14:textId="77777777" w:rsidR="00086CDE" w:rsidRPr="003A0BAD" w:rsidRDefault="00086CDE" w:rsidP="00086CDE">
      <w:pPr>
        <w:rPr>
          <w:rFonts w:asciiTheme="majorHAnsi" w:hAnsiTheme="majorHAnsi"/>
        </w:rPr>
      </w:pPr>
      <w:r w:rsidRPr="003A0BAD">
        <w:rPr>
          <w:rFonts w:asciiTheme="majorHAnsi" w:hAnsiTheme="majorHAnsi"/>
        </w:rPr>
        <w:br/>
        <w:t>Enabling global commerce with seamless international payment support from export flows powered by multi-currency transactions to import flows backed by dynamic currency conversion. All with real-time processing, competitive rates, and secure integration.</w:t>
      </w:r>
    </w:p>
    <w:p w14:paraId="7FA08EBB" w14:textId="77777777" w:rsidR="00086CDE" w:rsidRPr="003A0BAD" w:rsidRDefault="00086CDE" w:rsidP="00086CDE">
      <w:r w:rsidRPr="003A0BAD">
        <w:rPr>
          <w:rFonts w:asciiTheme="majorHAnsi" w:hAnsiTheme="majorHAnsi"/>
        </w:rPr>
        <w:t>PREPAID PAYMENT INSTRUMENTS (Upcoming…)</w:t>
      </w:r>
    </w:p>
    <w:p w14:paraId="4D909B03" w14:textId="77777777" w:rsidR="00086CDE" w:rsidRPr="003A0BAD" w:rsidRDefault="00086CDE" w:rsidP="00086CDE">
      <w:pPr>
        <w:jc w:val="center"/>
      </w:pPr>
    </w:p>
    <w:p w14:paraId="3F979E54" w14:textId="77777777" w:rsidR="00086CDE" w:rsidRPr="003A0BAD" w:rsidRDefault="00086CDE" w:rsidP="00086CDE">
      <w:pPr>
        <w:jc w:val="center"/>
      </w:pPr>
    </w:p>
    <w:p w14:paraId="36A1C6FF" w14:textId="77777777" w:rsidR="00086CDE" w:rsidRPr="003A0BAD" w:rsidRDefault="00086CDE" w:rsidP="00086CDE">
      <w:pPr>
        <w:jc w:val="center"/>
      </w:pPr>
      <w:r w:rsidRPr="003A0BAD">
        <w:t>CTA//Download Brochure/</w:t>
      </w:r>
    </w:p>
    <w:p w14:paraId="775BED3D" w14:textId="77777777" w:rsidR="00086CDE" w:rsidRPr="003A0BAD" w:rsidRDefault="00086CDE" w:rsidP="00086CDE">
      <w:pPr>
        <w:jc w:val="center"/>
      </w:pPr>
    </w:p>
    <w:p w14:paraId="1CA93DBD" w14:textId="77777777" w:rsidR="00086CDE" w:rsidRPr="003A0BAD" w:rsidRDefault="00086CDE" w:rsidP="00086CDE">
      <w:pPr>
        <w:jc w:val="center"/>
      </w:pPr>
      <w:r w:rsidRPr="003A0BAD">
        <w:lastRenderedPageBreak/>
        <w:t>Event Pictures</w:t>
      </w:r>
    </w:p>
    <w:p w14:paraId="23B249D0" w14:textId="77777777" w:rsidR="00086CDE" w:rsidRPr="003A0BAD" w:rsidRDefault="00086CDE" w:rsidP="00086CDE"/>
    <w:p w14:paraId="12DEC3C1" w14:textId="77777777" w:rsidR="00976DB6" w:rsidRDefault="00976DB6"/>
    <w:sectPr w:rsidR="00976D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DB6"/>
    <w:rsid w:val="00086CDE"/>
    <w:rsid w:val="006A4320"/>
    <w:rsid w:val="0097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9258C"/>
  <w15:chartTrackingRefBased/>
  <w15:docId w15:val="{F660F5DF-C3A4-458E-A30C-EB3337AD8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CDE"/>
  </w:style>
  <w:style w:type="paragraph" w:styleId="Heading1">
    <w:name w:val="heading 1"/>
    <w:basedOn w:val="Normal"/>
    <w:next w:val="Normal"/>
    <w:link w:val="Heading1Char"/>
    <w:uiPriority w:val="9"/>
    <w:qFormat/>
    <w:rsid w:val="00976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D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 Pal</dc:creator>
  <cp:keywords/>
  <dc:description/>
  <cp:lastModifiedBy>Abha Pal</cp:lastModifiedBy>
  <cp:revision>2</cp:revision>
  <dcterms:created xsi:type="dcterms:W3CDTF">2025-12-16T07:00:00Z</dcterms:created>
  <dcterms:modified xsi:type="dcterms:W3CDTF">2025-12-16T07:01:00Z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77ce46bf-8148-40eb-abaa-596fb9bfd48a</vt:lpwstr>
  </property>
</Properties>
</file>