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Project Design Phase</w:t>
      </w:r>
    </w:p>
    <w:p>
      <w:pPr>
        <w:spacing w:after="200"/>
        <w:jc w:val="center"/>
      </w:pPr>
      <w:r>
        <w:rPr>
          <w:b/>
          <w:bCs/>
          <w:sz w:val="26"/>
          <w:szCs w:val="26"/>
        </w:rPr>
        <w:t xml:space="preserve">Proposed Solution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CE6F1" w:val="clear"/>
            <w:vAlign w:val="center"/>
          </w:tcPr>
          <w:p>
            <w:r>
              <w:rPr>
                <w:b/>
                <w:bCs/>
              </w:rPr>
              <w:t xml:space="preserve">Date</w:t>
            </w:r>
          </w:p>
        </w:tc>
        <w:tc>
          <w:tcPr>
            <w:tcW w:type="dxa" w:w="6600"/>
            <w:vAlign w:val="center"/>
          </w:tcPr>
          <w:p>
            <w:r>
              <w:t xml:space="preserve">2 May 2026</w:t>
            </w:r>
          </w:p>
        </w:tc>
      </w:tr>
      <w:tr>
        <w:tc>
          <w:tcPr>
            <w:tcW w:type="dxa" w:w="2400"/>
            <w:shd w:fill="DCE6F1" w:val="clear"/>
            <w:vAlign w:val="center"/>
          </w:tcPr>
          <w:p>
            <w:r>
              <w:rPr>
                <w:b/>
                <w:bCs/>
              </w:rPr>
              <w:t xml:space="preserve">Name</w:t>
            </w:r>
          </w:p>
        </w:tc>
        <w:tc>
          <w:tcPr>
            <w:tcW w:type="dxa" w:w="6600"/>
            <w:vAlign w:val="center"/>
          </w:tcPr>
          <w:p>
            <w:r>
              <w:t xml:space="preserve">JATYA MANASVINI SIMHADRI</w:t>
            </w:r>
          </w:p>
        </w:tc>
      </w:tr>
      <w:tr>
        <w:tc>
          <w:tcPr>
            <w:tcW w:type="dxa" w:w="2400"/>
            <w:shd w:fill="DCE6F1" w:val="clear"/>
            <w:vAlign w:val="center"/>
          </w:tcPr>
          <w:p>
            <w:r>
              <w:rPr>
                <w:b/>
                <w:bCs/>
              </w:rPr>
              <w:t xml:space="preserve">Project Name</w:t>
            </w:r>
          </w:p>
        </w:tc>
        <w:tc>
          <w:tcPr>
            <w:tcW w:type="dxa" w:w="6600"/>
            <w:vAlign w:val="center"/>
          </w:tcPr>
          <w:p>
            <w:r>
              <w:t xml:space="preserve">ShopEZ – Static Pulse 002</w:t>
            </w:r>
          </w:p>
        </w:tc>
      </w:tr>
      <w:tr>
        <w:tc>
          <w:tcPr>
            <w:tcW w:type="dxa" w:w="2400"/>
            <w:shd w:fill="DCE6F1" w:val="clear"/>
            <w:vAlign w:val="center"/>
          </w:tcPr>
          <w:p>
            <w:r>
              <w:rPr>
                <w:b/>
                <w:bCs/>
              </w:rPr>
              <w:t xml:space="preserve">Maximum Marks</w:t>
            </w:r>
          </w:p>
        </w:tc>
        <w:tc>
          <w:tcPr>
            <w:tcW w:type="dxa" w:w="6600"/>
            <w:vAlign w:val="center"/>
          </w:tcPr>
          <w:p>
            <w:r>
              <w:t xml:space="preserve">2 Marks</w:t>
            </w:r>
          </w:p>
        </w:tc>
      </w:tr>
    </w:tbl>
    <w:p/>
    <w:p>
      <w:pPr>
        <w:pStyle w:val="Heading2"/>
        <w:spacing w:after="120" w:before="300"/>
      </w:pPr>
      <w:r>
        <w:rPr>
          <w:b/>
          <w:bCs/>
          <w:color w:val="1F3864"/>
        </w:rPr>
        <w:t xml:space="preserve">Proposed Solution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200"/>
      </w:tblGrid>
      <w:tr>
        <w:trPr>
          <w:tblHeader/>
        </w:trPr>
        <w:tc>
          <w:tcPr>
            <w:tcW w:type="dxa" w:w="700"/>
            <w:shd w:fill="1F3864" w:val="clear"/>
            <w:vAlign w:val="center"/>
          </w:tcPr>
          <w:p>
            <w:r>
              <w:rPr>
                <w:b/>
                <w:bCs/>
                <w:color w:val="FFFFFF"/>
                <w:sz w:val="20"/>
                <w:szCs w:val="20"/>
              </w:rPr>
              <w:t xml:space="preserve">S.No.</w:t>
            </w:r>
          </w:p>
        </w:tc>
        <w:tc>
          <w:tcPr>
            <w:tcW w:type="dxa" w:w="2100"/>
            <w:shd w:fill="1F3864" w:val="clear"/>
            <w:vAlign w:val="center"/>
          </w:tcPr>
          <w:p>
            <w:r>
              <w:rPr>
                <w:b/>
                <w:bCs/>
                <w:color w:val="FFFFFF"/>
                <w:sz w:val="20"/>
                <w:szCs w:val="20"/>
              </w:rPr>
              <w:t xml:space="preserve">Parameter</w:t>
            </w:r>
          </w:p>
        </w:tc>
        <w:tc>
          <w:tcPr>
            <w:tcW w:type="dxa" w:w="6200"/>
            <w:shd w:fill="1F3864" w:val="clear"/>
            <w:vAlign w:val="center"/>
          </w:tcPr>
          <w:p>
            <w:r>
              <w:rPr>
                <w:b/>
                <w:bCs/>
                <w:color w:val="FFFFFF"/>
                <w:sz w:val="20"/>
                <w:szCs w:val="20"/>
              </w:rPr>
              <w:t xml:space="preserve">Description</w:t>
            </w:r>
          </w:p>
        </w:tc>
      </w:tr>
      <w:tr>
        <w:tc>
          <w:tcPr>
            <w:tcW w:type="dxa" w:w="700"/>
            <w:shd w:fill="FFFFFF" w:val="clear"/>
            <w:vAlign w:val="center"/>
          </w:tcPr>
          <w:p>
            <w:r>
              <w:rPr>
                <w:sz w:val="20"/>
                <w:szCs w:val="20"/>
              </w:rPr>
              <w:t xml:space="preserve">1.</w:t>
            </w:r>
          </w:p>
        </w:tc>
        <w:tc>
          <w:tcPr>
            <w:tcW w:type="dxa" w:w="2100"/>
            <w:shd w:fill="FFFFFF" w:val="clear"/>
            <w:vAlign w:val="center"/>
          </w:tcPr>
          <w:p>
            <w:r>
              <w:rPr>
                <w:sz w:val="20"/>
                <w:szCs w:val="20"/>
              </w:rPr>
              <w:t xml:space="preserve">Problem Statement
(Problem to be solved)</w:t>
            </w:r>
          </w:p>
        </w:tc>
        <w:tc>
          <w:tcPr>
            <w:tcW w:type="dxa" w:w="6200"/>
            <w:shd w:fill="FFFFFF" w:val="clear"/>
            <w:vAlign w:val="center"/>
          </w:tcPr>
          <w:p>
            <w:r>
              <w:rPr>
                <w:sz w:val="20"/>
                <w:szCs w:val="20"/>
              </w:rPr>
              <w:t xml:space="preserve">Fashion-forward shoppers who follow Y2K and grunge aesthetics struggle to find online stores whose look matches the products, and most platforms hide discount and reward eligibility until checkout, leaving customers unsure whether they are getting a fair deal.</w:t>
            </w:r>
          </w:p>
        </w:tc>
      </w:tr>
      <w:tr>
        <w:tc>
          <w:tcPr>
            <w:tcW w:type="dxa" w:w="700"/>
            <w:shd w:fill="F2F2F2" w:val="clear"/>
            <w:vAlign w:val="center"/>
          </w:tcPr>
          <w:p>
            <w:r>
              <w:rPr>
                <w:sz w:val="20"/>
                <w:szCs w:val="20"/>
              </w:rPr>
              <w:t xml:space="preserve">2.</w:t>
            </w:r>
          </w:p>
        </w:tc>
        <w:tc>
          <w:tcPr>
            <w:tcW w:type="dxa" w:w="2100"/>
            <w:shd w:fill="F2F2F2" w:val="clear"/>
            <w:vAlign w:val="center"/>
          </w:tcPr>
          <w:p>
            <w:r>
              <w:rPr>
                <w:sz w:val="20"/>
                <w:szCs w:val="20"/>
              </w:rPr>
              <w:t xml:space="preserve">Idea / Solution
description</w:t>
            </w:r>
          </w:p>
        </w:tc>
        <w:tc>
          <w:tcPr>
            <w:tcW w:type="dxa" w:w="6200"/>
            <w:shd w:fill="F2F2F2" w:val="clear"/>
            <w:vAlign w:val="center"/>
          </w:tcPr>
          <w:p>
            <w:r>
              <w:rPr>
                <w:sz w:val="20"/>
                <w:szCs w:val="20"/>
              </w:rPr>
              <w:t xml:space="preserve">ShopEZ – Static Pulse 002 is a MERN stack e-commerce platform with a Y2K cyber-grunge interface, category-based browsing (Jackets, Tops, Bottoms, Accessories, Footwear), wishlist support, a transparent tiered coupon system, a free reward item on larger orders, secure JWT/bcrypt authentication, and a dedicated admin dashboard for managing products, orders, and revenue analytics.</w:t>
            </w:r>
          </w:p>
        </w:tc>
      </w:tr>
      <w:tr>
        <w:tc>
          <w:tcPr>
            <w:tcW w:type="dxa" w:w="700"/>
            <w:shd w:fill="FFFFFF" w:val="clear"/>
            <w:vAlign w:val="center"/>
          </w:tcPr>
          <w:p>
            <w:r>
              <w:rPr>
                <w:sz w:val="20"/>
                <w:szCs w:val="20"/>
              </w:rPr>
              <w:t xml:space="preserve">3.</w:t>
            </w:r>
          </w:p>
        </w:tc>
        <w:tc>
          <w:tcPr>
            <w:tcW w:type="dxa" w:w="2100"/>
            <w:shd w:fill="FFFFFF" w:val="clear"/>
            <w:vAlign w:val="center"/>
          </w:tcPr>
          <w:p>
            <w:r>
              <w:rPr>
                <w:sz w:val="20"/>
                <w:szCs w:val="20"/>
              </w:rPr>
              <w:t xml:space="preserve">Novelty /
Uniqueness</w:t>
            </w:r>
          </w:p>
        </w:tc>
        <w:tc>
          <w:tcPr>
            <w:tcW w:type="dxa" w:w="6200"/>
            <w:shd w:fill="FFFFFF" w:val="clear"/>
            <w:vAlign w:val="center"/>
          </w:tcPr>
          <w:p>
            <w:r>
              <w:rPr>
                <w:sz w:val="20"/>
                <w:szCs w:val="20"/>
              </w:rPr>
              <w:t xml:space="preserve">Combines a distinctive, aesthetic-first Y2K/cyber-grunge visual identity with fully transparent, rule-based discounting and rewards — rather than the generic, template-driven storefronts and opaque checkout pricing typical of small-scale e-commerce platforms.</w:t>
            </w:r>
          </w:p>
        </w:tc>
      </w:tr>
      <w:tr>
        <w:tc>
          <w:tcPr>
            <w:tcW w:type="dxa" w:w="700"/>
            <w:shd w:fill="F2F2F2" w:val="clear"/>
            <w:vAlign w:val="center"/>
          </w:tcPr>
          <w:p>
            <w:r>
              <w:rPr>
                <w:sz w:val="20"/>
                <w:szCs w:val="20"/>
              </w:rPr>
              <w:t xml:space="preserve">4.</w:t>
            </w:r>
          </w:p>
        </w:tc>
        <w:tc>
          <w:tcPr>
            <w:tcW w:type="dxa" w:w="2100"/>
            <w:shd w:fill="F2F2F2" w:val="clear"/>
            <w:vAlign w:val="center"/>
          </w:tcPr>
          <w:p>
            <w:r>
              <w:rPr>
                <w:sz w:val="20"/>
                <w:szCs w:val="20"/>
              </w:rPr>
              <w:t xml:space="preserve">Social Impact /
Customer Satisfaction</w:t>
            </w:r>
          </w:p>
        </w:tc>
        <w:tc>
          <w:tcPr>
            <w:tcW w:type="dxa" w:w="6200"/>
            <w:shd w:fill="F2F2F2" w:val="clear"/>
            <w:vAlign w:val="center"/>
          </w:tcPr>
          <w:p>
            <w:r>
              <w:rPr>
                <w:sz w:val="20"/>
                <w:szCs w:val="20"/>
              </w:rPr>
              <w:t xml:space="preserve">Gives niche/independent-style shoppers a platform that reflects their identity rather than a generic template, while giving small sellers of aesthetic-driven fashion an affordable, ready-to-deploy storefront with built-in promotional tools to encourage repeat purchases.</w:t>
            </w:r>
          </w:p>
        </w:tc>
      </w:tr>
      <w:tr>
        <w:tc>
          <w:tcPr>
            <w:tcW w:type="dxa" w:w="700"/>
            <w:shd w:fill="FFFFFF" w:val="clear"/>
            <w:vAlign w:val="center"/>
          </w:tcPr>
          <w:p>
            <w:r>
              <w:rPr>
                <w:sz w:val="20"/>
                <w:szCs w:val="20"/>
              </w:rPr>
              <w:t xml:space="preserve">5.</w:t>
            </w:r>
          </w:p>
        </w:tc>
        <w:tc>
          <w:tcPr>
            <w:tcW w:type="dxa" w:w="2100"/>
            <w:shd w:fill="FFFFFF" w:val="clear"/>
            <w:vAlign w:val="center"/>
          </w:tcPr>
          <w:p>
            <w:r>
              <w:rPr>
                <w:sz w:val="20"/>
                <w:szCs w:val="20"/>
              </w:rPr>
              <w:t xml:space="preserve">Business Model
(Revenue Model)</w:t>
            </w:r>
          </w:p>
        </w:tc>
        <w:tc>
          <w:tcPr>
            <w:tcW w:type="dxa" w:w="6200"/>
            <w:shd w:fill="FFFFFF" w:val="clear"/>
            <w:vAlign w:val="center"/>
          </w:tcPr>
          <w:p>
            <w:r>
              <w:rPr>
                <w:sz w:val="20"/>
                <w:szCs w:val="20"/>
              </w:rPr>
              <w:t xml:space="preserve">Freemium/self-hosted model: the core platform is free to deploy and use. Revenue could come from premium theme packs, hosting/deployment support, and paid customization for sellers who want a Y2K-styled storefront of their own.</w:t>
            </w:r>
          </w:p>
        </w:tc>
      </w:tr>
      <w:tr>
        <w:tc>
          <w:tcPr>
            <w:tcW w:type="dxa" w:w="700"/>
            <w:shd w:fill="F2F2F2" w:val="clear"/>
            <w:vAlign w:val="center"/>
          </w:tcPr>
          <w:p>
            <w:r>
              <w:rPr>
                <w:sz w:val="20"/>
                <w:szCs w:val="20"/>
              </w:rPr>
              <w:t xml:space="preserve">6.</w:t>
            </w:r>
          </w:p>
        </w:tc>
        <w:tc>
          <w:tcPr>
            <w:tcW w:type="dxa" w:w="2100"/>
            <w:shd w:fill="F2F2F2" w:val="clear"/>
            <w:vAlign w:val="center"/>
          </w:tcPr>
          <w:p>
            <w:r>
              <w:rPr>
                <w:sz w:val="20"/>
                <w:szCs w:val="20"/>
              </w:rPr>
              <w:t xml:space="preserve">Scalability of the
Solution</w:t>
            </w:r>
          </w:p>
        </w:tc>
        <w:tc>
          <w:tcPr>
            <w:tcW w:type="dxa" w:w="6200"/>
            <w:shd w:fill="F2F2F2" w:val="clear"/>
            <w:vAlign w:val="center"/>
          </w:tcPr>
          <w:p>
            <w:r>
              <w:rPr>
                <w:sz w:val="20"/>
                <w:szCs w:val="20"/>
              </w:rPr>
              <w:t xml:space="preserve">The modular MVC backend and MongoDB document model allow new product categories, promotional rules, and admin features to be added without restructuring existing code. Payment gateway integration and shipment tracking are planned as future, non-breaking additions.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2026-07-12T16:44:45.619Z</dcterms:created>
  <dcterms:modified xsi:type="dcterms:W3CDTF">2026-07-12T16:44:45.619Z</dcterms:modified>
</cp:coreProperties>
</file>

<file path=docProps/custom.xml><?xml version="1.0" encoding="utf-8"?>
<Properties xmlns="http://schemas.openxmlformats.org/officeDocument/2006/custom-properties" xmlns:vt="http://schemas.openxmlformats.org/officeDocument/2006/docPropsVTypes"/>
</file>