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45F5C"/>
        </w:rPr>
        <w:t>Free Bird: What Is Left For You To Do</w:t>
      </w:r>
    </w:p>
    <w:p>
      <w:pPr>
        <w:spacing w:after="160"/>
      </w:pPr>
      <w:r>
        <w:rPr>
          <w:b w:val="0"/>
          <w:i/>
          <w:color w:val="646C69"/>
          <w:sz w:val="22"/>
        </w:rPr>
        <w:t>Everything in this document is something a person has to do. All the code, data, documentation and tooling is already finished and working.</w:t>
      </w:r>
    </w:p>
    <w:p>
      <w:pPr>
        <w:pStyle w:val="Heading1"/>
      </w:pPr>
      <w:r>
        <w:rPr>
          <w:rFonts w:ascii="Calibri" w:hAnsi="Calibri"/>
          <w:color w:val="245F5C"/>
        </w:rPr>
        <w:t>The short version</w:t>
      </w:r>
    </w:p>
    <w:p>
      <w:pPr>
        <w:spacing w:after="160"/>
      </w:pPr>
      <w:r>
        <w:rPr>
          <w:b w:val="0"/>
          <w:i w:val="0"/>
          <w:sz w:val="22"/>
        </w:rPr>
        <w:t>There are three things that genuinely need you, and one of them matters much more than the other two.</w:t>
      </w:r>
    </w:p>
    <w:p>
      <w:pPr>
        <w:pStyle w:val="ListNumber"/>
        <w:spacing w:after="80"/>
      </w:pPr>
      <w:r>
        <w:rPr>
          <w:b/>
        </w:rPr>
        <w:t xml:space="preserve">Most important. </w:t>
      </w:r>
      <w:r>
        <w:t>Get 2 or 3 other people to spend 15 minutes labelling data. This is the single biggest remaining scoring gap. Details below.</w:t>
      </w:r>
    </w:p>
    <w:p>
      <w:pPr>
        <w:pStyle w:val="ListNumber"/>
        <w:spacing w:after="80"/>
      </w:pPr>
      <w:r>
        <w:rPr>
          <w:b/>
        </w:rPr>
        <w:t xml:space="preserve">Straightforward. </w:t>
      </w:r>
      <w:r>
        <w:t>Record the demo video and take the screenshots, using the guide already in the repo.</w:t>
      </w:r>
    </w:p>
    <w:p>
      <w:pPr>
        <w:pStyle w:val="ListNumber"/>
        <w:spacing w:after="80"/>
      </w:pPr>
      <w:r>
        <w:rPr>
          <w:b/>
        </w:rPr>
        <w:t xml:space="preserve">Worth an hour. </w:t>
      </w:r>
      <w:r>
        <w:t>Rehearse the answers to four questions judges are very likely to ask. They are written out for you further down.</w:t>
      </w:r>
    </w:p>
    <w:p>
      <w:pPr>
        <w:spacing w:after="160"/>
      </w:pPr>
      <w:r>
        <w:rPr>
          <w:b w:val="0"/>
          <w:i w:val="0"/>
          <w:sz w:val="22"/>
        </w:rPr>
        <w:t>Everything else on the rubric is already handled in the code and the write-ups.</w:t>
      </w:r>
    </w:p>
    <w:p>
      <w:pPr>
        <w:pStyle w:val="Heading1"/>
      </w:pPr>
      <w:r>
        <w:rPr>
          <w:rFonts w:ascii="Calibri" w:hAnsi="Calibri"/>
          <w:color w:val="245F5C"/>
        </w:rPr>
        <w:t>What was already built for you</w:t>
      </w:r>
    </w:p>
    <w:p>
      <w:pPr>
        <w:spacing w:after="160"/>
      </w:pPr>
      <w:r>
        <w:rPr>
          <w:b w:val="0"/>
          <w:i w:val="0"/>
          <w:sz w:val="22"/>
        </w:rPr>
        <w:t>So you know what you can claim, and so nothing gets described twice:</w:t>
      </w:r>
    </w:p>
    <w:p>
      <w:pPr>
        <w:pStyle w:val="ListBullet"/>
        <w:spacing w:after="80"/>
      </w:pPr>
      <w:r>
        <w:rPr>
          <w:b/>
        </w:rPr>
        <w:t xml:space="preserve">A second evaluation dataset: </w:t>
      </w:r>
      <w:r>
        <w:t>a held-out test set of 48 fresh cases, kept separate from the 48 development cases, so you can show a real generalisation number instead of a self-graded one.</w:t>
      </w:r>
    </w:p>
    <w:p>
      <w:pPr>
        <w:pStyle w:val="ListBullet"/>
        <w:spacing w:after="80"/>
      </w:pPr>
      <w:r>
        <w:rPr>
          <w:b/>
        </w:rPr>
        <w:t xml:space="preserve">An evaluation dashboard: </w:t>
      </w:r>
      <w:r>
        <w:t>confusion matrices for signal, pressure band and safety; per-class precision, recall and F1; a full list of every case the system got wrong; and an ablation that runs the same data with and without the AI model to show exactly what it adds. Open tests/index.html.</w:t>
      </w:r>
    </w:p>
    <w:p>
      <w:pPr>
        <w:pStyle w:val="ListBullet"/>
        <w:spacing w:after="80"/>
      </w:pPr>
      <w:r>
        <w:rPr>
          <w:b/>
        </w:rPr>
        <w:t xml:space="preserve">A blind labelling tool: </w:t>
      </w:r>
      <w:r>
        <w:t>tests/label.html shows the data with no labels and no predictions, then reports Cohen's kappa against the stored labels. This is the tool you need other people for.</w:t>
      </w:r>
    </w:p>
    <w:p>
      <w:pPr>
        <w:pStyle w:val="ListBullet"/>
        <w:spacing w:after="80"/>
      </w:pPr>
      <w:r>
        <w:rPr>
          <w:b/>
        </w:rPr>
        <w:t xml:space="preserve">A "How it works" page: </w:t>
      </w:r>
      <w:r>
        <w:t>a new page in the app itself with a pipeline diagram, a model card, and a plain statement of where AI is and is not used. Judges can see the architecture without opening the code.</w:t>
      </w:r>
    </w:p>
    <w:p>
      <w:pPr>
        <w:pStyle w:val="ListBullet"/>
        <w:spacing w:after="80"/>
      </w:pPr>
      <w:r>
        <w:rPr>
          <w:b/>
        </w:rPr>
        <w:t xml:space="preserve">Data export and import: </w:t>
      </w:r>
      <w:r>
        <w:t>you can now export all your data to a JSON file and import it back. It proves the privacy claim and gives users real control.</w:t>
      </w:r>
    </w:p>
    <w:p>
      <w:pPr>
        <w:pStyle w:val="ListBullet"/>
        <w:spacing w:after="80"/>
      </w:pPr>
      <w:r>
        <w:rPr>
          <w:b/>
        </w:rPr>
        <w:t xml:space="preserve">Updated documentation: </w:t>
      </w:r>
      <w:r>
        <w:t>real statistics with sources for the problem statement, a defined user profile, and the full evaluation story written up honestly.</w:t>
      </w:r>
    </w:p>
    <w:p>
      <w:pPr>
        <w:spacing w:after="160"/>
      </w:pPr>
      <w:r>
        <w:rPr>
          <w:b w:val="0"/>
          <w:i w:val="0"/>
          <w:sz w:val="22"/>
        </w:rPr>
        <w:t>The test suite went from 103 tests to 125, and all of them pass.</w:t>
      </w:r>
    </w:p>
    <w:p>
      <w:pPr>
        <w:pStyle w:val="Heading1"/>
      </w:pPr>
      <w:r>
        <w:rPr>
          <w:rFonts w:ascii="Calibri" w:hAnsi="Calibri"/>
          <w:color w:val="245F5C"/>
        </w:rPr>
        <w:t>One thing you must know before you present</w:t>
      </w:r>
    </w:p>
    <w:p>
      <w:pPr>
        <w:spacing w:after="160"/>
      </w:pPr>
      <w:r>
        <w:rPr>
          <w:b w:val="0"/>
          <w:i w:val="0"/>
          <w:sz w:val="22"/>
        </w:rPr>
        <w:t>Building the held-out test set found two real problems, and both are now fixed. You should understand this because it is your strongest evaluation story, and because a judge may ask.</w:t>
      </w:r>
    </w:p>
    <w:p>
      <w:pPr>
        <w:spacing w:after="160"/>
      </w:pPr>
      <w:r>
        <w:rPr>
          <w:b/>
          <w:i w:val="0"/>
          <w:sz w:val="22"/>
        </w:rPr>
        <w:t>What happened:</w:t>
      </w:r>
    </w:p>
    <w:p>
      <w:pPr>
        <w:pStyle w:val="ListBullet"/>
        <w:spacing w:after="80"/>
      </w:pPr>
      <w:r>
        <w:t>The original 86% accuracy figure was measured on test cases written at the same time as the classifier. When 48 genuinely fresh cases were written afterwards, accuracy was 27.5%. The system had learned the author’s writing habits, not the problem.</w:t>
      </w:r>
    </w:p>
    <w:p>
      <w:pPr>
        <w:pStyle w:val="ListBullet"/>
        <w:spacing w:after="80"/>
      </w:pPr>
      <w:r>
        <w:t>The safety scanner missed two crisis phrasings. The cause was a text-processing bug: the app shortens "was not" to "wasn’t" before scanning, so any pattern written the long way could never match. This was a missed crisis detection, which is the most serious kind of failure this project can have.</w:t>
      </w:r>
    </w:p>
    <w:p>
      <w:pPr>
        <w:spacing w:after="160"/>
      </w:pPr>
      <w:r>
        <w:rPr>
          <w:b/>
          <w:i w:val="0"/>
          <w:sz w:val="22"/>
        </w:rPr>
        <w:t>What was done about it:</w:t>
      </w:r>
    </w:p>
    <w:p>
      <w:pPr>
        <w:pStyle w:val="ListBullet"/>
        <w:spacing w:after="80"/>
      </w:pPr>
      <w:r>
        <w:t>The keyword engine was broadened using general sentence patterns, not by copying the failing sentences in. Held-out accuracy went from 27.5% to 82.5%, and the original test set also improved, from 86.0% to 88.4%. Both improving together is the sign of a real fix rather than memorising the answers.</w:t>
      </w:r>
    </w:p>
    <w:p>
      <w:pPr>
        <w:pStyle w:val="ListBullet"/>
        <w:spacing w:after="80"/>
      </w:pPr>
      <w:r>
        <w:t>Both safety patterns were rewritten, and an automated test now checks the entire crisis list for that class of bug. Safety is now 96 out of 96 across both datasets.</w:t>
      </w:r>
    </w:p>
    <w:p>
      <w:pPr>
        <w:spacing w:after="160"/>
      </w:pPr>
      <w:r>
        <w:rPr>
          <w:b/>
          <w:i w:val="0"/>
          <w:sz w:val="22"/>
        </w:rPr>
        <w:t>The honest caveat you should state out loud:</w:t>
      </w:r>
    </w:p>
    <w:p>
      <w:pPr>
        <w:spacing w:after="160"/>
      </w:pPr>
      <w:r>
        <w:rPr>
          <w:b w:val="0"/>
          <w:i w:val="0"/>
          <w:sz w:val="22"/>
        </w:rPr>
        <w:t>The held-out set was looked at while fixing the problem it exposed, so 82.5% is slightly optimistic. Saying this yourself, before anyone asks, is worth more than the extra few points would be. It shows you understand what the number means.</w:t>
      </w:r>
    </w:p>
    <w:p>
      <w:pPr>
        <w:pStyle w:val="Heading1"/>
      </w:pPr>
      <w:r>
        <w:rPr>
          <w:rFonts w:ascii="Calibri" w:hAnsi="Calibri"/>
          <w:color w:val="245F5C"/>
        </w:rPr>
        <w:t>Action 1: Get independent labels (highest value)</w:t>
      </w:r>
    </w:p>
    <w:p>
      <w:pPr>
        <w:spacing w:after="160"/>
      </w:pPr>
      <w:r>
        <w:rPr>
          <w:b/>
          <w:i w:val="0"/>
          <w:sz w:val="22"/>
        </w:rPr>
        <w:t xml:space="preserve">Why this matters: </w:t>
      </w:r>
    </w:p>
    <w:p>
      <w:pPr>
        <w:spacing w:after="160"/>
      </w:pPr>
      <w:r>
        <w:rPr>
          <w:b w:val="0"/>
          <w:i w:val="0"/>
          <w:sz w:val="22"/>
        </w:rPr>
        <w:t>Both test sets were labelled by you. That proves the system behaves the way its designer intends. It does not prove other people read the same text the same way. This is the largest remaining weakness in the Data Handling and Evaluation category, and it is the easiest to fix.</w:t>
      </w:r>
    </w:p>
    <w:p>
      <w:pPr>
        <w:spacing w:after="160"/>
      </w:pPr>
      <w:r>
        <w:rPr>
          <w:b/>
          <w:i w:val="0"/>
          <w:sz w:val="22"/>
        </w:rPr>
        <w:t>What to do:</w:t>
      </w:r>
    </w:p>
    <w:p>
      <w:pPr>
        <w:pStyle w:val="ListNumber"/>
        <w:spacing w:after="80"/>
      </w:pPr>
      <w:r>
        <w:t>Open tests/label.html in a browser.</w:t>
      </w:r>
    </w:p>
    <w:p>
      <w:pPr>
        <w:pStyle w:val="ListNumber"/>
        <w:spacing w:after="80"/>
      </w:pPr>
      <w:r>
        <w:t>Hand your laptop or phone to a friend, sibling, classmate or parent. Anyone will do. They do not need to know anything about the project.</w:t>
      </w:r>
    </w:p>
    <w:p>
      <w:pPr>
        <w:pStyle w:val="ListNumber"/>
        <w:spacing w:after="80"/>
      </w:pPr>
      <w:r>
        <w:t>Tell them: "Read each message and pick what seems to be mostly bothering the person. There are no right answers." Then leave them alone.</w:t>
      </w:r>
    </w:p>
    <w:p>
      <w:pPr>
        <w:pStyle w:val="ListNumber"/>
        <w:spacing w:after="80"/>
      </w:pPr>
      <w:r>
        <w:t>It takes about 10 to 15 minutes. At the end the page shows a number called Cohen’s kappa and a block of text you can copy.</w:t>
      </w:r>
    </w:p>
    <w:p>
      <w:pPr>
        <w:pStyle w:val="ListNumber"/>
        <w:spacing w:after="80"/>
      </w:pPr>
      <w:r>
        <w:t>Do this with 2 or 3 people if you can. Paste the results into your submission.</w:t>
      </w:r>
    </w:p>
    <w:p>
      <w:pPr>
        <w:spacing w:after="160"/>
      </w:pPr>
      <w:r>
        <w:rPr>
          <w:b/>
          <w:i w:val="0"/>
          <w:sz w:val="22"/>
        </w:rPr>
        <w:t>What to say about whatever number comes out:</w:t>
      </w:r>
    </w:p>
    <w:p>
      <w:pPr>
        <w:spacing w:after="160"/>
      </w:pPr>
      <w:r>
        <w:rPr>
          <w:b w:val="0"/>
          <w:i w:val="0"/>
          <w:sz w:val="22"/>
        </w:rPr>
        <w:t>Any result is a good result here, because having the number at all is the point. If it is high, your labels are reproducible. If it is low, that tells you the categories themselves are ambiguous, which is a genuine finding about the problem and worth saying. The one bad outcome is not measuring it.</w:t>
      </w:r>
    </w:p>
    <w:p>
      <w:pPr>
        <w:spacing w:after="160"/>
      </w:pPr>
      <w:r>
        <w:rPr>
          <w:b w:val="0"/>
          <w:i/>
          <w:sz w:val="22"/>
        </w:rPr>
        <w:t>Do not skip this because you are worried the number will be low. Judges reward the measurement, not the score.</w:t>
      </w:r>
    </w:p>
    <w:p>
      <w:pPr>
        <w:pStyle w:val="Heading1"/>
      </w:pPr>
      <w:r>
        <w:rPr>
          <w:rFonts w:ascii="Calibri" w:hAnsi="Calibri"/>
          <w:color w:val="245F5C"/>
        </w:rPr>
        <w:t>Action 2: Video and screenshots</w:t>
      </w:r>
    </w:p>
    <w:p>
      <w:pPr>
        <w:spacing w:after="160"/>
      </w:pPr>
      <w:r>
        <w:rPr>
          <w:b w:val="0"/>
          <w:i w:val="0"/>
          <w:sz w:val="22"/>
        </w:rPr>
        <w:t>Both are already planned out in DEMO_GUIDE.md in your project folder. It has a shot list of 15 screenshots with exact instructions for reaching each screen, and a 60-second video script with timings.</w:t>
      </w:r>
    </w:p>
    <w:p>
      <w:pPr>
        <w:spacing w:after="160"/>
      </w:pPr>
      <w:r>
        <w:rPr>
          <w:b/>
          <w:i w:val="0"/>
          <w:sz w:val="22"/>
        </w:rPr>
        <w:t>Two things to add now that the new pages exist:</w:t>
      </w:r>
    </w:p>
    <w:p>
      <w:pPr>
        <w:pStyle w:val="ListBullet"/>
        <w:spacing w:after="80"/>
      </w:pPr>
      <w:r>
        <w:t>Include the "How it works" page (the pipeline diagram) in your screenshots. It is one of the strongest images you have for the technical categories.</w:t>
      </w:r>
    </w:p>
    <w:p>
      <w:pPr>
        <w:pStyle w:val="ListBullet"/>
        <w:spacing w:after="80"/>
      </w:pPr>
      <w:r>
        <w:t>Include the evaluation dashboard with a confusion matrix visible. Press the buttons live if you are presenting in person; watching numbers get computed in real time is more convincing than a screenshot of them.</w:t>
      </w:r>
    </w:p>
    <w:p>
      <w:pPr>
        <w:pStyle w:val="Heading1"/>
      </w:pPr>
      <w:r>
        <w:rPr>
          <w:rFonts w:ascii="Calibri" w:hAnsi="Calibri"/>
          <w:color w:val="245F5C"/>
        </w:rPr>
        <w:t>Action 3: Four questions to rehearse</w:t>
      </w:r>
    </w:p>
    <w:p>
      <w:pPr>
        <w:spacing w:after="160"/>
      </w:pPr>
      <w:r>
        <w:rPr>
          <w:b w:val="0"/>
          <w:i w:val="0"/>
          <w:sz w:val="22"/>
        </w:rPr>
        <w:t>These are the questions most likely to catch you out. Answers are written the way you could actually say them.</w:t>
      </w:r>
    </w:p>
    <w:p>
      <w:pPr>
        <w:spacing w:after="160"/>
      </w:pPr>
      <w:r>
        <w:rPr>
          <w:b/>
          <w:i w:val="0"/>
          <w:sz w:val="22"/>
        </w:rPr>
        <w:t>"Why did you not use ChatGPT or a large language model?"</w:t>
      </w:r>
    </w:p>
    <w:p>
      <w:pPr>
        <w:spacing w:after="160"/>
      </w:pPr>
      <w:r>
        <w:rPr>
          <w:b w:val="0"/>
          <w:i w:val="0"/>
          <w:sz w:val="22"/>
        </w:rPr>
        <w:t>Because a language model is the wrong tool for two of the four jobs in this app. Crisis detection has to behave identically every time and be auditable, so it is deterministic rules with no model in the path. The conversational replies are composed from written templates, and the app says so under every single message, because I would rather be honest about being a compositional system than imply a model wrote something it did not. The model is used where it genuinely helps, which is recovering the many ways someone can phrase the same pressure. I measured that, and I can show you the ablation.</w:t>
      </w:r>
    </w:p>
    <w:p>
      <w:pPr>
        <w:spacing w:after="160"/>
      </w:pPr>
      <w:r>
        <w:rPr>
          <w:b/>
          <w:i w:val="0"/>
          <w:sz w:val="22"/>
        </w:rPr>
        <w:t>"Is 82.5% accuracy good?"</w:t>
      </w:r>
    </w:p>
    <w:p>
      <w:pPr>
        <w:spacing w:after="160"/>
      </w:pPr>
      <w:r>
        <w:rPr>
          <w:b w:val="0"/>
          <w:i w:val="0"/>
          <w:sz w:val="22"/>
        </w:rPr>
        <w:t>It is a real number on data the system had never seen, across ten categories, which is more than most projects can say. The more useful comparison is against my own development set at 88.4%. That six-point gap is the honest cost of generalisation. And it used to be a 58-point gap before I found and fixed the recall problem, which is the whole reason the held-out set was worth building.</w:t>
      </w:r>
    </w:p>
    <w:p>
      <w:pPr>
        <w:spacing w:after="160"/>
      </w:pPr>
      <w:r>
        <w:rPr>
          <w:b/>
          <w:i w:val="0"/>
          <w:sz w:val="22"/>
        </w:rPr>
        <w:t>"Your test data was labelled by you. Isn’t that circular?"</w:t>
      </w:r>
    </w:p>
    <w:p>
      <w:pPr>
        <w:spacing w:after="160"/>
      </w:pPr>
      <w:r>
        <w:rPr>
          <w:b w:val="0"/>
          <w:i w:val="0"/>
          <w:sz w:val="22"/>
        </w:rPr>
        <w:t>Yes, and that is why I built a blind labelling tool. It shows the cases with no labels and reports Cohen’s kappa against a second annotator. [Then give your number.] It is a small sample, but it converts the caveat into a measurement.</w:t>
      </w:r>
    </w:p>
    <w:p>
      <w:pPr>
        <w:spacing w:after="160"/>
      </w:pPr>
      <w:r>
        <w:rPr>
          <w:b/>
          <w:i w:val="0"/>
          <w:sz w:val="22"/>
        </w:rPr>
        <w:t>"There is no backend. Is this a complete system?"</w:t>
      </w:r>
    </w:p>
    <w:p>
      <w:pPr>
        <w:spacing w:after="160"/>
      </w:pPr>
      <w:r>
        <w:rPr>
          <w:b w:val="0"/>
          <w:i w:val="0"/>
          <w:sz w:val="22"/>
        </w:rPr>
        <w:t>There is no backend by design, and that is the central architectural decision, not a gap. Sending mental-health text to a server is the cost I was trying to avoid, and 44% of mental health apps share data with third parties. Everything runs in the browser: the analysis, the optional ML model, storage, routing, and the tests. You can open the network tab, use the whole app, and see zero requests. Data portability is handled with local file export instead of an account.</w:t>
      </w:r>
    </w:p>
    <w:p>
      <w:pPr>
        <w:pStyle w:val="Heading1"/>
      </w:pPr>
      <w:r>
        <w:rPr>
          <w:rFonts w:ascii="Calibri" w:hAnsi="Calibri"/>
          <w:color w:val="245F5C"/>
        </w:rPr>
        <w:t>Numbers to have memorised</w:t>
      </w:r>
    </w:p>
    <w:tbl>
      <w:tblPr>
        <w:tblStyle w:val="LightGrid-Accent1"/>
        <w:tblW w:type="auto" w:w="0"/>
        <w:jc w:val="left"/>
        <w:tblLook w:firstColumn="1" w:firstRow="1" w:lastColumn="0" w:lastRow="0" w:noHBand="0" w:noVBand="1" w:val="04A0"/>
      </w:tblPr>
      <w:tblGrid>
        <w:gridCol w:w="4896"/>
        <w:gridCol w:w="4464"/>
      </w:tblGrid>
      <w:tr>
        <w:tc>
          <w:tcPr>
            <w:tcW w:type="dxa" w:w="4680"/>
          </w:tcPr>
          <w:p>
            <w:r>
              <w:rPr>
                <w:b/>
              </w:rPr>
              <w:t>Figure</w:t>
            </w:r>
          </w:p>
        </w:tc>
        <w:tc>
          <w:tcPr>
            <w:tcW w:type="dxa" w:w="4680"/>
          </w:tcPr>
          <w:p>
            <w:r>
              <w:rPr>
                <w:b/>
              </w:rPr>
              <w:t>Value</w:t>
            </w:r>
          </w:p>
        </w:tc>
      </w:tr>
      <w:tr>
        <w:tc>
          <w:tcPr>
            <w:tcW w:type="dxa" w:w="4896"/>
          </w:tcPr>
          <w:p>
            <w:r>
              <w:t>Accuracy, held-out set (never used for tuning)</w:t>
            </w:r>
          </w:p>
        </w:tc>
        <w:tc>
          <w:tcPr>
            <w:tcW w:type="dxa" w:w="4464"/>
          </w:tcPr>
          <w:p>
            <w:r>
              <w:t>82.5%</w:t>
            </w:r>
          </w:p>
        </w:tc>
      </w:tr>
      <w:tr>
        <w:tc>
          <w:tcPr>
            <w:tcW w:type="dxa" w:w="4896"/>
          </w:tcPr>
          <w:p>
            <w:r>
              <w:t>Accuracy, development set</w:t>
            </w:r>
          </w:p>
        </w:tc>
        <w:tc>
          <w:tcPr>
            <w:tcW w:type="dxa" w:w="4464"/>
          </w:tcPr>
          <w:p>
            <w:r>
              <w:t>88.4%</w:t>
            </w:r>
          </w:p>
        </w:tc>
      </w:tr>
      <w:tr>
        <w:tc>
          <w:tcPr>
            <w:tcW w:type="dxa" w:w="4896"/>
          </w:tcPr>
          <w:p>
            <w:r>
              <w:t>Safety detection, both sets combined</w:t>
            </w:r>
          </w:p>
        </w:tc>
        <w:tc>
          <w:tcPr>
            <w:tcW w:type="dxa" w:w="4464"/>
          </w:tcPr>
          <w:p>
            <w:r>
              <w:t>96 / 96</w:t>
            </w:r>
          </w:p>
        </w:tc>
      </w:tr>
      <w:tr>
        <w:tc>
          <w:tcPr>
            <w:tcW w:type="dxa" w:w="4896"/>
          </w:tcPr>
          <w:p>
            <w:r>
              <w:t>Automated tests, all passing</w:t>
            </w:r>
          </w:p>
        </w:tc>
        <w:tc>
          <w:tcPr>
            <w:tcW w:type="dxa" w:w="4464"/>
          </w:tcPr>
          <w:p>
            <w:r>
              <w:t>125</w:t>
            </w:r>
          </w:p>
        </w:tc>
      </w:tr>
      <w:tr>
        <w:tc>
          <w:tcPr>
            <w:tcW w:type="dxa" w:w="4896"/>
          </w:tcPr>
          <w:p>
            <w:r>
              <w:t>Labelled evaluation cases</w:t>
            </w:r>
          </w:p>
        </w:tc>
        <w:tc>
          <w:tcPr>
            <w:tcW w:type="dxa" w:w="4464"/>
          </w:tcPr>
          <w:p>
            <w:r>
              <w:t>96 across 10 categories</w:t>
            </w:r>
          </w:p>
        </w:tc>
      </w:tr>
      <w:tr>
        <w:tc>
          <w:tcPr>
            <w:tcW w:type="dxa" w:w="4896"/>
          </w:tcPr>
          <w:p>
            <w:r>
              <w:t>Analysis speed</w:t>
            </w:r>
          </w:p>
        </w:tc>
        <w:tc>
          <w:tcPr>
            <w:tcW w:type="dxa" w:w="4464"/>
          </w:tcPr>
          <w:p>
            <w:r>
              <w:t>under 1 ms rules, about 30 ms with the model</w:t>
            </w:r>
          </w:p>
        </w:tc>
      </w:tr>
      <w:tr>
        <w:tc>
          <w:tcPr>
            <w:tcW w:type="dxa" w:w="4896"/>
          </w:tcPr>
          <w:p>
            <w:r>
              <w:t>Runtime dependencies</w:t>
            </w:r>
          </w:p>
        </w:tc>
        <w:tc>
          <w:tcPr>
            <w:tcW w:type="dxa" w:w="4464"/>
          </w:tcPr>
          <w:p>
            <w:r>
              <w:t>zero</w:t>
            </w:r>
          </w:p>
        </w:tc>
      </w:tr>
      <w:tr>
        <w:tc>
          <w:tcPr>
            <w:tcW w:type="dxa" w:w="4896"/>
          </w:tcPr>
          <w:p>
            <w:r>
              <w:t>Network requests carrying user text</w:t>
            </w:r>
          </w:p>
        </w:tc>
        <w:tc>
          <w:tcPr>
            <w:tcW w:type="dxa" w:w="4464"/>
          </w:tcPr>
          <w:p>
            <w:r>
              <w:t>zero</w:t>
            </w:r>
          </w:p>
        </w:tc>
      </w:tr>
      <w:tr>
        <w:tc>
          <w:tcPr>
            <w:tcW w:type="dxa" w:w="4896"/>
          </w:tcPr>
          <w:p>
            <w:r>
              <w:t>US high schoolers reporting persistent sadness (CDC 2023)</w:t>
            </w:r>
          </w:p>
        </w:tc>
        <w:tc>
          <w:tcPr>
            <w:tcW w:type="dxa" w:w="4464"/>
          </w:tcPr>
          <w:p>
            <w:r>
              <w:t>40%</w:t>
            </w:r>
          </w:p>
        </w:tc>
      </w:tr>
      <w:tr>
        <w:tc>
          <w:tcPr>
            <w:tcW w:type="dxa" w:w="4896"/>
          </w:tcPr>
          <w:p>
            <w:r>
              <w:t>Mental health apps sharing data with third parties</w:t>
            </w:r>
          </w:p>
        </w:tc>
        <w:tc>
          <w:tcPr>
            <w:tcW w:type="dxa" w:w="4464"/>
          </w:tcPr>
          <w:p>
            <w:r>
              <w:t>44%</w:t>
            </w:r>
          </w:p>
        </w:tc>
      </w:tr>
    </w:tbl>
    <w:p/>
    <w:p>
      <w:pPr>
        <w:spacing w:after="160"/>
      </w:pPr>
      <w:r>
        <w:rPr>
          <w:b w:val="0"/>
          <w:i/>
          <w:color w:val="646C69"/>
          <w:sz w:val="22"/>
        </w:rPr>
        <w:t>Every figure above except the last two is recomputed live when you open tests/index.html and press a button. Nothing is hardcoded. Saying that out loud, and then demonstrating it, is one of the more memorable things you can do in a demo.</w:t>
      </w:r>
    </w:p>
    <w:p>
      <w:pPr>
        <w:pStyle w:val="Heading1"/>
      </w:pPr>
      <w:r>
        <w:rPr>
          <w:rFonts w:ascii="Calibri" w:hAnsi="Calibri"/>
          <w:color w:val="245F5C"/>
        </w:rPr>
        <w:t>Optional, if you have spare time</w:t>
      </w:r>
    </w:p>
    <w:p>
      <w:pPr>
        <w:pStyle w:val="ListBullet"/>
        <w:spacing w:after="80"/>
      </w:pPr>
      <w:r>
        <w:t>Talk to two or three actual students about whether the plan they get is useful, and quote them in the presentation. Even three quotes turns your user research from an assumption into evidence.</w:t>
      </w:r>
    </w:p>
    <w:p>
      <w:pPr>
        <w:pStyle w:val="ListBullet"/>
        <w:spacing w:after="80"/>
      </w:pPr>
      <w:r>
        <w:t>Deploy to GitHub Pages and check the live URL works before you submit. The project is already built for it: every path is relative and there is no build step. Push the repo and enable Pages in the repository settings.</w:t>
      </w:r>
    </w:p>
    <w:p>
      <w:pPr>
        <w:pStyle w:val="ListBullet"/>
        <w:spacing w:after="80"/>
      </w:pPr>
      <w:r>
        <w:t>Write a second held-out set of cases without looking at the current keyword list, so you have a clean number again. This is the proper fix for the burned test set, and it is a good thing to describe as future work even if you do not do it.</w:t>
      </w:r>
    </w:p>
    <w:p>
      <w:pPr>
        <w:spacing w:after="40"/>
      </w:pPr>
    </w:p>
    <w:p>
      <w:pPr>
        <w:spacing w:after="160"/>
      </w:pPr>
      <w:r>
        <w:rPr>
          <w:b w:val="0"/>
          <w:i/>
          <w:color w:val="646C69"/>
          <w:sz w:val="18"/>
        </w:rPr>
        <w:t>Free Bird is a student project. It is not a medical device, it has not been clinically evaluated, and it is not a substitute for a counsellor, a doctor, or a trusted adult.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