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9"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Summary statistics of these curves are mostly limited to the Pearson Correlation Coefficient, which is insufficient to fully test the for linearity. In addition, spreadsheet software only allow the analyst to repetitively plot, view and analyse the linearity of curves one at a time, a tedious and time-consuming process. While plotting of many curves at once and calculation of additional summary statistics for assessing linearity of curves can be done using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6"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The documentation and tutorials can be accessed from</w:t>
      </w:r>
      <w:r>
        <w:t xml:space="preserve"> </w:t>
      </w:r>
      <w:hyperlink r:id="rId24">
        <w:r>
          <w:rPr>
            <w:rStyle w:val="Hyperlink"/>
          </w:rPr>
          <w:t xml:space="preserve">https://slinghub.github.io/lancer/</w:t>
        </w:r>
      </w:hyperlink>
      <w:r>
        <w:t xml:space="preserve">.</w:t>
      </w:r>
    </w:p>
    <w:p>
      <w:pPr>
        <w:pStyle w:val="BodyText"/>
      </w:pPr>
      <w:r>
        <w:t xml:space="preserve">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26"/>
    <w:bookmarkStart w:id="27"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7"/>
    <w:bookmarkStart w:id="28" w:name="issue-section"/>
    <w:p>
      <w:pPr>
        <w:pStyle w:val="Heading2"/>
      </w:pPr>
      <w:r>
        <w:t xml:space="preserve">Issue Section</w:t>
      </w:r>
    </w:p>
    <w:p>
      <w:pPr>
        <w:pStyle w:val="FirstParagraph"/>
      </w:pPr>
      <w:r>
        <w:t xml:space="preserve">Data and text mining</w:t>
      </w:r>
    </w:p>
    <w:p>
      <w:r>
        <w:br w:type="page"/>
      </w:r>
    </w:p>
    <w:bookmarkEnd w:id="28"/>
    <w:bookmarkEnd w:id="29"/>
    <w:bookmarkStart w:id="34"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w:t>
      </w:r>
    </w:p>
    <w:p>
      <w:pPr>
        <w:pStyle w:val="BodyText"/>
      </w:pPr>
      <w:r>
        <w:t xml:space="preserve">Visual inspection of curves is useful but must be accompanied by statistical tests as decision parameters. A commonly used test is the Pearson Correlation Coefficient. However,</w:t>
      </w:r>
      <w:r>
        <w:t xml:space="preserve"> </w:t>
      </w:r>
      <w:r>
        <w:t xml:space="preserve">Sonnergaard (2006)</w:t>
      </w:r>
      <w:r>
        <w:t xml:space="preserve"> </w:t>
      </w:r>
      <w:r>
        <w:t xml:space="preserve">suggests that it is an ineffective standalone numeric parameter for accessing linearity. While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 Furthermore, using spreadsheet software to individually plot numerous curves is time-consuming. While R (</w:t>
      </w:r>
      <w:r>
        <w:t xml:space="preserve">R Core Team (2022)</w:t>
      </w:r>
      <w:r>
        <w:t xml:space="preserve">) can plot numerous curve easily, it is hard to implement for a novice analyst.</w:t>
      </w:r>
    </w:p>
    <w:p>
      <w:pPr>
        <w:pStyle w:val="BodyText"/>
      </w:pPr>
      <w:r>
        <w:t xml:space="preserve">The R package</w:t>
      </w:r>
      <w:r>
        <w:t xml:space="preserve"> </w:t>
      </w:r>
      <w:r>
        <w:rPr>
          <w:iCs/>
          <w:i/>
        </w:rPr>
        <w:t xml:space="preserve">lancer</w:t>
      </w:r>
      <w:r>
        <w:t xml:space="preserve"> </w:t>
      </w:r>
      <w:r>
        <w:t xml:space="preserve">addresses these issues by assisting analysts with useful functions to plot many curves with additional metrics that better describe the curves’ characteristics.</w:t>
      </w:r>
      <w:r>
        <w:t xml:space="preserve"> </w:t>
      </w:r>
      <w:hyperlink w:anchor="fig-visualisation">
        <w:r>
          <w:rPr>
            <w:rStyle w:val="Hyperlink"/>
          </w:rPr>
          <w:t xml:space="preserve">Fig. 1</w:t>
        </w:r>
      </w:hyperlink>
      <w:r>
        <w:t xml:space="preserve"> </w:t>
      </w:r>
      <w:r>
        <w:t xml:space="preserve">shows that</w:t>
      </w:r>
      <w:r>
        <w:t xml:space="preserve"> </w:t>
      </w:r>
      <w:r>
        <w:rPr>
          <w:iCs/>
          <w:i/>
        </w:rPr>
        <w:t xml:space="preserve">lancer</w:t>
      </w:r>
      <w:r>
        <w:t xml:space="preserve"> </w:t>
      </w:r>
      <w:r>
        <w:t xml:space="preserve">also provides an interactive viewer to group, filter and sort the curves, for examination of problematic cases, such as curves generated by saturated signals.</w:t>
      </w:r>
    </w:p>
    <w:tbl>
      <w:tblPr>
        <w:tblStyle w:val="Table"/>
        <w:tblW w:type="pct" w:w="5000"/>
        <w:tblLook w:firstRow="0" w:lastRow="0" w:firstColumn="0" w:lastColumn="0" w:noHBand="0" w:noVBand="0" w:val="0000"/>
      </w:tblPr>
      <w:tblGrid>
        <w:gridCol w:w="7920"/>
      </w:tblGrid>
      <w:tr>
        <w:tc>
          <w:tcPr/>
          <w:bookmarkStart w:id="33" w:name="fig-visualisation"/>
          <w:p>
            <w:pPr>
              <w:pStyle w:val="Figure"/>
              <w:jc w:val="center"/>
            </w:pPr>
            <w:r>
              <w:drawing>
                <wp:inline>
                  <wp:extent cx="5334000" cy="4635209"/>
                  <wp:effectExtent b="0" l="0" r="0" t="0"/>
                  <wp:docPr descr="" title="" id="31" name="Picture"/>
                  <a:graphic>
                    <a:graphicData uri="http://schemas.openxmlformats.org/drawingml/2006/picture">
                      <pic:pic>
                        <pic:nvPicPr>
                          <pic:cNvPr descr="images/README-TrellisOutput.png" id="32" name="Picture"/>
                          <pic:cNvPicPr>
                            <a:picLocks noChangeArrowheads="1" noChangeAspect="1"/>
                          </pic:cNvPicPr>
                        </pic:nvPicPr>
                        <pic:blipFill>
                          <a:blip r:embed="rId30"/>
                          <a:stretch>
                            <a:fillRect/>
                          </a:stretch>
                        </pic:blipFill>
                        <pic:spPr bwMode="auto">
                          <a:xfrm>
                            <a:off x="0" y="0"/>
                            <a:ext cx="5334000" cy="4635209"/>
                          </a:xfrm>
                          <a:prstGeom prst="rect">
                            <a:avLst/>
                          </a:prstGeom>
                          <a:noFill/>
                          <a:ln w="9525">
                            <a:noFill/>
                            <a:headEnd/>
                            <a:tailEnd/>
                          </a:ln>
                        </pic:spPr>
                      </pic:pic>
                    </a:graphicData>
                  </a:graphic>
                </wp:inline>
              </w:drawing>
            </w:r>
          </w:p>
          <w:p>
            <w:pPr>
              <w:jc w:val="center"/>
            </w:pPr>
            <w:pPr>
              <w:jc w:val="start"/>
              <w:spacing w:before="200"/>
              <w:pStyle w:val="ImageCaption"/>
            </w:pPr>
            <w:r>
              <w:t xml:space="preserve">Fig. 1.</w:t>
            </w:r>
            <w:r>
              <w:t xml:space="preserve"> </w:t>
            </w:r>
            <w:r>
              <w:rPr>
                <w:iCs/>
                <w:i/>
              </w:rPr>
              <w:t xml:space="preserve">lancer</w:t>
            </w:r>
            <w:r>
              <w:t xml:space="preserve">’s interactive visualisation of curves</w:t>
            </w:r>
          </w:p>
          <w:bookmarkEnd w:id="33"/>
        </w:tc>
      </w:tr>
    </w:tbl>
    <w:bookmarkEnd w:id="34"/>
    <w:bookmarkStart w:id="39"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are merged into one table (Curve Table) via</w:t>
      </w:r>
      <w:r>
        <w:t xml:space="preserve"> </w:t>
      </w:r>
      <w:r>
        <w:rPr>
          <w:rStyle w:val="VerbatimChar"/>
        </w:rPr>
        <w:t xml:space="preserve">create_curve_table</w:t>
      </w:r>
      <w:r>
        <w:t xml:space="preserve">.</w:t>
      </w:r>
    </w:p>
    <w:p>
      <w:pPr>
        <w:pStyle w:val="BodyText"/>
      </w:pPr>
      <w:r>
        <w:t xml:space="preserve">Next, each curve’s summary statistics are calculated via</w:t>
      </w:r>
      <w:r>
        <w:t xml:space="preserve"> </w:t>
      </w:r>
      <w:r>
        <w:rPr>
          <w:rStyle w:val="VerbatimChar"/>
        </w:rPr>
        <w:t xml:space="preserve">summarise_curve_table</w:t>
      </w:r>
      <w:r>
        <w:t xml:space="prese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35"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35"/>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6"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6"/>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non-linear curves with a plateau at high and low concentrations, denoted as saturation and noise regime curve respectively as defined by</w:t>
      </w:r>
      <w:r>
        <w:t xml:space="preserve"> </w:t>
      </w:r>
      <w:r>
        <w:t xml:space="preserve">Galitzine</w:t>
      </w:r>
      <w:r>
        <w:t xml:space="preserve"> </w:t>
      </w:r>
      <w:r>
        <w:rPr>
          <w:iCs/>
          <w:i/>
        </w:rPr>
        <w:t xml:space="preserve">et al.</w:t>
      </w:r>
      <w:r>
        <w:t xml:space="preserve"> </w:t>
      </w:r>
      <w:r>
        <w:t xml:space="preserve">(2018)</w:t>
      </w:r>
      <w:r>
        <w:t xml:space="preserve">.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 Supplementary Figure 3. Workflow 1 uses the Pearson Correlation Coefficient and Percent Residual Accuracy to determine if the curve is linear or not, labelled as Good or Poor Linearity respectively. Workflow 2 goes one step further, using Mandel’s Fitting Test and the fitted quadratic model’s concavity to label a non-linear curve as Saturation or Noise Regime, if it plateaus at high or low concentrations respectively. Non-linear curves that do not follow these trends are then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non-linear curves that plateau at high and low concentrations (labelled as Saturation and Noise Regime respectively). Supplementary Figure 4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7">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interface can generate a better overview.</w:t>
      </w:r>
      <w:r>
        <w:t xml:space="preserve"> </w:t>
      </w:r>
      <w:hyperlink w:anchor="fig-visualisation">
        <w:r>
          <w:rPr>
            <w:rStyle w:val="Hyperlink"/>
          </w:rPr>
          <w:t xml:space="preserve">Fig. 1</w:t>
        </w:r>
      </w:hyperlink>
      <w:r>
        <w:t xml:space="preserve"> </w:t>
      </w:r>
      <w:r>
        <w:t xml:space="preserve">shows a HTML folder, exported by</w:t>
      </w:r>
      <w:r>
        <w:t xml:space="preserve"> </w:t>
      </w:r>
      <w:r>
        <w:rPr>
          <w:iCs/>
          <w:i/>
        </w:rPr>
        <w:t xml:space="preserve">lancer</w:t>
      </w:r>
      <w:r>
        <w:t xml:space="preserve">. Clicking on the</w:t>
      </w:r>
      <w:r>
        <w:t xml:space="preserve"> </w:t>
      </w:r>
      <w:r>
        <w:rPr>
          <w:rStyle w:val="VerbatimChar"/>
        </w:rPr>
        <w:t xml:space="preserve">index.html</w:t>
      </w:r>
      <w:r>
        <w:t xml:space="preserve"> </w:t>
      </w:r>
      <w:r>
        <w:t xml:space="preserve">file inside the folder opens an interactive plot that can group, filter and sort curves. This allows room for exploratory data analysis, such as identifying curves with linearity issues or understanding the consequence of changing the Pearson Correlation Coefficient threshold to another value. Such information is hard to achieve with static plots alone. An interactive viewer example created by</w:t>
      </w:r>
      <w:r>
        <w:t xml:space="preserve"> </w:t>
      </w:r>
      <w:r>
        <w:rPr>
          <w:iCs/>
          <w:i/>
        </w:rPr>
        <w:t xml:space="preserve">lancer</w:t>
      </w:r>
      <w:r>
        <w:t xml:space="preserve"> </w:t>
      </w:r>
      <w:r>
        <w:t xml:space="preserve">can be found at</w:t>
      </w:r>
      <w:r>
        <w:t xml:space="preserve"> </w:t>
      </w:r>
      <w:hyperlink r:id="rId38">
        <w:r>
          <w:rPr>
            <w:rStyle w:val="Hyperlink"/>
          </w:rPr>
          <w:t xml:space="preserve">https://lancer-interactive-example.netlify.app</w:t>
        </w:r>
      </w:hyperlink>
    </w:p>
    <w:bookmarkEnd w:id="39"/>
    <w:bookmarkStart w:id="41" w:name="conclusion"/>
    <w:p>
      <w:pPr>
        <w:pStyle w:val="Heading1"/>
      </w:pPr>
      <w:r>
        <w:t xml:space="preserve">Conclusion</w:t>
      </w:r>
    </w:p>
    <w:p>
      <w:pPr>
        <w:pStyle w:val="FirstParagraph"/>
      </w:pPr>
      <w:r>
        <w:t xml:space="preserve">Linearity is one of the most important parameter of an analytical method to be evaluated. Our R package,</w:t>
      </w:r>
      <w:r>
        <w:t xml:space="preserve"> </w:t>
      </w:r>
      <w:r>
        <w:rPr>
          <w:iCs/>
          <w:i/>
        </w:rPr>
        <w:t xml:space="preserve">lancer</w:t>
      </w:r>
      <w:r>
        <w:t xml:space="preserve">, can access linearity efficiently using functions that quickly plot and report curve summary statistics, which better describe the shape of the curve. It also provides an interactive plot for exploratory data analysis.</w:t>
      </w:r>
      <w:r>
        <w:t xml:space="preserve"> </w:t>
      </w: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w:t>
      </w:r>
      <w:r>
        <w:t xml:space="preserve">while the documentation and tutorials can be accessed from</w:t>
      </w:r>
      <w:r>
        <w:t xml:space="preserve"> </w:t>
      </w:r>
      <w:hyperlink r:id="rId40">
        <w:r>
          <w:rPr>
            <w:rStyle w:val="Hyperlink"/>
          </w:rPr>
          <w:t xml:space="preserve">https://slinghub.github.io/lancer</w:t>
        </w:r>
      </w:hyperlink>
      <w:r>
        <w:t xml:space="preserve">. 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41"/>
    <w:bookmarkStart w:id="4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2"/>
    <w:bookmarkStart w:id="43"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3"/>
    <w:bookmarkStart w:id="71" w:name="references"/>
    <w:p>
      <w:pPr>
        <w:pStyle w:val="Heading1"/>
      </w:pPr>
      <w:r>
        <w:t xml:space="preserve">References</w:t>
      </w:r>
    </w:p>
    <w:bookmarkStart w:id="70" w:name="refs"/>
    <w:bookmarkStart w:id="45" w:name="ref-andrade2013"/>
    <w:p>
      <w:pPr>
        <w:pStyle w:val="Bibliography"/>
      </w:pPr>
      <w:r>
        <w:t xml:space="preserve">Andrade,J.M. and Gómez-Carracedo,M.P. (2013)</w:t>
      </w:r>
      <w:r>
        <w:t xml:space="preserve"> </w:t>
      </w:r>
      <w:hyperlink r:id="rId4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5"/>
    <w:bookmarkStart w:id="4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7"/>
    <w:bookmarkStart w:id="49" w:name="ref-galitzine2018"/>
    <w:p>
      <w:pPr>
        <w:pStyle w:val="Bibliography"/>
      </w:pPr>
      <w:r>
        <w:t xml:space="preserve">Galitzine,C.</w:t>
      </w:r>
      <w:r>
        <w:t xml:space="preserve"> </w:t>
      </w:r>
      <w:r>
        <w:rPr>
          <w:iCs/>
          <w:i/>
        </w:rPr>
        <w:t xml:space="preserve">et al.</w:t>
      </w:r>
      <w:r>
        <w:t xml:space="preserve"> </w:t>
      </w:r>
      <w:r>
        <w:t xml:space="preserve">(2018)</w:t>
      </w:r>
      <w:r>
        <w:t xml:space="preserve"> </w:t>
      </w:r>
      <w:hyperlink r:id="rId48">
        <w:r>
          <w:rPr>
            <w:rStyle w:val="Hyperlink"/>
          </w:rPr>
          <w:t xml:space="preserve">Nonlinear Regression Improves Accuracy of Characterization of Multiplexed Mass Spectrometric Assays</w:t>
        </w:r>
      </w:hyperlink>
      <w:r>
        <w:t xml:space="preserve">.</w:t>
      </w:r>
      <w:r>
        <w:t xml:space="preserve"> </w:t>
      </w:r>
      <w:r>
        <w:rPr>
          <w:iCs/>
          <w:i/>
        </w:rPr>
        <w:t xml:space="preserve">Molecular &amp; Cellular Proteomics</w:t>
      </w:r>
      <w:r>
        <w:t xml:space="preserve">,</w:t>
      </w:r>
      <w:r>
        <w:t xml:space="preserve"> </w:t>
      </w:r>
      <w:r>
        <w:rPr>
          <w:bCs/>
          <w:b/>
        </w:rPr>
        <w:t xml:space="preserve">17</w:t>
      </w:r>
      <w:r>
        <w:t xml:space="preserve">, 913–924.</w:t>
      </w:r>
    </w:p>
    <w:bookmarkEnd w:id="49"/>
    <w:bookmarkStart w:id="51" w:name="ref-hsieh2008"/>
    <w:p>
      <w:pPr>
        <w:pStyle w:val="Bibliography"/>
      </w:pPr>
      <w:r>
        <w:t xml:space="preserve">Hsieh,E. and Liu,J. (2008)</w:t>
      </w:r>
      <w:r>
        <w:t xml:space="preserve"> </w:t>
      </w:r>
      <w:hyperlink r:id="rId50">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51"/>
    <w:bookmarkStart w:id="53" w:name="ref-logue2018"/>
    <w:p>
      <w:pPr>
        <w:pStyle w:val="Bibliography"/>
      </w:pPr>
      <w:r>
        <w:t xml:space="preserve">Logue,B.A. and Manandhar,E. (2018)</w:t>
      </w:r>
      <w:r>
        <w:t xml:space="preserve"> </w:t>
      </w:r>
      <w:hyperlink r:id="rId5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3"/>
    <w:bookmarkStart w:id="55" w:name="ref-rprogramming"/>
    <w:p>
      <w:pPr>
        <w:pStyle w:val="Bibliography"/>
      </w:pPr>
      <w:r>
        <w:t xml:space="preserve">R Core Team (2022)</w:t>
      </w:r>
      <w:r>
        <w:t xml:space="preserve"> </w:t>
      </w:r>
      <w:hyperlink r:id="rId54">
        <w:r>
          <w:rPr>
            <w:rStyle w:val="Hyperlink"/>
          </w:rPr>
          <w:t xml:space="preserve">R: A language and environment for statistical computing</w:t>
        </w:r>
      </w:hyperlink>
      <w:r>
        <w:t xml:space="preserve"> </w:t>
      </w:r>
      <w:r>
        <w:t xml:space="preserve">R Foundation for Statistical Computing, Vienna, Austria.</w:t>
      </w:r>
    </w:p>
    <w:bookmarkEnd w:id="55"/>
    <w:bookmarkStart w:id="57"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6">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7"/>
    <w:bookmarkStart w:id="59" w:name="ref-ross2003"/>
    <w:p>
      <w:pPr>
        <w:pStyle w:val="Bibliography"/>
      </w:pPr>
      <w:r>
        <w:t xml:space="preserve">Ross,H.A. and Sweep,C.G.J. (2003)</w:t>
      </w:r>
      <w:r>
        <w:t xml:space="preserve"> </w:t>
      </w:r>
      <w:hyperlink r:id="rId58">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9"/>
    <w:bookmarkStart w:id="61" w:name="ref-sanchez2021"/>
    <w:p>
      <w:pPr>
        <w:pStyle w:val="Bibliography"/>
      </w:pPr>
      <w:r>
        <w:t xml:space="preserve">Sanchez,J.M. (2021)</w:t>
      </w:r>
      <w:r>
        <w:t xml:space="preserve"> </w:t>
      </w:r>
      <w:hyperlink r:id="rId60">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1"/>
    <w:bookmarkStart w:id="63"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2">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3"/>
    <w:bookmarkStart w:id="65" w:name="ref-sonnergaard2006"/>
    <w:p>
      <w:pPr>
        <w:pStyle w:val="Bibliography"/>
      </w:pPr>
      <w:r>
        <w:t xml:space="preserve">Sonnergaard,J.M. (2006)</w:t>
      </w:r>
      <w:r>
        <w:t xml:space="preserve"> </w:t>
      </w:r>
      <w:hyperlink r:id="rId64">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5"/>
    <w:bookmarkStart w:id="67"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6">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7"/>
    <w:bookmarkStart w:id="69" w:name="ref-y.h.chan2003"/>
    <w:p>
      <w:pPr>
        <w:pStyle w:val="Bibliography"/>
      </w:pPr>
      <w:r>
        <w:t xml:space="preserve">Y. H. Chan (2003)</w:t>
      </w:r>
      <w:r>
        <w:t xml:space="preserve"> </w:t>
      </w:r>
      <w:hyperlink r:id="rId68">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2023-01-27T15:47:19Z</dcterms:created>
  <dcterms:modified xsi:type="dcterms:W3CDTF">2023-01-27T15:47:19Z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