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lancer</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9"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instrumentation and experimental procedures. Linearity can be tested by applying several graphical and numerical approaches. Summary statistics of these curves are mostly limited to the Pearson Correlation Coefficient, which is insufficient to fully test the for linearity. In addition, spreadsheet software only allow the analyst to repetitively plot, view and analyse the linearity of curves one at a time, a tedious and time-consuming process. While plotting of many curves at once and calculation of additional summary statistics for assessing linearity of curves can be done using R, implementing this from scratch can be arduous task for the analyst. As such, we created the R package</w:t>
      </w:r>
      <w:r>
        <w:t xml:space="preserve"> </w:t>
      </w:r>
      <w:r>
        <w:rPr>
          <w:iCs/>
          <w:i/>
        </w:rPr>
        <w:t xml:space="preserve">lancer</w:t>
      </w:r>
      <w:r>
        <w:t xml:space="preserve"> </w:t>
      </w:r>
      <w:r>
        <w:t xml:space="preserve">so that curves can be analysed efficiently with a few functions. To our knowledge, this is currently not implemented in other software or programming languages.</w:t>
      </w:r>
      <w:r>
        <w:t xml:space="preserve"> </w:t>
      </w:r>
      <w:r>
        <w:rPr>
          <w:iCs/>
          <w:i/>
        </w:rPr>
        <w:t xml:space="preserve">lancer</w:t>
      </w:r>
      <w:r>
        <w:t xml:space="preserve"> </w:t>
      </w:r>
      <w:r>
        <w:t xml:space="preserve">furthermore reports the statistical results in tables/spreadsheets and records the plots in a pdf file. In addition,</w:t>
      </w:r>
      <w:r>
        <w:t xml:space="preserve"> </w:t>
      </w:r>
      <w:r>
        <w:rPr>
          <w:iCs/>
          <w:i/>
        </w:rPr>
        <w:t xml:space="preserve">lancer</w:t>
      </w:r>
      <w:r>
        <w:t xml:space="preserve"> </w:t>
      </w:r>
      <w:r>
        <w:t xml:space="preserve">can also create interactive trellis plots, displayed as a HTML folder, for exploratory analysis, helping analysts when dealing with large datasets.</w:t>
      </w:r>
    </w:p>
    <w:bookmarkEnd w:id="21"/>
    <w:bookmarkStart w:id="26" w:name="availability-and-implementation"/>
    <w:p>
      <w:pPr>
        <w:pStyle w:val="Heading2"/>
      </w:pPr>
      <w:r>
        <w:t xml:space="preserve">Availability and implementation</w:t>
      </w:r>
    </w:p>
    <w:p>
      <w:pPr>
        <w:pStyle w:val="FirstParagraph"/>
      </w:pPr>
      <w:r>
        <w:rPr>
          <w:iCs/>
          <w:i/>
        </w:rPr>
        <w:t xml:space="preserve">lancer</w:t>
      </w:r>
      <w:r>
        <w:t xml:space="preserve"> </w:t>
      </w:r>
      <w:r>
        <w:t xml:space="preserve">is available on GitHub</w:t>
      </w:r>
      <w:r>
        <w:t xml:space="preserve"> </w:t>
      </w:r>
      <w:hyperlink r:id="rId22">
        <w:r>
          <w:rPr>
            <w:rStyle w:val="Hyperlink"/>
          </w:rPr>
          <w:t xml:space="preserve">https://github.com/SLINGhub/lancer</w:t>
        </w:r>
      </w:hyperlink>
      <w:r>
        <w:t xml:space="preserve"> </w:t>
      </w:r>
      <w:r>
        <w:t xml:space="preserve">and figshare</w:t>
      </w:r>
      <w:r>
        <w:t xml:space="preserve"> </w:t>
      </w:r>
      <w:hyperlink r:id="rId23">
        <w:r>
          <w:rPr>
            <w:rStyle w:val="Hyperlink"/>
          </w:rPr>
          <w:t xml:space="preserve">https://doi.org/10.6084/m9.figshare.21966896</w:t>
        </w:r>
      </w:hyperlink>
      <w:r>
        <w:t xml:space="preserve">. The documentation and tutorials can be accessed from</w:t>
      </w:r>
      <w:r>
        <w:t xml:space="preserve"> </w:t>
      </w:r>
      <w:hyperlink r:id="rId24">
        <w:r>
          <w:rPr>
            <w:rStyle w:val="Hyperlink"/>
          </w:rPr>
          <w:t xml:space="preserve">https://slinghub.github.io/lancer/</w:t>
        </w:r>
      </w:hyperlink>
      <w:r>
        <w:t xml:space="preserve">.</w:t>
      </w:r>
    </w:p>
    <w:p>
      <w:pPr>
        <w:pStyle w:val="BodyText"/>
      </w:pPr>
      <w:r>
        <w:t xml:space="preserve">The Quarto scripts for the web links underlying this article are available on figshare at</w:t>
      </w:r>
      <w:r>
        <w:t xml:space="preserve"> </w:t>
      </w:r>
      <w:hyperlink r:id="rId25">
        <w:r>
          <w:rPr>
            <w:rStyle w:val="Hyperlink"/>
          </w:rPr>
          <w:t xml:space="preserve">https://doi.org/10.6084/m9.figshare.21965324</w:t>
        </w:r>
      </w:hyperlink>
      <w:r>
        <w:t xml:space="preserve">.</w:t>
      </w:r>
    </w:p>
    <w:bookmarkEnd w:id="26"/>
    <w:bookmarkStart w:id="27"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7"/>
    <w:bookmarkStart w:id="28" w:name="issue-section"/>
    <w:p>
      <w:pPr>
        <w:pStyle w:val="Heading2"/>
      </w:pPr>
      <w:r>
        <w:t xml:space="preserve">Issue Section</w:t>
      </w:r>
    </w:p>
    <w:p>
      <w:pPr>
        <w:pStyle w:val="FirstParagraph"/>
      </w:pPr>
      <w:r>
        <w:t xml:space="preserve">Data and text mining</w:t>
      </w:r>
    </w:p>
    <w:p>
      <w:r>
        <w:br w:type="page"/>
      </w:r>
    </w:p>
    <w:bookmarkEnd w:id="28"/>
    <w:bookmarkEnd w:id="29"/>
    <w:bookmarkStart w:id="34" w:name="introduction"/>
    <w:p>
      <w:pPr>
        <w:pStyle w:val="Heading1"/>
      </w:pPr>
      <w:r>
        <w:t xml:space="preserve">Introduction</w:t>
      </w:r>
    </w:p>
    <w:p>
      <w:pPr>
        <w:pStyle w:val="FirstParagraph"/>
      </w:pPr>
      <w:r>
        <w:t xml:space="preserve">Linearity assessment is an important performance test of an analytical instrument or method when a linear response is assumed. It is applied in many fields in analytical sciences, such as assay development (</w:t>
      </w:r>
      <w:r>
        <w:t xml:space="preserve">Ross and Sweep (2003)</w:t>
      </w:r>
      <w:r>
        <w:t xml:space="preserve"> </w:t>
      </w:r>
      <w:r>
        <w:t xml:space="preserve">and</w:t>
      </w:r>
      <w:r>
        <w:t xml:space="preserve"> </w:t>
      </w:r>
      <w:r>
        <w:t xml:space="preserve">Hsieh and Liu (2008)</w:t>
      </w:r>
      <w:r>
        <w:t xml:space="preserve">), calibration/dilution studies (</w:t>
      </w:r>
      <w:r>
        <w:t xml:space="preserve">Rodríguez</w:t>
      </w:r>
      <w:r>
        <w:t xml:space="preserve"> </w:t>
      </w:r>
      <w:r>
        <w:rPr>
          <w:iCs/>
          <w:i/>
        </w:rPr>
        <w:t xml:space="preserve">et al.</w:t>
      </w:r>
      <w:r>
        <w:t xml:space="preserve"> </w:t>
      </w:r>
      <w:r>
        <w:t xml:space="preserve">(1993)</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and laboratory tests. After analysis, curves representing response values versus concentration are plotted for each analyte of interest. As the accuracy of an analytical method is linked to linearity, a non-linear behaviour must be recognized and addressed accordingly.</w:t>
      </w:r>
    </w:p>
    <w:p>
      <w:pPr>
        <w:pStyle w:val="BodyText"/>
      </w:pPr>
      <w:r>
        <w:t xml:space="preserve">Visual inspection of curves is useful but must be accompanied by statistical tests as decision parameters. A commonly used test is the Pearson Correlation Coefficient. However,</w:t>
      </w:r>
      <w:r>
        <w:t xml:space="preserve"> </w:t>
      </w:r>
      <w:r>
        <w:t xml:space="preserve">Sonnergaard (2006)</w:t>
      </w:r>
      <w:r>
        <w:t xml:space="preserve"> </w:t>
      </w:r>
      <w:r>
        <w:t xml:space="preserve">suggests that it is an ineffective standalone numeric parameter for accessing linearity. While</w:t>
      </w:r>
      <w:r>
        <w:t xml:space="preserve"> </w:t>
      </w:r>
      <w:r>
        <w:t xml:space="preserve">Van Loco</w:t>
      </w:r>
      <w:r>
        <w:t xml:space="preserve"> </w:t>
      </w:r>
      <w:r>
        <w:rPr>
          <w:iCs/>
          <w:i/>
        </w:rPr>
        <w:t xml:space="preserve">et al.</w:t>
      </w:r>
      <w:r>
        <w:t xml:space="preserve"> </w:t>
      </w:r>
      <w:r>
        <w:t xml:space="preserve">(2002)</w:t>
      </w:r>
      <w:r>
        <w:t xml:space="preserve">,</w:t>
      </w:r>
      <w:r>
        <w:t xml:space="preserve"> </w:t>
      </w:r>
      <w:r>
        <w:t xml:space="preserve">Sanchez (2021)</w:t>
      </w:r>
      <w:r>
        <w:t xml:space="preserve"> </w:t>
      </w:r>
      <w:r>
        <w:t xml:space="preserve">and</w:t>
      </w:r>
      <w:r>
        <w:t xml:space="preserve"> </w:t>
      </w:r>
      <w:r>
        <w:t xml:space="preserve">Logue and Manandhar (2018)</w:t>
      </w:r>
      <w:r>
        <w:t xml:space="preserve"> </w:t>
      </w:r>
      <w:r>
        <w:t xml:space="preserve">have indicated other metrics for linearity evaluation, these metrics are generally not implemented in most software. Furthermore, using spreadsheet software to individually plot numerous curves is time-consuming. While R (</w:t>
      </w:r>
      <w:r>
        <w:t xml:space="preserve">R Core Team (2022)</w:t>
      </w:r>
      <w:r>
        <w:t xml:space="preserve">) can plot numerous curve easily, it is hard to implement for a novice analyst.</w:t>
      </w:r>
    </w:p>
    <w:p>
      <w:pPr>
        <w:pStyle w:val="BodyText"/>
      </w:pPr>
      <w:r>
        <w:t xml:space="preserve">The R package</w:t>
      </w:r>
      <w:r>
        <w:t xml:space="preserve"> </w:t>
      </w:r>
      <w:r>
        <w:rPr>
          <w:iCs/>
          <w:i/>
        </w:rPr>
        <w:t xml:space="preserve">lancer</w:t>
      </w:r>
      <w:r>
        <w:t xml:space="preserve"> </w:t>
      </w:r>
      <w:r>
        <w:t xml:space="preserve">addresses these issues by assisting analysts with useful functions to plot many curves with additional metrics that better describe the curves’ characteristics.</w:t>
      </w:r>
      <w:r>
        <w:t xml:space="preserve"> </w:t>
      </w:r>
      <w:hyperlink w:anchor="fig-visualisation">
        <w:r>
          <w:rPr>
            <w:rStyle w:val="Hyperlink"/>
          </w:rPr>
          <w:t xml:space="preserve">Fig. 1</w:t>
        </w:r>
      </w:hyperlink>
      <w:r>
        <w:t xml:space="preserve"> </w:t>
      </w:r>
      <w:r>
        <w:t xml:space="preserve">shows that</w:t>
      </w:r>
      <w:r>
        <w:t xml:space="preserve"> </w:t>
      </w:r>
      <w:r>
        <w:rPr>
          <w:iCs/>
          <w:i/>
        </w:rPr>
        <w:t xml:space="preserve">lancer</w:t>
      </w:r>
      <w:r>
        <w:t xml:space="preserve"> </w:t>
      </w:r>
      <w:r>
        <w:t xml:space="preserve">also provides an interactive viewer to group, filter and sort the curves, for examination of problematic cases, such as curves generated by saturated signals.</w:t>
      </w:r>
    </w:p>
    <w:tbl>
      <w:tblPr>
        <w:tblStyle w:val="Table"/>
        <w:tblW w:type="pct" w:w="5000"/>
        <w:tblLook w:firstRow="0" w:lastRow="0" w:firstColumn="0" w:lastColumn="0" w:noHBand="0" w:noVBand="0" w:val="0000"/>
      </w:tblPr>
      <w:tblGrid>
        <w:gridCol w:w="7920"/>
      </w:tblGrid>
      <w:tr>
        <w:tc>
          <w:tcPr/>
          <w:bookmarkStart w:id="33" w:name="fig-visualisation"/>
          <w:p>
            <w:pPr>
              <w:pStyle w:val="Figure"/>
              <w:jc w:val="center"/>
            </w:pPr>
            <w:r>
              <w:drawing>
                <wp:inline>
                  <wp:extent cx="5334000" cy="4635209"/>
                  <wp:effectExtent b="0" l="0" r="0" t="0"/>
                  <wp:docPr descr="" title="" id="31" name="Picture"/>
                  <a:graphic>
                    <a:graphicData uri="http://schemas.openxmlformats.org/drawingml/2006/picture">
                      <pic:pic>
                        <pic:nvPicPr>
                          <pic:cNvPr descr="images/README-TrellisOutput.png" id="32" name="Picture"/>
                          <pic:cNvPicPr>
                            <a:picLocks noChangeArrowheads="1" noChangeAspect="1"/>
                          </pic:cNvPicPr>
                        </pic:nvPicPr>
                        <pic:blipFill>
                          <a:blip r:embed="rId30"/>
                          <a:stretch>
                            <a:fillRect/>
                          </a:stretch>
                        </pic:blipFill>
                        <pic:spPr bwMode="auto">
                          <a:xfrm>
                            <a:off x="0" y="0"/>
                            <a:ext cx="5334000" cy="4635209"/>
                          </a:xfrm>
                          <a:prstGeom prst="rect">
                            <a:avLst/>
                          </a:prstGeom>
                          <a:noFill/>
                          <a:ln w="9525">
                            <a:noFill/>
                            <a:headEnd/>
                            <a:tailEnd/>
                          </a:ln>
                        </pic:spPr>
                      </pic:pic>
                    </a:graphicData>
                  </a:graphic>
                </wp:inline>
              </w:drawing>
            </w:r>
          </w:p>
          <w:p>
            <w:pPr>
              <w:jc w:val="center"/>
            </w:pPr>
            <w:pPr>
              <w:jc w:val="start"/>
              <w:spacing w:before="200"/>
              <w:pStyle w:val="ImageCaption"/>
            </w:pPr>
            <w:r>
              <w:t xml:space="preserve">Fig. 1.</w:t>
            </w:r>
            <w:r>
              <w:t xml:space="preserve"> </w:t>
            </w:r>
            <w:r>
              <w:rPr>
                <w:iCs/>
                <w:i/>
              </w:rPr>
              <w:t xml:space="preserve">lancer</w:t>
            </w:r>
            <w:r>
              <w:t xml:space="preserve">’s interactive visualisation of curves</w:t>
            </w:r>
          </w:p>
          <w:bookmarkEnd w:id="33"/>
        </w:tc>
      </w:tr>
    </w:tbl>
    <w:bookmarkEnd w:id="34"/>
    <w:bookmarkStart w:id="39" w:name="approach"/>
    <w:p>
      <w:pPr>
        <w:pStyle w:val="Heading1"/>
      </w:pPr>
      <w:r>
        <w:t xml:space="preserve">Approach</w:t>
      </w:r>
    </w:p>
    <w:p>
      <w:pPr>
        <w:pStyle w:val="FirstParagraph"/>
      </w:pPr>
      <w:r>
        <w:t xml:space="preserve">Using response curves in metabolomic/lipidomic studies from</w:t>
      </w:r>
      <w:r>
        <w:t xml:space="preserve"> </w:t>
      </w:r>
      <w:r>
        <w:t xml:space="preserve">Croixmarie</w:t>
      </w:r>
      <w:r>
        <w:t xml:space="preserve"> </w:t>
      </w:r>
      <w:r>
        <w:rPr>
          <w:iCs/>
          <w:i/>
        </w:rPr>
        <w:t xml:space="preserve">et al.</w:t>
      </w:r>
      <w:r>
        <w:t xml:space="preserve"> </w:t>
      </w:r>
      <w:r>
        <w:t xml:space="preserve">(2009)</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w:t>
      </w:r>
      <w:r>
        <w:t xml:space="preserve">as an example, Supplementary Figure 1 depicts the workflow of</w:t>
      </w:r>
      <w:r>
        <w:t xml:space="preserve"> </w:t>
      </w:r>
      <w:r>
        <w:rPr>
          <w:iCs/>
          <w:i/>
        </w:rPr>
        <w:t xml:space="preserve">lancer</w:t>
      </w:r>
      <w:r>
        <w:t xml:space="preserve">. The workflow starts with two tables:</w:t>
      </w:r>
    </w:p>
    <w:p>
      <w:pPr>
        <w:numPr>
          <w:ilvl w:val="0"/>
          <w:numId w:val="1001"/>
        </w:numPr>
        <w:pStyle w:val="Compact"/>
      </w:pPr>
      <w:r>
        <w:t xml:space="preserve">Curve Batch Annotation, describing the curve(s), such as concentration (x-axis) and response curve batches, if any.</w:t>
      </w:r>
    </w:p>
    <w:p>
      <w:pPr>
        <w:numPr>
          <w:ilvl w:val="0"/>
          <w:numId w:val="1001"/>
        </w:numPr>
        <w:pStyle w:val="Compact"/>
      </w:pPr>
      <w:r>
        <w:t xml:space="preserve">Curve Signal Data, containing response values (y-axis) for each sample and curve.</w:t>
      </w:r>
    </w:p>
    <w:p>
      <w:pPr>
        <w:pStyle w:val="FirstParagraph"/>
      </w:pPr>
      <w:r>
        <w:t xml:space="preserve">Using a common column Sample Name, the two tables are merged into one table (Curve Table) via</w:t>
      </w:r>
      <w:r>
        <w:t xml:space="preserve"> </w:t>
      </w:r>
      <w:r>
        <w:rPr>
          <w:rStyle w:val="VerbatimChar"/>
        </w:rPr>
        <w:t xml:space="preserve">create_curve_table</w:t>
      </w:r>
      <w:r>
        <w:t xml:space="preserve">.</w:t>
      </w:r>
    </w:p>
    <w:p>
      <w:pPr>
        <w:pStyle w:val="BodyText"/>
      </w:pPr>
      <w:r>
        <w:t xml:space="preserve">Next, each curve’s summary statistics are calculated via</w:t>
      </w:r>
      <w:r>
        <w:t xml:space="preserve"> </w:t>
      </w:r>
      <w:r>
        <w:rPr>
          <w:rStyle w:val="VerbatimChar"/>
        </w:rPr>
        <w:t xml:space="preserve">summarise_curve_table</w:t>
      </w:r>
      <w:r>
        <w:t xml:space="preserve">. Besides the Pearson Correlation Coefficient, an additional statistical test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as described by</w:t>
      </w:r>
      <w:r>
        <w:t xml:space="preserve"> </w:t>
      </w:r>
      <w:r>
        <w:t xml:space="preserve">Andrade and Gómez-Carracedo (2013)</w:t>
      </w:r>
      <w:r>
        <w:t xml:space="preserve">. The</w:t>
      </w:r>
      <w:r>
        <w:t xml:space="preserve"> </w:t>
      </w:r>
      <m:oMath>
        <m:r>
          <m:t>F</m:t>
        </m:r>
      </m:oMath>
      <w:r>
        <w:t xml:space="preserve"> </w:t>
      </w:r>
      <w:r>
        <w:t xml:space="preserve">test can give evidence that a quadratic model fits better than a linear model, indicating a non-linear curve.</w:t>
      </w:r>
    </w:p>
    <w:p>
      <w:pPr>
        <w:pStyle w:val="BodyText"/>
      </w:pPr>
      <w:bookmarkStart w:id="35"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35"/>
    </w:p>
    <w:p>
      <w:pPr>
        <w:pStyle w:val="FirstParagraph"/>
      </w:pPr>
      <w:r>
        <w:t xml:space="preserve">Another statistical test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according to which a perfectly linear curve gives a</w:t>
      </w:r>
      <w:r>
        <w:t xml:space="preserve"> </w:t>
      </w:r>
      <m:oMath>
        <m:r>
          <m:rPr>
            <m:sty m:val="p"/>
          </m:rPr>
          <m:t>%</m:t>
        </m:r>
        <m:r>
          <m:t>R</m:t>
        </m:r>
        <m:r>
          <m:t>A</m:t>
        </m:r>
      </m:oMath>
      <w:r>
        <w:t xml:space="preserve"> </w:t>
      </w:r>
      <w:r>
        <w:t xml:space="preserve">value of</w:t>
      </w:r>
      <w:r>
        <w:t xml:space="preserve"> </w:t>
      </w:r>
      <m:oMath>
        <m:r>
          <m:t>100</m:t>
        </m:r>
      </m:oMath>
      <w:r>
        <w:t xml:space="preserve">.</w:t>
      </w:r>
    </w:p>
    <w:p>
      <w:pPr>
        <w:pStyle w:val="BodyText"/>
      </w:pPr>
      <w:bookmarkStart w:id="36"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6"/>
    </w:p>
    <w:p>
      <w:pPr>
        <w:pStyle w:val="FirstParagraph"/>
      </w:pPr>
      <w:r>
        <w:t xml:space="preserve">The software also calculates the concavity of the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simulated curves as examples, where one curve is linear and two non-linear curves with a plateau at high and low concentrations, denoted as saturation and noise regime curve respectively as defined by</w:t>
      </w:r>
      <w:r>
        <w:t xml:space="preserve"> </w:t>
      </w:r>
      <w:r>
        <w:t xml:space="preserve">Galitzine</w:t>
      </w:r>
      <w:r>
        <w:t xml:space="preserve"> </w:t>
      </w:r>
      <w:r>
        <w:rPr>
          <w:iCs/>
          <w:i/>
        </w:rPr>
        <w:t xml:space="preserve">et al.</w:t>
      </w:r>
      <w:r>
        <w:t xml:space="preserve"> </w:t>
      </w:r>
      <w:r>
        <w:t xml:space="preserve">(2018)</w:t>
      </w:r>
      <w:r>
        <w:t xml:space="preserve">.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non-linear curves. However, non-linear curves are detected by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w:t>
      </w:r>
      <w:r>
        <w:t xml:space="preserve">for the linear curve) and Percent Residual Accuracy values (</w:t>
      </w:r>
      <w:r>
        <w:rPr>
          <w:rStyle w:val="VerbatimChar"/>
        </w:rPr>
        <w:t xml:space="preserve">pra_linear</w:t>
      </w:r>
      <w:r>
        <w:t xml:space="prese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 </w:t>
      </w:r>
      <w:r>
        <w:t xml:space="preserve">for the linear curve).</w:t>
      </w:r>
    </w:p>
    <w:p>
      <w:pPr>
        <w:pStyle w:val="BodyText"/>
      </w:pPr>
      <w:r>
        <w:t xml:space="preserve">After calculating the summary statistics for each curve,</w:t>
      </w:r>
      <w:r>
        <w:t xml:space="preserve"> </w:t>
      </w:r>
      <w:r>
        <w:rPr>
          <w:iCs/>
          <w:i/>
        </w:rPr>
        <w:t xml:space="preserve">lancer</w:t>
      </w:r>
      <w:r>
        <w:t xml:space="preserve"> </w:t>
      </w:r>
      <w:r>
        <w:t xml:space="preserve">uses the function</w:t>
      </w:r>
      <w:r>
        <w:t xml:space="preserve"> </w:t>
      </w:r>
      <w:r>
        <w:rPr>
          <w:rStyle w:val="VerbatimChar"/>
        </w:rPr>
        <w:t xml:space="preserve">evaluate_linearity</w:t>
      </w:r>
      <w:r>
        <w:t xml:space="preserve"> </w:t>
      </w:r>
      <w:r>
        <w:t xml:space="preserve">to group the curves according to the workflows proposed in Supplementary Figure 3. Workflow 1 uses the Pearson Correlation Coefficient and Percent Residual Accuracy to determine if the curve is linear or not, labelled as Good or Poor Linearity respectively. Workflow 2 goes one step further, using Mandel’s Fitting Test and the fitted quadratic model’s concavity to label a non-linear curve as Saturation or Noise Regime, if it plateaus at high or low concentrations respectively. Non-linear curves that do not follow these trends are then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non-linear curves that plateau at high and low concentrations (labelled as Saturation and Noise Regime respectively). Supplementary Figure 4 shows that Workflow 2 better identifies the saturation and noise regime curves than the benchmark workflow. While Workflow 2 correctly classifies a lower number of linear curves than the benchmark workflow, its percentage of correctly classified linear curves, 181/200 (90.5%), is high. See</w:t>
      </w:r>
      <w:r>
        <w:t xml:space="preserve"> </w:t>
      </w:r>
      <w:hyperlink r:id="rId37">
        <w:r>
          <w:rPr>
            <w:rStyle w:val="Hyperlink"/>
          </w:rPr>
          <w:t xml:space="preserve">https://lancer-simulation.netlify.app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they remain subjective and arbitrary. Nevertheless,</w:t>
      </w:r>
      <w:r>
        <w:t xml:space="preserve"> </w:t>
      </w:r>
      <w:r>
        <w:rPr>
          <w:iCs/>
          <w:i/>
        </w:rPr>
        <w:t xml:space="preserve">lancer</w:t>
      </w:r>
      <w:r>
        <w:t xml:space="preserve"> </w:t>
      </w:r>
      <w:r>
        <w:t xml:space="preserve">allows optimization of these threshold values according to the analyst’s preference.</w:t>
      </w:r>
    </w:p>
    <w:p>
      <w:pPr>
        <w:pStyle w:val="BodyText"/>
      </w:pPr>
      <w:r>
        <w:t xml:space="preserve">Although</w:t>
      </w:r>
      <w:r>
        <w:t xml:space="preserve"> </w:t>
      </w:r>
      <w:r>
        <w:rPr>
          <w:iCs/>
          <w:i/>
        </w:rPr>
        <w:t xml:space="preserve">lancer</w:t>
      </w:r>
      <w:r>
        <w:t xml:space="preserve"> </w:t>
      </w:r>
      <w:r>
        <w:t xml:space="preserve">can export the results in Excel or pdf, an interactive interface can generate a better overview.</w:t>
      </w:r>
      <w:r>
        <w:t xml:space="preserve"> </w:t>
      </w:r>
      <w:hyperlink w:anchor="fig-visualisation">
        <w:r>
          <w:rPr>
            <w:rStyle w:val="Hyperlink"/>
          </w:rPr>
          <w:t xml:space="preserve">Fig. 1</w:t>
        </w:r>
      </w:hyperlink>
      <w:r>
        <w:t xml:space="preserve"> </w:t>
      </w:r>
      <w:r>
        <w:t xml:space="preserve">shows a HTML folder, exported by</w:t>
      </w:r>
      <w:r>
        <w:t xml:space="preserve"> </w:t>
      </w:r>
      <w:r>
        <w:rPr>
          <w:iCs/>
          <w:i/>
        </w:rPr>
        <w:t xml:space="preserve">lancer</w:t>
      </w:r>
      <w:r>
        <w:t xml:space="preserve">. Clicking on the</w:t>
      </w:r>
      <w:r>
        <w:t xml:space="preserve"> </w:t>
      </w:r>
      <w:r>
        <w:rPr>
          <w:rStyle w:val="VerbatimChar"/>
        </w:rPr>
        <w:t xml:space="preserve">index.html</w:t>
      </w:r>
      <w:r>
        <w:t xml:space="preserve"> </w:t>
      </w:r>
      <w:r>
        <w:t xml:space="preserve">file inside the folder opens an interactive plot that can group, filter and sort curves. This allows room for exploratory data analysis, such as identifying curves with linearity issues or understanding the consequence of changing the Pearson Correlation Coefficient threshold to another value. Such information is hard to achieve with static plots alone. An interactive viewer example created by</w:t>
      </w:r>
      <w:r>
        <w:t xml:space="preserve"> </w:t>
      </w:r>
      <w:r>
        <w:rPr>
          <w:iCs/>
          <w:i/>
        </w:rPr>
        <w:t xml:space="preserve">lancer</w:t>
      </w:r>
      <w:r>
        <w:t xml:space="preserve"> </w:t>
      </w:r>
      <w:r>
        <w:t xml:space="preserve">can be found at</w:t>
      </w:r>
      <w:r>
        <w:t xml:space="preserve"> </w:t>
      </w:r>
      <w:hyperlink r:id="rId38">
        <w:r>
          <w:rPr>
            <w:rStyle w:val="Hyperlink"/>
          </w:rPr>
          <w:t xml:space="preserve">https://lancer-interactive-example.netlify.app</w:t>
        </w:r>
      </w:hyperlink>
      <w:r>
        <w:t xml:space="preserve">.</w:t>
      </w:r>
    </w:p>
    <w:bookmarkEnd w:id="39"/>
    <w:bookmarkStart w:id="41" w:name="conclusion"/>
    <w:p>
      <w:pPr>
        <w:pStyle w:val="Heading1"/>
      </w:pPr>
      <w:r>
        <w:t xml:space="preserve">Conclusion</w:t>
      </w:r>
    </w:p>
    <w:p>
      <w:pPr>
        <w:pStyle w:val="FirstParagraph"/>
      </w:pPr>
      <w:r>
        <w:t xml:space="preserve">Linearity is one of the most important parameter of an analytical method to be evaluated. Our R package,</w:t>
      </w:r>
      <w:r>
        <w:t xml:space="preserve"> </w:t>
      </w:r>
      <w:r>
        <w:rPr>
          <w:iCs/>
          <w:i/>
        </w:rPr>
        <w:t xml:space="preserve">lancer</w:t>
      </w:r>
      <w:r>
        <w:t xml:space="preserve">, can access linearity efficiently using functions that quickly plot and report curve summary statistics, which better describe the shape of the curve. It also provides an interactive plot for exploratory data analysis.</w:t>
      </w:r>
      <w:r>
        <w:t xml:space="preserve"> </w:t>
      </w:r>
      <w:r>
        <w:rPr>
          <w:iCs/>
          <w:i/>
        </w:rPr>
        <w:t xml:space="preserve">lancer</w:t>
      </w:r>
      <w:r>
        <w:t xml:space="preserve"> </w:t>
      </w:r>
      <w:r>
        <w:t xml:space="preserve">is available on GitHub</w:t>
      </w:r>
      <w:r>
        <w:t xml:space="preserve"> </w:t>
      </w:r>
      <w:hyperlink r:id="rId22">
        <w:r>
          <w:rPr>
            <w:rStyle w:val="Hyperlink"/>
          </w:rPr>
          <w:t xml:space="preserve">https://github.com/SLINGhub/lancer</w:t>
        </w:r>
      </w:hyperlink>
      <w:r>
        <w:t xml:space="preserve"> </w:t>
      </w:r>
      <w:r>
        <w:t xml:space="preserve">and figshare</w:t>
      </w:r>
      <w:r>
        <w:t xml:space="preserve"> </w:t>
      </w:r>
      <w:hyperlink r:id="rId23">
        <w:r>
          <w:rPr>
            <w:rStyle w:val="Hyperlink"/>
          </w:rPr>
          <w:t xml:space="preserve">https://doi.org/10.6084/m9.figshare.21966896</w:t>
        </w:r>
      </w:hyperlink>
      <w:r>
        <w:t xml:space="preserve"> </w:t>
      </w:r>
      <w:r>
        <w:t xml:space="preserve">while the documentation and tutorials can be accessed from</w:t>
      </w:r>
      <w:r>
        <w:t xml:space="preserve"> </w:t>
      </w:r>
      <w:hyperlink r:id="rId40">
        <w:r>
          <w:rPr>
            <w:rStyle w:val="Hyperlink"/>
          </w:rPr>
          <w:t xml:space="preserve">https://slinghub.github.io/lancer</w:t>
        </w:r>
      </w:hyperlink>
      <w:r>
        <w:t xml:space="preserve">. The Quarto scripts for the web links underlying this article are available on figshare at</w:t>
      </w:r>
      <w:r>
        <w:t xml:space="preserve"> </w:t>
      </w:r>
      <w:hyperlink r:id="rId25">
        <w:r>
          <w:rPr>
            <w:rStyle w:val="Hyperlink"/>
          </w:rPr>
          <w:t xml:space="preserve">https://doi.org/10.6084/m9.figshare.21965324</w:t>
        </w:r>
      </w:hyperlink>
      <w:r>
        <w:t xml:space="preserve">.</w:t>
      </w:r>
    </w:p>
    <w:bookmarkEnd w:id="41"/>
    <w:bookmarkStart w:id="42"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2"/>
    <w:bookmarkStart w:id="43" w:name="funding"/>
    <w:p>
      <w:pPr>
        <w:pStyle w:val="Heading1"/>
      </w:pPr>
      <w:r>
        <w:t xml:space="preserve">Funding</w:t>
      </w:r>
    </w:p>
    <w:p>
      <w:pPr>
        <w:pStyle w:val="FirstParagraph"/>
      </w:pPr>
      <w:r>
        <w:t xml:space="preserve">The following rules should be followed:</w:t>
      </w:r>
    </w:p>
    <w:p>
      <w:pPr>
        <w:numPr>
          <w:ilvl w:val="0"/>
          <w:numId w:val="1002"/>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2"/>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2"/>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2"/>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2"/>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2"/>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3"/>
    <w:bookmarkStart w:id="71" w:name="references"/>
    <w:p>
      <w:pPr>
        <w:pStyle w:val="Heading1"/>
      </w:pPr>
      <w:r>
        <w:t xml:space="preserve">References</w:t>
      </w:r>
    </w:p>
    <w:bookmarkStart w:id="70" w:name="refs"/>
    <w:bookmarkStart w:id="45" w:name="ref-andrade2013"/>
    <w:p>
      <w:pPr>
        <w:pStyle w:val="Bibliography"/>
      </w:pPr>
      <w:r>
        <w:t xml:space="preserve">Andrade,J.M. and Gómez-Carracedo,M.P. (2013)</w:t>
      </w:r>
      <w:r>
        <w:t xml:space="preserve"> </w:t>
      </w:r>
      <w:hyperlink r:id="rId44">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5"/>
    <w:bookmarkStart w:id="47" w:name="ref-croixmarie2009"/>
    <w:p>
      <w:pPr>
        <w:pStyle w:val="Bibliography"/>
      </w:pPr>
      <w:r>
        <w:t xml:space="preserve">Croixmarie,V.</w:t>
      </w:r>
      <w:r>
        <w:t xml:space="preserve"> </w:t>
      </w:r>
      <w:r>
        <w:rPr>
          <w:iCs/>
          <w:i/>
        </w:rPr>
        <w:t xml:space="preserve">et al.</w:t>
      </w:r>
      <w:r>
        <w:t xml:space="preserve"> </w:t>
      </w:r>
      <w:r>
        <w:t xml:space="preserve">(2009)</w:t>
      </w:r>
      <w:r>
        <w:t xml:space="preserve"> </w:t>
      </w:r>
      <w:hyperlink r:id="rId46">
        <w:r>
          <w:rPr>
            <w:rStyle w:val="Hyperlink"/>
          </w:rPr>
          <w:t xml:space="preserve">Integrated comparison of drug-related and drug-induced ultra performance liquid chromatography/mass spectrometry metabonomic profiles using human hepatocyte cultures</w:t>
        </w:r>
      </w:hyperlink>
      <w:r>
        <w:t xml:space="preserve">.</w:t>
      </w:r>
      <w:r>
        <w:t xml:space="preserve"> </w:t>
      </w:r>
      <w:r>
        <w:rPr>
          <w:iCs/>
          <w:i/>
        </w:rPr>
        <w:t xml:space="preserve">Analytical Chemistry</w:t>
      </w:r>
      <w:r>
        <w:t xml:space="preserve">,</w:t>
      </w:r>
      <w:r>
        <w:t xml:space="preserve"> </w:t>
      </w:r>
      <w:r>
        <w:rPr>
          <w:bCs/>
          <w:b/>
        </w:rPr>
        <w:t xml:space="preserve">81</w:t>
      </w:r>
      <w:r>
        <w:t xml:space="preserve">, 6061–6069.</w:t>
      </w:r>
    </w:p>
    <w:bookmarkEnd w:id="47"/>
    <w:bookmarkStart w:id="49" w:name="ref-galitzine2018"/>
    <w:p>
      <w:pPr>
        <w:pStyle w:val="Bibliography"/>
      </w:pPr>
      <w:r>
        <w:t xml:space="preserve">Galitzine,C.</w:t>
      </w:r>
      <w:r>
        <w:t xml:space="preserve"> </w:t>
      </w:r>
      <w:r>
        <w:rPr>
          <w:iCs/>
          <w:i/>
        </w:rPr>
        <w:t xml:space="preserve">et al.</w:t>
      </w:r>
      <w:r>
        <w:t xml:space="preserve"> </w:t>
      </w:r>
      <w:r>
        <w:t xml:space="preserve">(2018)</w:t>
      </w:r>
      <w:r>
        <w:t xml:space="preserve"> </w:t>
      </w:r>
      <w:hyperlink r:id="rId48">
        <w:r>
          <w:rPr>
            <w:rStyle w:val="Hyperlink"/>
          </w:rPr>
          <w:t xml:space="preserve">Nonlinear Regression Improves Accuracy of Characterization of Multiplexed Mass Spectrometric Assays</w:t>
        </w:r>
      </w:hyperlink>
      <w:r>
        <w:t xml:space="preserve">.</w:t>
      </w:r>
      <w:r>
        <w:t xml:space="preserve"> </w:t>
      </w:r>
      <w:r>
        <w:rPr>
          <w:iCs/>
          <w:i/>
        </w:rPr>
        <w:t xml:space="preserve">Molecular &amp; Cellular Proteomics</w:t>
      </w:r>
      <w:r>
        <w:t xml:space="preserve">,</w:t>
      </w:r>
      <w:r>
        <w:t xml:space="preserve"> </w:t>
      </w:r>
      <w:r>
        <w:rPr>
          <w:bCs/>
          <w:b/>
        </w:rPr>
        <w:t xml:space="preserve">17</w:t>
      </w:r>
      <w:r>
        <w:t xml:space="preserve">, 913–924.</w:t>
      </w:r>
    </w:p>
    <w:bookmarkEnd w:id="49"/>
    <w:bookmarkStart w:id="51" w:name="ref-hsieh2008"/>
    <w:p>
      <w:pPr>
        <w:pStyle w:val="Bibliography"/>
      </w:pPr>
      <w:r>
        <w:t xml:space="preserve">Hsieh,E. and Liu,J. (2008)</w:t>
      </w:r>
      <w:r>
        <w:t xml:space="preserve"> </w:t>
      </w:r>
      <w:hyperlink r:id="rId50">
        <w:r>
          <w:rPr>
            <w:rStyle w:val="Hyperlink"/>
          </w:rPr>
          <w:t xml:space="preserve">On Statistical Evaluation of the Linearity in Assay Validation</w:t>
        </w:r>
      </w:hyperlink>
      <w:r>
        <w:t xml:space="preserve">.</w:t>
      </w:r>
      <w:r>
        <w:t xml:space="preserve"> </w:t>
      </w:r>
      <w:r>
        <w:rPr>
          <w:iCs/>
          <w:i/>
        </w:rPr>
        <w:t xml:space="preserve">Journal of Biopharmaceutical Statistics</w:t>
      </w:r>
      <w:r>
        <w:t xml:space="preserve">,</w:t>
      </w:r>
      <w:r>
        <w:t xml:space="preserve"> </w:t>
      </w:r>
      <w:r>
        <w:rPr>
          <w:bCs/>
          <w:b/>
        </w:rPr>
        <w:t xml:space="preserve">18</w:t>
      </w:r>
      <w:r>
        <w:t xml:space="preserve">, 677–690.</w:t>
      </w:r>
    </w:p>
    <w:bookmarkEnd w:id="51"/>
    <w:bookmarkStart w:id="53" w:name="ref-logue2018"/>
    <w:p>
      <w:pPr>
        <w:pStyle w:val="Bibliography"/>
      </w:pPr>
      <w:r>
        <w:t xml:space="preserve">Logue,B.A. and Manandhar,E. (2018)</w:t>
      </w:r>
      <w:r>
        <w:t xml:space="preserve"> </w:t>
      </w:r>
      <w:hyperlink r:id="rId52">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3"/>
    <w:bookmarkStart w:id="55" w:name="ref-rprogramming"/>
    <w:p>
      <w:pPr>
        <w:pStyle w:val="Bibliography"/>
      </w:pPr>
      <w:r>
        <w:t xml:space="preserve">R Core Team (2022)</w:t>
      </w:r>
      <w:r>
        <w:t xml:space="preserve"> </w:t>
      </w:r>
      <w:hyperlink r:id="rId54">
        <w:r>
          <w:rPr>
            <w:rStyle w:val="Hyperlink"/>
          </w:rPr>
          <w:t xml:space="preserve">R: A language and environment for statistical computing</w:t>
        </w:r>
      </w:hyperlink>
      <w:r>
        <w:t xml:space="preserve"> </w:t>
      </w:r>
      <w:r>
        <w:t xml:space="preserve">R Foundation for Statistical Computing, Vienna, Austria.</w:t>
      </w:r>
    </w:p>
    <w:bookmarkEnd w:id="55"/>
    <w:bookmarkStart w:id="57"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6">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7"/>
    <w:bookmarkStart w:id="59" w:name="ref-ross2003"/>
    <w:p>
      <w:pPr>
        <w:pStyle w:val="Bibliography"/>
      </w:pPr>
      <w:r>
        <w:t xml:space="preserve">Ross,H.A. and Sweep,C.G.J. (2003)</w:t>
      </w:r>
      <w:r>
        <w:t xml:space="preserve"> </w:t>
      </w:r>
      <w:hyperlink r:id="rId58">
        <w:r>
          <w:rPr>
            <w:rStyle w:val="Hyperlink"/>
          </w:rPr>
          <w:t xml:space="preserve">An improved procedure for testing for assay linearity</w:t>
        </w:r>
      </w:hyperlink>
      <w:r>
        <w:t xml:space="preserve">.</w:t>
      </w:r>
      <w:r>
        <w:t xml:space="preserve"> </w:t>
      </w:r>
      <w:r>
        <w:rPr>
          <w:iCs/>
          <w:i/>
        </w:rPr>
        <w:t xml:space="preserve">Annals of Clinical Biochemistry: International Journal of Laboratory Medicine</w:t>
      </w:r>
      <w:r>
        <w:t xml:space="preserve">,</w:t>
      </w:r>
      <w:r>
        <w:t xml:space="preserve"> </w:t>
      </w:r>
      <w:r>
        <w:rPr>
          <w:bCs/>
          <w:b/>
        </w:rPr>
        <w:t xml:space="preserve">40</w:t>
      </w:r>
      <w:r>
        <w:t xml:space="preserve">, 75–78.</w:t>
      </w:r>
    </w:p>
    <w:bookmarkEnd w:id="59"/>
    <w:bookmarkStart w:id="61" w:name="ref-sanchez2021"/>
    <w:p>
      <w:pPr>
        <w:pStyle w:val="Bibliography"/>
      </w:pPr>
      <w:r>
        <w:t xml:space="preserve">Sanchez,J.M. (2021)</w:t>
      </w:r>
      <w:r>
        <w:t xml:space="preserve"> </w:t>
      </w:r>
      <w:hyperlink r:id="rId60">
        <w:r>
          <w:rPr>
            <w:rStyle w:val="Hyperlink"/>
          </w:rPr>
          <w:t xml:space="preserve">The inadequate use of the determination coefficient in analytical calibrations: How other parameters can assess the goodness</w:t>
        </w:r>
        <w:r>
          <w:rPr>
            <w:rStyle w:val="Hyperlink"/>
          </w:rPr>
          <w:t xml:space="preserve">-</w:t>
        </w:r>
        <w:r>
          <w:rPr>
            <w:rStyle w:val="Hyperlink"/>
          </w:rPr>
          <w:t xml:space="preserve">of</w:t>
        </w:r>
        <w:r>
          <w:rPr>
            <w:rStyle w:val="Hyperlink"/>
          </w:rPr>
          <w:t xml:space="preserve">-</w:t>
        </w:r>
        <w:r>
          <w:rPr>
            <w:rStyle w:val="Hyperlink"/>
          </w:rPr>
          <w:t xml:space="preserve">fit more adequately</w:t>
        </w:r>
      </w:hyperlink>
      <w:r>
        <w:t xml:space="preserve">.</w:t>
      </w:r>
      <w:r>
        <w:t xml:space="preserve"> </w:t>
      </w:r>
      <w:r>
        <w:rPr>
          <w:iCs/>
          <w:i/>
        </w:rPr>
        <w:t xml:space="preserve">Journal of Separation Science</w:t>
      </w:r>
      <w:r>
        <w:t xml:space="preserve">,</w:t>
      </w:r>
      <w:r>
        <w:t xml:space="preserve"> </w:t>
      </w:r>
      <w:r>
        <w:rPr>
          <w:bCs/>
          <w:b/>
        </w:rPr>
        <w:t xml:space="preserve">44</w:t>
      </w:r>
      <w:r>
        <w:t xml:space="preserve">, 4431–4441.</w:t>
      </w:r>
    </w:p>
    <w:bookmarkEnd w:id="61"/>
    <w:bookmarkStart w:id="63" w:name="ref-sands2021"/>
    <w:p>
      <w:pPr>
        <w:pStyle w:val="Bibliography"/>
      </w:pPr>
      <w:r>
        <w:t xml:space="preserve">Sands,C.J.</w:t>
      </w:r>
      <w:r>
        <w:t xml:space="preserve"> </w:t>
      </w:r>
      <w:r>
        <w:rPr>
          <w:iCs/>
          <w:i/>
        </w:rPr>
        <w:t xml:space="preserve">et al.</w:t>
      </w:r>
      <w:r>
        <w:t xml:space="preserve"> </w:t>
      </w:r>
      <w:r>
        <w:t xml:space="preserve">(2021)</w:t>
      </w:r>
      <w:r>
        <w:t xml:space="preserve"> </w:t>
      </w:r>
      <w:hyperlink r:id="rId62">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63"/>
    <w:bookmarkStart w:id="65" w:name="ref-sonnergaard2006"/>
    <w:p>
      <w:pPr>
        <w:pStyle w:val="Bibliography"/>
      </w:pPr>
      <w:r>
        <w:t xml:space="preserve">Sonnergaard,J.M. (2006)</w:t>
      </w:r>
      <w:r>
        <w:t xml:space="preserve"> </w:t>
      </w:r>
      <w:hyperlink r:id="rId64">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5"/>
    <w:bookmarkStart w:id="67" w:name="ref-vanloco2002"/>
    <w:p>
      <w:pPr>
        <w:pStyle w:val="Bibliography"/>
      </w:pPr>
      <w:r>
        <w:t xml:space="preserve">Van Loco,J.</w:t>
      </w:r>
      <w:r>
        <w:t xml:space="preserve"> </w:t>
      </w:r>
      <w:r>
        <w:rPr>
          <w:iCs/>
          <w:i/>
        </w:rPr>
        <w:t xml:space="preserve">et al.</w:t>
      </w:r>
      <w:r>
        <w:t xml:space="preserve"> </w:t>
      </w:r>
      <w:r>
        <w:t xml:space="preserve">(2002)</w:t>
      </w:r>
      <w:r>
        <w:t xml:space="preserve"> </w:t>
      </w:r>
      <w:hyperlink r:id="rId66">
        <w:r>
          <w:rPr>
            <w:rStyle w:val="Hyperlink"/>
          </w:rPr>
          <w:t xml:space="preserve">Linearity of calibration curves: Use and misuse of the correlation coefficient</w:t>
        </w:r>
      </w:hyperlink>
      <w:r>
        <w:t xml:space="preserve">.</w:t>
      </w:r>
      <w:r>
        <w:t xml:space="preserve"> </w:t>
      </w:r>
      <w:r>
        <w:rPr>
          <w:iCs/>
          <w:i/>
        </w:rPr>
        <w:t xml:space="preserve">Accreditation and Quality Assurance</w:t>
      </w:r>
      <w:r>
        <w:t xml:space="preserve">,</w:t>
      </w:r>
      <w:r>
        <w:t xml:space="preserve"> </w:t>
      </w:r>
      <w:r>
        <w:rPr>
          <w:bCs/>
          <w:b/>
        </w:rPr>
        <w:t xml:space="preserve">7</w:t>
      </w:r>
      <w:r>
        <w:t xml:space="preserve">, 281–285.</w:t>
      </w:r>
    </w:p>
    <w:bookmarkEnd w:id="67"/>
    <w:bookmarkStart w:id="69" w:name="ref-y.h.chan2003"/>
    <w:p>
      <w:pPr>
        <w:pStyle w:val="Bibliography"/>
      </w:pPr>
      <w:r>
        <w:t xml:space="preserve">Y. H. Chan (2003)</w:t>
      </w:r>
      <w:r>
        <w:t xml:space="preserve"> </w:t>
      </w:r>
      <w:hyperlink r:id="rId68">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68" Target="http://www.smj.org.sg/article/biostatistics-104-correlational-analysis" TargetMode="External" /><Relationship Type="http://schemas.openxmlformats.org/officeDocument/2006/relationships/hyperlink" Id="rId60" Target="https://doi.org/10.1002/jssc.202100555" TargetMode="External" /><Relationship Type="http://schemas.openxmlformats.org/officeDocument/2006/relationships/hyperlink" Id="rId66" Target="https://doi.org/10.1007/s00769-002-0487-6" TargetMode="External" /><Relationship Type="http://schemas.openxmlformats.org/officeDocument/2006/relationships/hyperlink" Id="rId64" Target="https://doi.org/10.1016/j.ijpharm.2006.06.001" TargetMode="External" /><Relationship Type="http://schemas.openxmlformats.org/officeDocument/2006/relationships/hyperlink" Id="rId52" Target="https://doi.org/10.1016/j.talanta.2018.07.046" TargetMode="External" /><Relationship Type="http://schemas.openxmlformats.org/officeDocument/2006/relationships/hyperlink" Id="rId46" Target="https://doi.org/10.1021/ac900333e" TargetMode="External" /><Relationship Type="http://schemas.openxmlformats.org/officeDocument/2006/relationships/hyperlink" Id="rId62" Target="https://doi.org/10.1021/acs.analchem.0c03848" TargetMode="External" /><Relationship Type="http://schemas.openxmlformats.org/officeDocument/2006/relationships/hyperlink" Id="rId44" Target="https://doi.org/10.1039/c2ay26400e" TargetMode="External" /><Relationship Type="http://schemas.openxmlformats.org/officeDocument/2006/relationships/hyperlink" Id="rId48" Target="https://doi.org/10.1074/mcp.RA117.000322" TargetMode="External" /><Relationship Type="http://schemas.openxmlformats.org/officeDocument/2006/relationships/hyperlink" Id="rId56" Target="https://doi.org/10.1080/00032719308019900" TargetMode="External" /><Relationship Type="http://schemas.openxmlformats.org/officeDocument/2006/relationships/hyperlink" Id="rId50" Target="https://doi.org/10.1080/10543400802071378" TargetMode="External" /><Relationship Type="http://schemas.openxmlformats.org/officeDocument/2006/relationships/hyperlink" Id="rId58" Target="https://doi.org/10.1258/000456303321016204" TargetMode="External" /><Relationship Type="http://schemas.openxmlformats.org/officeDocument/2006/relationships/hyperlink" Id="rId25" Target="https://doi.org/10.6084/m9.figshare.21965324" TargetMode="External" /><Relationship Type="http://schemas.openxmlformats.org/officeDocument/2006/relationships/hyperlink" Id="rId23" Target="https://doi.org/10.6084/m9.figshare.21966896" TargetMode="External" /><Relationship Type="http://schemas.openxmlformats.org/officeDocument/2006/relationships/hyperlink" Id="rId22" Target="https://github.com/SLINGhub/lancer" TargetMode="External" /><Relationship Type="http://schemas.openxmlformats.org/officeDocument/2006/relationships/hyperlink" Id="rId38" Target="https://lancer-interactive-example.netlify.app" TargetMode="External" /><Relationship Type="http://schemas.openxmlformats.org/officeDocument/2006/relationships/hyperlink" Id="rId37" Target="https://lancer-simulation.netlify.app" TargetMode="External" /><Relationship Type="http://schemas.openxmlformats.org/officeDocument/2006/relationships/hyperlink" Id="rId40" Target="https://slinghub.github.io/lancer" TargetMode="External" /><Relationship Type="http://schemas.openxmlformats.org/officeDocument/2006/relationships/hyperlink" Id="rId24" Target="https://slinghub.github.io/lancer/" TargetMode="External" /><Relationship Type="http://schemas.openxmlformats.org/officeDocument/2006/relationships/hyperlink" Id="rId5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8" Target="http://www.smj.org.sg/article/biostatistics-104-correlational-analysis" TargetMode="External" /><Relationship Type="http://schemas.openxmlformats.org/officeDocument/2006/relationships/hyperlink" Id="rId60" Target="https://doi.org/10.1002/jssc.202100555" TargetMode="External" /><Relationship Type="http://schemas.openxmlformats.org/officeDocument/2006/relationships/hyperlink" Id="rId66" Target="https://doi.org/10.1007/s00769-002-0487-6" TargetMode="External" /><Relationship Type="http://schemas.openxmlformats.org/officeDocument/2006/relationships/hyperlink" Id="rId64" Target="https://doi.org/10.1016/j.ijpharm.2006.06.001" TargetMode="External" /><Relationship Type="http://schemas.openxmlformats.org/officeDocument/2006/relationships/hyperlink" Id="rId52" Target="https://doi.org/10.1016/j.talanta.2018.07.046" TargetMode="External" /><Relationship Type="http://schemas.openxmlformats.org/officeDocument/2006/relationships/hyperlink" Id="rId46" Target="https://doi.org/10.1021/ac900333e" TargetMode="External" /><Relationship Type="http://schemas.openxmlformats.org/officeDocument/2006/relationships/hyperlink" Id="rId62" Target="https://doi.org/10.1021/acs.analchem.0c03848" TargetMode="External" /><Relationship Type="http://schemas.openxmlformats.org/officeDocument/2006/relationships/hyperlink" Id="rId44" Target="https://doi.org/10.1039/c2ay26400e" TargetMode="External" /><Relationship Type="http://schemas.openxmlformats.org/officeDocument/2006/relationships/hyperlink" Id="rId48" Target="https://doi.org/10.1074/mcp.RA117.000322" TargetMode="External" /><Relationship Type="http://schemas.openxmlformats.org/officeDocument/2006/relationships/hyperlink" Id="rId56" Target="https://doi.org/10.1080/00032719308019900" TargetMode="External" /><Relationship Type="http://schemas.openxmlformats.org/officeDocument/2006/relationships/hyperlink" Id="rId50" Target="https://doi.org/10.1080/10543400802071378" TargetMode="External" /><Relationship Type="http://schemas.openxmlformats.org/officeDocument/2006/relationships/hyperlink" Id="rId58" Target="https://doi.org/10.1258/000456303321016204" TargetMode="External" /><Relationship Type="http://schemas.openxmlformats.org/officeDocument/2006/relationships/hyperlink" Id="rId25" Target="https://doi.org/10.6084/m9.figshare.21965324" TargetMode="External" /><Relationship Type="http://schemas.openxmlformats.org/officeDocument/2006/relationships/hyperlink" Id="rId23" Target="https://doi.org/10.6084/m9.figshare.21966896" TargetMode="External" /><Relationship Type="http://schemas.openxmlformats.org/officeDocument/2006/relationships/hyperlink" Id="rId22" Target="https://github.com/SLINGhub/lancer" TargetMode="External" /><Relationship Type="http://schemas.openxmlformats.org/officeDocument/2006/relationships/hyperlink" Id="rId38" Target="https://lancer-interactive-example.netlify.app" TargetMode="External" /><Relationship Type="http://schemas.openxmlformats.org/officeDocument/2006/relationships/hyperlink" Id="rId37" Target="https://lancer-simulation.netlify.app" TargetMode="External" /><Relationship Type="http://schemas.openxmlformats.org/officeDocument/2006/relationships/hyperlink" Id="rId40" Target="https://slinghub.github.io/lancer" TargetMode="External" /><Relationship Type="http://schemas.openxmlformats.org/officeDocument/2006/relationships/hyperlink" Id="rId24" Target="https://slinghub.github.io/lancer/" TargetMode="External" /><Relationship Type="http://schemas.openxmlformats.org/officeDocument/2006/relationships/hyperlink" Id="rId5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lancer: an R package for linearity assessment and visualisation of multiple curves</dc:title>
  <dc:creator/>
  <cp:keywords/>
  <dcterms:created xsi:type="dcterms:W3CDTF">2023-01-28T13:33:14Z</dcterms:created>
  <dcterms:modified xsi:type="dcterms:W3CDTF">2023-01-28T13:33:14Z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