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Commonly used spreadsheet software, e.g. Microsoft Excel, only allow the analyst to repetitively plot, view and analyse the linearity of curves one at a time, a tedious and time-consuming process. In addition, summary statistics of these curves are mostly limited to the Pearson Correlation Coefficient, which is insufficient to fully test the for linearity. While plotting of many curves at once and calculation of additional summary statistics for assessing linearity of curves can be done using programming languages like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4"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The documentation and tutorials can be accessed from</w:t>
      </w:r>
      <w:r>
        <w:t xml:space="preserve"> </w:t>
      </w:r>
      <w:hyperlink r:id="rId23">
        <w:r>
          <w:rPr>
            <w:rStyle w:val="Hyperlink"/>
          </w:rPr>
          <w:t xml:space="preserve">https://slinghub.github.io/lancer/</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is an important performance test of an analytical instrument or method when a linear response is assumed. It is applied in many fields in analytical sciences, such as assay development (</w:t>
      </w:r>
      <w:r>
        <w:t xml:space="preserve">Ross and Sweep (2003)</w:t>
      </w:r>
      <w:r>
        <w:t xml:space="preserve"> </w:t>
      </w:r>
      <w:r>
        <w:t xml:space="preserve">and</w:t>
      </w:r>
      <w:r>
        <w:t xml:space="preserve"> </w:t>
      </w:r>
      <w:r>
        <w:t xml:space="preserve">Hsieh and Liu (2008)</w:t>
      </w:r>
      <w:r>
        <w:t xml:space="preserve">),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laboratory tests. After analysis, curves representing response values versus concentration are plotted for each analyte of interest. As the accuracy of an analytical method is linked to linearity, a non-linear behaviour must be recognized and addressed accordingly. Visual inspection of curves is still useful but it must be accompanied by statistical tests as decision parameters.</w:t>
      </w:r>
    </w:p>
    <w:p>
      <w:pPr>
        <w:pStyle w:val="BodyText"/>
      </w:pPr>
      <w:r>
        <w:t xml:space="preserve">To individually plot numerous curves and check for linearity is time-consuming. Furthermore,</w:t>
      </w:r>
      <w:r>
        <w:t xml:space="preserve"> </w:t>
      </w:r>
      <w:r>
        <w:t xml:space="preserve">Sonnergaard (2006)</w:t>
      </w:r>
      <w:r>
        <w:t xml:space="preserve"> </w:t>
      </w:r>
      <w:r>
        <w:t xml:space="preserve">suggests that the Pearson Correlation Coefficient, a commonly used test, is an ineffective standalone numeric parameter to estimate linearity. While researchers like</w:t>
      </w:r>
      <w:r>
        <w:t xml:space="preserve"> </w:t>
      </w:r>
      <w:r>
        <w:t xml:space="preserve">Van Loco</w:t>
      </w:r>
      <w:r>
        <w:t xml:space="preserve"> </w:t>
      </w:r>
      <w:r>
        <w:rPr>
          <w:iCs/>
          <w:i/>
        </w:rPr>
        <w:t xml:space="preserve">et al.</w:t>
      </w:r>
      <w:r>
        <w:t xml:space="preserve"> </w:t>
      </w:r>
      <w:r>
        <w:t xml:space="preserve">(2002)</w:t>
      </w:r>
      <w:r>
        <w:t xml:space="preserve">,</w:t>
      </w:r>
      <w:r>
        <w:t xml:space="preserve"> </w:t>
      </w:r>
      <w:r>
        <w:t xml:space="preserve">Sanchez (2021)</w:t>
      </w:r>
      <w:r>
        <w:t xml:space="preserve"> </w:t>
      </w:r>
      <w:r>
        <w:t xml:space="preserve">and</w:t>
      </w:r>
      <w:r>
        <w:t xml:space="preserve"> </w:t>
      </w:r>
      <w:r>
        <w:t xml:space="preserve">Logue and Manandhar (2018)</w:t>
      </w:r>
      <w:r>
        <w:t xml:space="preserve"> </w:t>
      </w:r>
      <w:r>
        <w:t xml:space="preserve">have indicated other metrics for linearity evaluation, these metrics are generally not implemented in most software.</w:t>
      </w:r>
    </w:p>
    <w:p>
      <w:pPr>
        <w:pStyle w:val="BodyText"/>
      </w:pPr>
      <w:r>
        <w:t xml:space="preserve">The R package</w:t>
      </w:r>
      <w:r>
        <w:t xml:space="preserve"> </w:t>
      </w:r>
      <w:r>
        <w:rPr>
          <w:iCs/>
          <w:i/>
        </w:rPr>
        <w:t xml:space="preserve">lancer</w:t>
      </w:r>
      <w:r>
        <w:t xml:space="preserve"> </w:t>
      </w:r>
      <w:r>
        <w:t xml:space="preserve">addresses these issues by assisting analysts to plot curves from many experiments, with additional metrics that better describe the characteristics of the curve. It also provides users with an interactive viewer to group, filter and sort the curves, allowing the examination of problematic cases, such as the ones generated by saturated signals.</w:t>
      </w:r>
    </w:p>
    <w:bookmarkEnd w:id="28"/>
    <w:bookmarkStart w:id="41" w:name="approach"/>
    <w:p>
      <w:pPr>
        <w:pStyle w:val="Heading1"/>
      </w:pPr>
      <w:r>
        <w:t xml:space="preserve">Approach</w:t>
      </w:r>
    </w:p>
    <w:p>
      <w:pPr>
        <w:pStyle w:val="FirstParagraph"/>
      </w:pPr>
      <w:r>
        <w:t xml:space="preserve">Using response curves in metabolomic/lipidomic studies from</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Batch Annotation, describing the curve(s), such as concentration (x-axis) and response curve batches, if any.</w:t>
      </w:r>
    </w:p>
    <w:p>
      <w:pPr>
        <w:numPr>
          <w:ilvl w:val="0"/>
          <w:numId w:val="1001"/>
        </w:numPr>
        <w:pStyle w:val="Compact"/>
      </w:pPr>
      <w:r>
        <w:t xml:space="preserve">Curve Signal Data, containing response values (y-axis) for each sample and curve.</w:t>
      </w:r>
    </w:p>
    <w:p>
      <w:pPr>
        <w:pStyle w:val="FirstParagraph"/>
      </w:pPr>
      <w:r>
        <w:t xml:space="preserve">Using a common column Sample Name, the two tables can be merged into one table (Curve Table) via</w:t>
      </w:r>
      <w:r>
        <w:t xml:space="preserve"> </w:t>
      </w:r>
      <w:r>
        <w:rPr>
          <w:rStyle w:val="VerbatimChar"/>
        </w:rPr>
        <w:t xml:space="preserve">create_curve_table</w:t>
      </w:r>
      <w:r>
        <w:t xml:space="preserve">.</w:t>
      </w:r>
    </w:p>
    <w:p>
      <w:pPr>
        <w:pStyle w:val="BodyText"/>
      </w:pPr>
      <w:r>
        <w:t xml:space="preserve">Next, summary statistics are calculated via</w:t>
      </w:r>
      <w:r>
        <w:t xml:space="preserve"> </w:t>
      </w:r>
      <w:r>
        <w:rPr>
          <w:rStyle w:val="VerbatimChar"/>
        </w:rPr>
        <w:t xml:space="preserve">summarise_curve_table</w:t>
      </w:r>
      <w:r>
        <w:t xml:space="preserve"> </w:t>
      </w:r>
      <w:r>
        <w:t xml:space="preserve">for each curve. Besides the Pearson Correlation Coefficient, an additional statistical test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as described by</w:t>
      </w:r>
      <w:r>
        <w:t xml:space="preserve"> </w:t>
      </w:r>
      <w:r>
        <w:t xml:space="preserve">Andrade and Gómez-Carracedo (2013)</w:t>
      </w:r>
      <w:r>
        <w:t xml:space="preserve">. The</w:t>
      </w:r>
      <w:r>
        <w:t xml:space="preserve"> </w:t>
      </w:r>
      <m:oMath>
        <m:r>
          <m:t>F</m:t>
        </m:r>
      </m:oMath>
      <w:r>
        <w:t xml:space="preserve"> </w:t>
      </w:r>
      <w:r>
        <w:t xml:space="preserve">test can give evidence that a quadratic model fits better than a linear model, indicating a non-linear curve.</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statistical test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according to which a perfectly linear curve gives a</w:t>
      </w:r>
      <w:r>
        <w:t xml:space="preserve"> </w:t>
      </w:r>
      <m:oMath>
        <m:r>
          <m:rPr>
            <m:sty m:val="p"/>
          </m:rPr>
          <m:t>%</m:t>
        </m:r>
        <m:r>
          <m:t>R</m:t>
        </m:r>
        <m:r>
          <m:t>A</m:t>
        </m:r>
      </m:oMath>
      <w:r>
        <w:t xml:space="preserve"> </w:t>
      </w:r>
      <w:r>
        <w:t xml:space="preserve">value of</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simulated curves (as examples), where one curve is linear and two curves show a plateau at high concentrations (denoted as saturation regime curve) and low concentrations (denoted as noise regime curve),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non-linear curves are detected by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w:t>
      </w:r>
      <w:r>
        <w:t xml:space="preserve">for the linear curve) and Percent Residual Accuracy values (</w:t>
      </w:r>
      <w:r>
        <w:rPr>
          <w:rStyle w:val="VerbatimChar"/>
        </w:rPr>
        <w:t xml:space="preserve">pra_linear</w:t>
      </w:r>
      <w:r>
        <w:t xml:space="prese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 </w:t>
      </w:r>
      <w:r>
        <w:t xml:space="preserve">for the linear curve).</w:t>
      </w:r>
    </w:p>
    <w:p>
      <w:r>
        <w:br w:type="page"/>
      </w: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3566160" cy="2248816"/>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3566160" cy="224881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5148"/>
        <w:gridCol w:w="2772"/>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867912" cy="3781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867912" cy="3781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Visualisation</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lancer</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r>
        <w:br w:type="page"/>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a non-linear curve plateaus at low (labeled as Noise Regime) or high (labelled as Saturation Regime)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Noise Regime) or high (labelled as Saturation Regime) concentrations. Supplementary Figure 3 shows that Workflow 2 better identifies the saturation and noise regime curves than the benchmark workflow. While Workflow 2 correctly classifies a lower number of linear curves than the benchmark workflow, its percentage of correctly classified linear curves, 181/200 (90.5%), is high. See</w:t>
      </w:r>
      <w:r>
        <w:t xml:space="preserve"> </w:t>
      </w:r>
      <w:hyperlink r:id="rId39">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an interactive user interface can generate a better overview of the data.</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lancer</w:t>
      </w:r>
      <w:r>
        <w:t xml:space="preserve">, such that clicking on the index.html file inside the folder will open an interactive trellis plot that can group, filter and sort curves. This allows room for exploratory data analysis, such as identifying curves with linearity issues or understanding the effects of changing the Pearson Correlation Coefficient threshold to another value. Such information is hard to achieve with other common software. An example of an interactive viewer created by</w:t>
      </w:r>
      <w:r>
        <w:t xml:space="preserve"> </w:t>
      </w:r>
      <w:r>
        <w:rPr>
          <w:iCs/>
          <w:i/>
        </w:rPr>
        <w:t xml:space="preserve">lancer</w:t>
      </w:r>
      <w:r>
        <w:t xml:space="preserve"> </w:t>
      </w:r>
      <w:r>
        <w:t xml:space="preserve">can be found at</w:t>
      </w:r>
      <w:r>
        <w:t xml:space="preserve"> </w:t>
      </w:r>
      <w:hyperlink r:id="rId40">
        <w:r>
          <w:rPr>
            <w:rStyle w:val="Hyperlink"/>
          </w:rPr>
          <w:t xml:space="preserve">https://lancer-interactive-example.netlify.app</w:t>
        </w:r>
      </w:hyperlink>
    </w:p>
    <w:bookmarkEnd w:id="41"/>
    <w:bookmarkStart w:id="43" w:name="conclusion"/>
    <w:p>
      <w:pPr>
        <w:pStyle w:val="Heading1"/>
      </w:pPr>
      <w:r>
        <w:t xml:space="preserve">Conclusion</w:t>
      </w:r>
    </w:p>
    <w:p>
      <w:pPr>
        <w:pStyle w:val="FirstParagraph"/>
      </w:pPr>
      <w:r>
        <w:t xml:space="preserve">Linearity is one of the most important parameters of an analytical method to be evaluated. Our R package,</w:t>
      </w:r>
      <w:r>
        <w:t xml:space="preserve"> </w:t>
      </w:r>
      <w:r>
        <w:rPr>
          <w:iCs/>
          <w:i/>
        </w:rPr>
        <w:t xml:space="preserve">lancer</w:t>
      </w:r>
      <w:r>
        <w:t xml:space="preserve">, can estimate linearity efficiently in high-throughput settings and with functions that plot many curves quickly, reporting curve summary statistics to better describe the shape of the datasets. It also provides an interactive trellis plot for exploratory data analysis. It is available on GitHub</w:t>
      </w:r>
      <w:r>
        <w:t xml:space="preserve"> </w:t>
      </w:r>
      <w:hyperlink r:id="rId22">
        <w:r>
          <w:rPr>
            <w:rStyle w:val="Hyperlink"/>
          </w:rPr>
          <w:t xml:space="preserve">https://github.com/SLINGhub/lancer</w:t>
        </w:r>
      </w:hyperlink>
      <w:r>
        <w:t xml:space="preserve"> </w:t>
      </w:r>
      <w:r>
        <w:t xml:space="preserve">while the documentation and tutorials can be accessed from</w:t>
      </w:r>
      <w:r>
        <w:t xml:space="preserve"> </w:t>
      </w:r>
      <w:hyperlink r:id="rId42">
        <w:r>
          <w:rPr>
            <w:rStyle w:val="Hyperlink"/>
          </w:rPr>
          <w:t xml:space="preserve">https://slinghub.github.io/lancer</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9" w:name="references"/>
    <w:p>
      <w:pPr>
        <w:pStyle w:val="Heading1"/>
      </w:pPr>
      <w:r>
        <w:t xml:space="preserve">References</w:t>
      </w:r>
    </w:p>
    <w:bookmarkStart w:id="68"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48">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49"/>
    <w:bookmarkStart w:id="51" w:name="ref-hsieh2008"/>
    <w:p>
      <w:pPr>
        <w:pStyle w:val="Bibliography"/>
      </w:pPr>
      <w:r>
        <w:t xml:space="preserve">Hsieh,E. and Liu,J. (2008)</w:t>
      </w:r>
      <w:r>
        <w:t xml:space="preserve"> </w:t>
      </w:r>
      <w:hyperlink r:id="rId50">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51"/>
    <w:bookmarkStart w:id="53" w:name="ref-logue2018"/>
    <w:p>
      <w:pPr>
        <w:pStyle w:val="Bibliography"/>
      </w:pPr>
      <w:r>
        <w:t xml:space="preserve">Logue,B.A. and Manandhar,E. (2018)</w:t>
      </w:r>
      <w:r>
        <w:t xml:space="preserve"> </w:t>
      </w:r>
      <w:hyperlink r:id="rId5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chez2021"/>
    <w:p>
      <w:pPr>
        <w:pStyle w:val="Bibliography"/>
      </w:pPr>
      <w:r>
        <w:t xml:space="preserve">Sanchez,J.M. (2021)</w:t>
      </w:r>
      <w:r>
        <w:t xml:space="preserve"> </w:t>
      </w:r>
      <w:hyperlink r:id="rId58">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59"/>
    <w:bookmarkStart w:id="61"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0">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1"/>
    <w:bookmarkStart w:id="63" w:name="ref-sonnergaard2006"/>
    <w:p>
      <w:pPr>
        <w:pStyle w:val="Bibliography"/>
      </w:pPr>
      <w:r>
        <w:t xml:space="preserve">Sonnergaard,J.M. (2006)</w:t>
      </w:r>
      <w:r>
        <w:t xml:space="preserve"> </w:t>
      </w:r>
      <w:hyperlink r:id="rId62">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3"/>
    <w:bookmarkStart w:id="65"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64">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65"/>
    <w:bookmarkStart w:id="67" w:name="ref-y.h.chan2003"/>
    <w:p>
      <w:pPr>
        <w:pStyle w:val="Bibliography"/>
      </w:pPr>
      <w:r>
        <w:t xml:space="preserve">Y. H. Chan (2003)</w:t>
      </w:r>
      <w:r>
        <w:t xml:space="preserve"> </w:t>
      </w:r>
      <w:hyperlink r:id="rId66">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6" Target="http://www.smj.org.sg/article/biostatistics-104-correlational-analysis" TargetMode="External" /><Relationship Type="http://schemas.openxmlformats.org/officeDocument/2006/relationships/hyperlink" Id="rId58" Target="https://doi.org/10.1002/jssc.202100555" TargetMode="External" /><Relationship Type="http://schemas.openxmlformats.org/officeDocument/2006/relationships/hyperlink" Id="rId64" Target="https://doi.org/10.1007/s00769-002-0487-6" TargetMode="External" /><Relationship Type="http://schemas.openxmlformats.org/officeDocument/2006/relationships/hyperlink" Id="rId62"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8" Target="https://doi.org/10.1021/ac900333e" TargetMode="External" /><Relationship Type="http://schemas.openxmlformats.org/officeDocument/2006/relationships/hyperlink" Id="rId60"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_rels/footnotes.xml.rels><?xml version="1.0" encoding="UTF-8"?><Relationships xmlns="http://schemas.openxmlformats.org/package/2006/relationships"><Relationship Type="http://schemas.openxmlformats.org/officeDocument/2006/relationships/hyperlink" Id="rId66" Target="http://www.smj.org.sg/article/biostatistics-104-correlational-analysis" TargetMode="External" /><Relationship Type="http://schemas.openxmlformats.org/officeDocument/2006/relationships/hyperlink" Id="rId58" Target="https://doi.org/10.1002/jssc.202100555" TargetMode="External" /><Relationship Type="http://schemas.openxmlformats.org/officeDocument/2006/relationships/hyperlink" Id="rId64" Target="https://doi.org/10.1007/s00769-002-0487-6" TargetMode="External" /><Relationship Type="http://schemas.openxmlformats.org/officeDocument/2006/relationships/hyperlink" Id="rId62"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8" Target="https://doi.org/10.1021/ac900333e" TargetMode="External" /><Relationship Type="http://schemas.openxmlformats.org/officeDocument/2006/relationships/hyperlink" Id="rId60"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lancer" TargetMode="External" /><Relationship Type="http://schemas.openxmlformats.org/officeDocument/2006/relationships/hyperlink" Id="rId40" Target="https://lancer-interactive-example.netlify.app" TargetMode="External" /><Relationship Type="http://schemas.openxmlformats.org/officeDocument/2006/relationships/hyperlink" Id="rId39" Target="https://lancer-simulation.netlify.app" TargetMode="External" /><Relationship Type="http://schemas.openxmlformats.org/officeDocument/2006/relationships/hyperlink" Id="rId42" Target="https://slinghub.github.io/lancer" TargetMode="External" /><Relationship Type="http://schemas.openxmlformats.org/officeDocument/2006/relationships/hyperlink" Id="rId23" Target="https://slinghub.github.io/l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2023-01-21T15:06:46Z</dcterms:created>
  <dcterms:modified xsi:type="dcterms:W3CDTF">2023-01-21T15:06:46Z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