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1. Baseline Characteristics of the Study Patients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2"/>
        <w:gridCol w:w="2036"/>
        <w:gridCol w:w="2318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 Group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 = 410)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Group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 = 413)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- yr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25.9±5.5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26.1±5.6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 or ethnic group - no. (%)†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 (41.2)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- no.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9-12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 (59.0)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 (57.4)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12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Previous pregnancies - no. (%)‡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pregancy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 (74.4)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 preterm birth§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Spontaneous abortion¶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Induced abortion¶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Stillbirth¶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Coexisiting medical condition - no.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Self-reported alcohol use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Plus-minus values are means±SD.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† Race or ethnic group was reported by the patients. Some women selected more than one category and were included in all.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‡ Some patients reported more than one event.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§ Percentages are based on 263 women in the control group and 261 women in the treatment group who had had any live births.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¶ Percentages are based on 305 women in the control group and 306 women in the treatment group who had had any previous pregnacies.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2026-10-16T15:27:41Z</dcterms:modified>
  <cp:category/>
</cp:coreProperties>
</file>