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2"/>
          <w:szCs w:val="22"/>
          <w:color w:val="000000"/>
        </w:rPr>
        <w:t xml:space="preserve">Table 2. Birth and Clinical Periodontal Outcomes</w:t>
      </w:r>
      <w:r>
        <w:rPr>
          <w:rFonts w:ascii="Arial" w:hAnsi="Arial" w:eastAsia="Arial" w:cs="Arial"/>
          <w:i w:val="false"/>
          <w:b w:val="false"/>
          <w:u w:val="none"/>
          <w:strike w:val="false"/>
          <w:sz w:val="22"/>
          <w:szCs w:val="22"/>
          <w:color w:val="000000"/>
        </w:rPr>
        <w:t xml:space="preserve">*</w:t>
      </w:r>
    </w:p>
    <w:tbl xmlns:a="http://schemas.openxmlformats.org/drawingml/2006/main" xmlns:pic="http://schemas.openxmlformats.org/drawingml/2006/picture">
      <w:tblPr>
        <w:tblLayout w:type="fixed"/>
        <w:jc w:val="center"/>
        <w:tblLook w:firstRow="1" w:lastRow="0" w:firstColumn="0" w:lastColumn="0" w:noHBand="0" w:noVBand="1"/>
      </w:tblPr>
      <w:tblGrid>
        <w:gridCol w:w="3602"/>
        <w:gridCol w:w="2036"/>
        <w:gridCol w:w="2318"/>
        <w:gridCol w:w="1181"/>
      </w:tblGrid>
      <w:tr>
        <w:trPr>
          <w:trHeight w:val="90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Outcome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Control Group</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true"/>
                <w:u w:val="none"/>
                <w:strike w:val="false"/>
                <w:sz w:val="22"/>
                <w:szCs w:val="22"/>
                <w:color w:val="000000"/>
              </w:rPr>
              <w:t xml:space="preserve">(N = 405)</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Treatment Group</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true"/>
                <w:u w:val="none"/>
                <w:strike w:val="false"/>
                <w:sz w:val="22"/>
                <w:szCs w:val="22"/>
                <w:color w:val="000000"/>
              </w:rPr>
              <w:t xml:space="preserve">(N = 407)</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 value</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Duration of pregnancy - no.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&lt;32 wk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&lt;35 wk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&lt;37 wk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Birth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 weight - 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3181±727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3224±619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&lt;2500 g - no./total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43/403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39/405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&lt;1500 g - no./total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15/403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7/405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Live births - no.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391 (96.5)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402 (98.8)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Preterm§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6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&lt;32 wk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6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&lt;35 wk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0.35</w:t>
            </w:r>
          </w:p>
        </w:tc>
      </w:tr>
      <w:tr>
        <w:trPr>
          <w:trHeight w:val="623"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6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&lt;37 wk</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 (9.7)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 (10.9)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w:t>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The numbers of patients in the study groups do not include those who withdrew from the study or were lost to follow up. Two women who underwent elevtive abortions were treated as lost to follow-up at the time of abortion. Plus-minus values are means±SD, unless otherwise noted.</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P Values in this category were calculated with the use of Fisher's exact test.</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This category includes all live preterm births in the specified gestational period. Percentages were calculated as a frction of all live births.</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2026-10-16T15:54:48Z</dcterms:modified>
  <cp:category/>
</cp:coreProperties>
</file>