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微软雅黑" w:hAnsi="微软雅黑" w:eastAsia="微软雅黑"/>
          <w:b/>
          <w:color w:val="123A5F"/>
          <w:sz w:val="32"/>
        </w:rPr>
        <w:t>RPA 自动化项目 · SOP 与运维文档</w:t>
      </w:r>
    </w:p>
    <w:p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666666"/>
          <w:sz w:val="18"/>
        </w:rPr>
        <w:t>目标：用 RPA 替代跨系统人工重复搬运，稳定可运维、异常可追踪、效果可度量。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一、关键指标口径</w:t>
      </w:r>
    </w:p>
    <w:p>
      <w:pPr>
        <w:spacing w:before="0" w:after="40" w:line="276" w:lineRule="auto"/>
        <w:ind w:left="283" w:hanging="283"/>
      </w:pPr>
      <w:r>
        <w:rPr>
          <w:rFonts w:ascii="微软雅黑" w:hAnsi="微软雅黑" w:eastAsia="微软雅黑"/>
          <w:b w:val="0"/>
          <w:color w:val="333333"/>
          <w:sz w:val="20"/>
        </w:rPr>
        <w:t>•  替代人工时长 = 优化前人工处理耗时 - 优化后 RPA 处理耗时，为核心度量；目标：≥ 2 人天/周；</w:t>
      </w:r>
    </w:p>
    <w:p>
      <w:pPr>
        <w:spacing w:before="0" w:after="40" w:line="276" w:lineRule="auto"/>
        <w:ind w:left="283" w:hanging="283"/>
      </w:pPr>
      <w:r>
        <w:rPr>
          <w:rFonts w:ascii="微软雅黑" w:hAnsi="微软雅黑" w:eastAsia="微软雅黑"/>
          <w:b w:val="0"/>
          <w:color w:val="333333"/>
          <w:sz w:val="20"/>
        </w:rPr>
        <w:t>•  错误率下降 = (基线人工错误率 - 优化后错误率) / 基线人工错误率；目标：≥ 60%；</w:t>
      </w:r>
    </w:p>
    <w:p>
      <w:pPr>
        <w:spacing w:before="0" w:after="40" w:line="276" w:lineRule="auto"/>
        <w:ind w:left="283" w:hanging="283"/>
      </w:pPr>
      <w:r>
        <w:rPr>
          <w:rFonts w:ascii="微软雅黑" w:hAnsi="微软雅黑" w:eastAsia="微软雅黑"/>
          <w:b w:val="0"/>
          <w:color w:val="333333"/>
          <w:sz w:val="20"/>
        </w:rPr>
        <w:t>•  处理速度提升 = 基线处理时长 / 优化后处理时长；目标：≥ 50%；</w:t>
      </w:r>
    </w:p>
    <w:p>
      <w:pPr>
        <w:spacing w:before="0" w:after="40" w:line="276" w:lineRule="auto"/>
        <w:ind w:left="283" w:hanging="283"/>
      </w:pPr>
      <w:r>
        <w:rPr>
          <w:rFonts w:ascii="微软雅黑" w:hAnsi="微软雅黑" w:eastAsia="微软雅黑"/>
          <w:b w:val="0"/>
          <w:color w:val="333333"/>
          <w:sz w:val="20"/>
        </w:rPr>
        <w:t>•  异常告警率 = 成功告警并闭环处理的异常数 / 总异常数，降低漏处理风险；目标：告警闭环率 ≥ 95%。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二、标准操作流程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color="auto" w:fill="12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236"/>
            <w:shd w:val="clear" w:color="auto" w:fill="12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操作内容</w:t>
            </w:r>
          </w:p>
        </w:tc>
        <w:tc>
          <w:tcPr>
            <w:tcW w:type="dxa" w:w="1928"/>
            <w:shd w:val="clear" w:color="auto" w:fill="12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产出/检查点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Step 1 盘点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盘点订单、库存、客服、财务、审批、考勤、工资等高频跨系统操作，按频次与耗时排序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高频流程清单 + 优先级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Step 2 设计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设计 RPA 流程：触发（定时/事件）→ 操作 → 汇总 → 告警 → 人工复核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流程图 + 触发规则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Step 3 编排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用影刀/实在智能/UiBot/钉钉 RPA 录制编排机器人脚本，优先 API 集成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机器人脚本（版本化）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Step 4 异常兜底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配置元素定位容错、失败重试、告警通道与人工复核机制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异常处理与告警配置生效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Step 5 试点统计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小范围试点，统计替代人工时长、错误率、处理速度，收集反馈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试点报告 + 优化记录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Step 6 推广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输出 SOP 与运维文档，培训业务/运维人员，建立巡检与迭代机制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SOP + 培训记录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三、运维职责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2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669"/>
            <w:shd w:val="clear" w:color="auto" w:fill="12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268"/>
            <w:shd w:val="clear" w:color="auto" w:fill="12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频率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RPA 运维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机器人运行监控、巡检、元素定位器维护、告警响应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每日巡检 / 即时响应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业务复核人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异常清单复核、关键节点人工确认、处理结果回写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按异常清单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RPA 负责人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流程新增/变更审批、月度运行报告、规则迭代决策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每周 / 每月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四、版本管理</w:t>
      </w:r>
    </w:p>
    <w:p>
      <w:pPr>
        <w:spacing w:before="0" w:after="40" w:line="276" w:lineRule="auto"/>
        <w:ind w:left="283" w:hanging="283"/>
      </w:pPr>
      <w:r>
        <w:rPr>
          <w:rFonts w:ascii="微软雅黑" w:hAnsi="微软雅黑" w:eastAsia="微软雅黑"/>
          <w:b w:val="0"/>
          <w:color w:val="333333"/>
          <w:sz w:val="20"/>
        </w:rPr>
        <w:t>•  机器人脚本与配置按版本管理（V1.0、V1.1...），变更需记录：变更内容、原因、影响流程、审批人；</w:t>
      </w:r>
    </w:p>
    <w:p>
      <w:pPr>
        <w:spacing w:before="0" w:after="40" w:line="276" w:lineRule="auto"/>
        <w:ind w:left="283" w:hanging="283"/>
      </w:pPr>
      <w:r>
        <w:rPr>
          <w:rFonts w:ascii="微软雅黑" w:hAnsi="微软雅黑" w:eastAsia="微软雅黑"/>
          <w:b w:val="0"/>
          <w:color w:val="333333"/>
          <w:sz w:val="20"/>
        </w:rPr>
        <w:t>•  目标系统改版或流程调整时，先在小范围灰度运行，验证通过后全量发布；</w:t>
      </w:r>
    </w:p>
    <w:p>
      <w:pPr>
        <w:spacing w:before="0" w:after="40" w:line="276" w:lineRule="auto"/>
        <w:ind w:left="283" w:hanging="283"/>
      </w:pPr>
      <w:r>
        <w:rPr>
          <w:rFonts w:ascii="微软雅黑" w:hAnsi="微软雅黑" w:eastAsia="微软雅黑"/>
          <w:b w:val="0"/>
          <w:color w:val="333333"/>
          <w:sz w:val="20"/>
        </w:rPr>
        <w:t>•  历史版本可回滚，回滚后须重跑异常检查。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五、巡检与故障处理</w:t>
      </w:r>
    </w:p>
    <w:p>
      <w:pPr>
        <w:spacing w:before="0" w:after="40" w:line="276" w:lineRule="auto"/>
        <w:ind w:left="283" w:hanging="283"/>
      </w:pPr>
      <w:r>
        <w:rPr>
          <w:rFonts w:ascii="微软雅黑" w:hAnsi="微软雅黑" w:eastAsia="微软雅黑"/>
          <w:b w:val="0"/>
          <w:color w:val="333333"/>
          <w:sz w:val="20"/>
        </w:rPr>
        <w:t>•  每日巡检：各流程运行状态、失败重试记录、告警闭环情况；</w:t>
      </w:r>
    </w:p>
    <w:p>
      <w:pPr>
        <w:spacing w:before="0" w:after="40" w:line="276" w:lineRule="auto"/>
        <w:ind w:left="283" w:hanging="283"/>
      </w:pPr>
      <w:r>
        <w:rPr>
          <w:rFonts w:ascii="微软雅黑" w:hAnsi="微软雅黑" w:eastAsia="微软雅黑"/>
          <w:b w:val="0"/>
          <w:color w:val="333333"/>
          <w:sz w:val="20"/>
        </w:rPr>
        <w:t>•  故障处理流程：收到告警 → 判断影响范围 → 应急处理（重跑/回滚/人工兜底）→ 根因分析 → 更新容错与巡检项；</w:t>
      </w:r>
    </w:p>
    <w:p>
      <w:pPr>
        <w:spacing w:before="0" w:after="40" w:line="276" w:lineRule="auto"/>
        <w:ind w:left="283" w:hanging="283"/>
      </w:pPr>
      <w:r>
        <w:rPr>
          <w:rFonts w:ascii="微软雅黑" w:hAnsi="微软雅黑" w:eastAsia="微软雅黑"/>
          <w:b w:val="0"/>
          <w:color w:val="333333"/>
          <w:sz w:val="20"/>
        </w:rPr>
        <w:t>•  月度复盘：错误率、替代人工时长、告警统计，确定下月优化项。</w:t>
      </w:r>
    </w:p>
    <w:p>
      <w:pPr>
        <w:pStyle w:val="Heading1"/>
      </w:pPr>
      <w:r>
        <w:rPr>
          <w:rFonts w:ascii="微软雅黑" w:hAnsi="微软雅黑" w:eastAsia="微软雅黑"/>
          <w:b/>
          <w:sz w:val="26"/>
        </w:rPr>
        <w:t>六、RPA 流程开发规范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产出物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质量门禁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需求梳理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与业务方确认流程边界、异常分支、操作频次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流程需求说明书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业务方签字确认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流程设计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画流程图（触发/操作/汇总/告警/复核），标注失败分支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流程图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评审会通过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脚本开发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优先 API 集成，界面操作用稳定选择器（ID/Name/XPath）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RPA 脚本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代码评审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联调测试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用生产副本数据跑通主流程 + 3 类异常场景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测试记录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测试通过率 100%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灰度试点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单部门试点 1-2 周，跟踪错误率与节省工时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试点报告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错误率 &lt; 2%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上线推广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正式发布 + 运维巡检接入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发布记录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运维看板可见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26"/>
        </w:rPr>
        <w:t>七、运维巡检清单（每日/每周/每月）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频次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巡检项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异常处理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每日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任务执行状态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查看定时任务是否按点执行、成功率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失败任务按重试策略处理并记录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每日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异常告警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确认钉钉/企微群告警是否清零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未清零升级管理员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每日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日志检查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抽查 RPA 运行日志，定位潜在报错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报错入缺陷池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每周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元素定位巡检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抽查关键流程选择器是否失效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失效立即修复并回归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每周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数据核对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RPA 处理结果与源系统抽样核对（10 条）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差异分析并修复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每周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资源监控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RPA 机器人 CPU/内存/磁盘占用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超阈值扩容或清理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每月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流程健康度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按流程统计成功率/错误类型分布/耗时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TOP 问题流程优化排期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每月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权限审计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RPA 账号权限、密钥轮换、白名单核对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权限回收/轮换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26"/>
        </w:rPr>
        <w:t>八、故障排查手册（常见问题速查）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可能原因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排查步骤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解决建议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任务未执行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定时触发未生效/机器人离线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查调度日志 → 查机器人在线状态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重启调度/机器人，补跑任务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登录失败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账号密码变更/验证码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查登录模块日志，确认凭据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更新凭据保管库，验证码走人工介入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元素找不到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页面改版/网络慢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截图对比 → 查选择器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更新选择器，优先用 API 替代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数据不一致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源系统数据变更/并发写入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对比源系统与结果表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加幂等键与唯一约束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机器人卡死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弹窗未处理/内存不足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查屏幕截图与内存</w:t>
            </w:r>
          </w:p>
        </w:tc>
        <w:tc>
          <w:tcPr>
            <w:tcW w:type="dxa" w:w="246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加弹窗自动关闭规则，扩容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26"/>
        </w:rPr>
        <w:t>九、灾备与安全</w:t>
      </w:r>
    </w:p>
    <w:p>
      <w:r>
        <w:rPr>
          <w:rFonts w:ascii="微软雅黑" w:hAnsi="微软雅黑" w:eastAsia="微软雅黑"/>
          <w:b w:val="0"/>
          <w:sz w:val="21"/>
        </w:rPr>
        <w:t>9.1 备份：RPA 脚本纳入 Git 版本管理；机器人配置与控制台数据每日备份；关键凭据加密存放于密钥库（Vault/环境变量），严禁明文写脚本。9.2 权限：RPA 账号遵循最小权限；操作日志全量留存 ≥ 180 天；敏感数据脱敏。9.3 灾备：双机器人互备（主失效自动切换备机），控制台高可用部署。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ccca5da1b66f11f1aeec525400393706","ReservedCode1":"KTanqz/fDZrF6XMiS2yL/6PHYauv5g3IT+HgUoQd3VZ2ObHdH54XZNnIH52vWXl/uNm6f/wKOWaGJLTFdPuZR4qiABebMtrjtyNu4UUlnMFBXqwhHPxRQihtgxK1+U3xVjwBUyDu3mXD3QhzCH0/7aiFH5leBoApoSFX3VkSYxCK2xlMb7qmo05LI+E=","ContentPropagator":"001191440300708461136T1XGW3","PropagateID":"a9782e29de8590e62ac547221dcdd3cc_ccca5da1b66f11f1aeec525400393706","ReservedCode2":"KTanqz/fDZrF6XMiS2yL/6PHYauv5g3IT+HgUoQd3VZ2ObHdH54XZNnIH52vWXl/uNm6f/wKOWaGJLTFdPuZR4qiABebMtrjtyNu4UUlnMFBXqwhHPxRQihtgxK1+U3xVjwBUyDu3mXD3QhzCH0/7aiFH5leBoApoSFX3VkSYxCK2xlMb7qmo05LI+E="}</vt:lpwstr>
  </property>
</Properties>
</file>