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i/>
        </w:rPr>
      </w:pPr>
      <w:r>
        <w:pict>
          <v:group id="_x0000_s1026" o:spid="_x0000_s1026" o:spt="203" style="position:absolute;left:0pt;margin-left:76.5pt;margin-top:0.35pt;height:34pt;width:34pt;mso-position-horizontal-relative:page;z-index:251660288;mso-width-relative:page;mso-height-relative:page;" coordorigin="1531,7" coordsize="680,680">
            <o:lock v:ext="edit"/>
            <v:shape id="_x0000_s1027" o:spid="_x0000_s1027" style="position:absolute;left:1530;top:7;height:680;width:680;" fillcolor="#556D3E" filled="t" stroked="f" coordorigin="1531,7" coordsize="680,680" path="m2210,7l1531,7,1531,687,2174,687,2182,687,2186,687,2210,687,2210,7xe">
              <v:path arrowok="t"/>
              <v:fill on="t" focussize="0,0"/>
              <v:stroke on="f"/>
              <v:imagedata o:title=""/>
              <o:lock v:ext="edit"/>
            </v:shape>
            <v:shape id="_x0000_s1028" o:spid="_x0000_s1028" o:spt="75" type="#_x0000_t75" style="position:absolute;left:1566;top:62;height:288;width:278;" filled="f" stroked="f" coordsize="21600,21600">
              <v:path/>
              <v:fill on="f" focussize="0,0"/>
              <v:stroke on="f"/>
              <v:imagedata r:id="rId7" o:title=""/>
              <o:lock v:ext="edit" aspectratio="t"/>
            </v:shape>
            <v:shape id="_x0000_s1029" o:spid="_x0000_s1029" style="position:absolute;left:1770;top:248;height:438;width:437;" fillcolor="#8DB690" filled="t" stroked="f" coordorigin="1770,249" coordsize="437,438" path="m2188,526l2188,513,2186,513,2184,512,2173,508,2166,488,2158,494,2156,500,2158,508,2164,516,2171,523,2175,526,2182,526,2188,526xm2206,570l2206,567,2206,564,2206,562,2202,564,2201,565,2191,570,2181,575,2171,579,2161,578,2150,573,2146,556,2141,545,2138,532,2136,519,2133,507,2128,495,2122,485,2110,479,2097,471,2092,471,2091,468,2095,461,2104,456,2113,451,2116,445,2113,436,2097,442,2080,432,2075,420,2059,413,2050,418,2044,414,2037,409,2039,391,2031,392,2026,397,2026,406,2025,416,2021,422,2013,423,2009,411,2000,400,2002,389,1986,386,1983,403,1966,414,1956,418,1946,418,1939,418,1930,417,1927,412,1925,401,1927,390,1932,380,1940,371,1947,368,1957,369,1966,370,1974,367,1981,362,1977,349,1984,343,1992,339,2002,339,2012,339,2022,337,2031,333,2037,323,2056,315,2066,315,2084,312,2093,314,2109,308,2115,298,2124,296,2132,295,2140,302,2154,303,2160,302,2170,300,2176,299,2185,296,2195,296,2203,299,2206,300,2206,295,2206,289,2206,284,2206,282,2206,281,2206,279,2206,279,2206,274,2206,270,2206,265,2181,258,2155,253,2129,250,2102,249,2026,258,1956,283,1894,322,1843,373,1804,435,1779,505,1770,581,1771,609,1775,635,1780,661,1787,686,1804,686,1823,687,1831,687,1839,687,1854,686,1872,686,1892,686,1911,686,1908,678,1904,669,1894,652,1887,642,1876,636,1866,634,1855,635,1845,635,1836,632,1827,621,1822,607,1820,592,1820,578,1821,561,1824,545,1829,529,1837,515,1847,503,1860,493,1873,484,1887,476,1893,471,1900,467,1913,464,1919,463,1925,462,1930,462,1936,463,1941,465,1950,470,1958,477,1965,484,1973,491,1979,494,1985,496,2000,498,2009,494,2017,496,2027,499,2038,503,2047,509,2055,517,2059,521,2059,528,2062,534,2066,546,2070,559,2074,572,2079,584,2084,593,2089,602,2095,610,2101,618,2106,624,2111,632,2118,634,2130,634,2142,629,2154,626,2163,630,2165,641,2158,654,2148,666,2139,678,2137,681,2135,684,2132,686,2148,686,2166,686,2186,686,2205,686,2206,657,2206,628,2206,570xe">
              <v:path arrowok="t"/>
              <v:fill on="t" focussize="0,0"/>
              <v:stroke on="f"/>
              <v:imagedata o:title=""/>
              <o:lock v:ext="edit"/>
            </v:shape>
          </v:group>
        </w:pict>
      </w:r>
      <w:r>
        <w:pict>
          <v:group id="_x0000_s1030" o:spid="_x0000_s1030" o:spt="203" style="position:absolute;left:0pt;margin-left:476.35pt;margin-top:6.2pt;height:27.4pt;width:41.6pt;mso-position-horizontal-relative:page;z-index:251660288;mso-width-relative:page;mso-height-relative:page;" coordorigin="9528,124" coordsize="832,548">
            <o:lock v:ext="edit"/>
            <v:shape id="_x0000_s1031" o:spid="_x0000_s1031" o:spt="75" type="#_x0000_t75" style="position:absolute;left:9527;top:124;height:548;width:832;" filled="f" stroked="f" coordsize="21600,21600">
              <v:path/>
              <v:fill on="f" focussize="0,0"/>
              <v:stroke on="f"/>
              <v:imagedata r:id="rId8" o:title=""/>
              <o:lock v:ext="edit" aspectratio="t"/>
            </v:shape>
            <v:shape id="_x0000_s1032" o:spid="_x0000_s1032" o:spt="75" type="#_x0000_t75" style="position:absolute;left:9616;top:309;height:184;width:200;" filled="f" stroked="f" coordsize="21600,21600">
              <v:path/>
              <v:fill on="f" focussize="0,0"/>
              <v:stroke on="f"/>
              <v:imagedata r:id="rId9" o:title=""/>
              <o:lock v:ext="edit" aspectratio="t"/>
            </v:shape>
            <v:shape id="_x0000_s1033" o:spid="_x0000_s1033" o:spt="75" type="#_x0000_t75" style="position:absolute;left:9847;top:309;height:184;width:163;" filled="f" stroked="f" coordsize="21600,21600">
              <v:path/>
              <v:fill on="f" focussize="0,0"/>
              <v:stroke on="f"/>
              <v:imagedata r:id="rId10" o:title=""/>
              <o:lock v:ext="edit" aspectratio="t"/>
            </v:shape>
            <v:shape id="_x0000_s1034" o:spid="_x0000_s1034" o:spt="75" type="#_x0000_t75" style="position:absolute;left:10034;top:309;height:184;width:234;" filled="f" stroked="f" coordsize="21600,21600">
              <v:path/>
              <v:fill on="f" focussize="0,0"/>
              <v:stroke on="f"/>
              <v:imagedata r:id="rId11" o:title=""/>
              <o:lock v:ext="edit" aspectratio="t"/>
            </v:shape>
            <v:shape id="_x0000_s1035" o:spid="_x0000_s1035" o:spt="75" type="#_x0000_t75" style="position:absolute;left:9931;top:269;height:403;width:425;" filled="f" stroked="f" coordsize="21600,21600">
              <v:path/>
              <v:fill on="f" focussize="0,0"/>
              <v:stroke on="f"/>
              <v:imagedata r:id="rId12" o:title=""/>
              <o:lock v:ext="edit" aspectratio="t"/>
            </v:shape>
            <v:shape id="_x0000_s1036" o:spid="_x0000_s1036" o:spt="75" type="#_x0000_t75" style="position:absolute;left:9531;top:128;height:403;width:425;" filled="f" stroked="f" coordsize="21600,21600">
              <v:path/>
              <v:fill on="f" focussize="0,0"/>
              <v:stroke on="f"/>
              <v:imagedata r:id="rId13" o:title=""/>
              <o:lock v:ext="edit" aspectratio="t"/>
            </v:shape>
          </v:group>
        </w:pict>
      </w:r>
      <w:r>
        <w:fldChar w:fldCharType="begin"/>
      </w:r>
      <w:r>
        <w:rPr>
          <w:rFonts w:hint="default" w:ascii="宋体" w:hAnsi="宋体" w:eastAsia="宋体" w:cs="宋体"/>
        </w:rPr>
        <w:instrText xml:space="preserve"> HYPERLINK "http://www.mdpi.com/journal/remotesensing" \h </w:instrText>
      </w:r>
      <w:r>
        <w:fldChar w:fldCharType="separate"/>
      </w:r>
      <w:r>
        <w:rPr>
          <w:rFonts w:hint="default" w:ascii="宋体" w:hAnsi="宋体" w:eastAsia="宋体" w:cs="宋体"/>
          <w:i/>
          <w:color w:val="556D46"/>
        </w:rPr>
        <w:t>遥感技术</w:t>
      </w:r>
      <w:r>
        <w:rPr>
          <w:i/>
          <w:color w:val="556D46"/>
        </w:rPr>
        <w:fldChar w:fldCharType="end"/>
      </w:r>
    </w:p>
    <w:p>
      <w:pPr>
        <w:pStyle w:val="3"/>
        <w:rPr>
          <w:rFonts w:ascii="Times New Roman"/>
          <w:b/>
          <w:i/>
        </w:rPr>
      </w:pPr>
    </w:p>
    <w:p>
      <w:pPr>
        <w:spacing w:before="216" w:line="244" w:lineRule="exact"/>
        <w:ind w:left="123" w:right="0" w:firstLine="0"/>
        <w:jc w:val="left"/>
        <w:rPr>
          <w:i/>
          <w:sz w:val="20"/>
        </w:rPr>
      </w:pPr>
      <w:r>
        <w:rPr>
          <w:rFonts w:hint="default" w:ascii="宋体" w:hAnsi="宋体" w:eastAsia="宋体" w:cs="宋体"/>
          <w:i/>
          <w:sz w:val="20"/>
        </w:rPr>
        <w:t>文章</w:t>
      </w:r>
    </w:p>
    <w:p>
      <w:pPr>
        <w:spacing w:before="38" w:line="199" w:lineRule="auto"/>
        <w:ind w:left="130" w:right="963" w:firstLine="0"/>
        <w:jc w:val="both"/>
        <w:rPr>
          <w:b/>
          <w:sz w:val="36"/>
        </w:rPr>
      </w:pPr>
      <w:r>
        <w:rPr>
          <w:rFonts w:hint="default" w:ascii="宋体" w:hAnsi="宋体" w:eastAsia="宋体" w:cs="宋体"/>
          <w:b/>
          <w:sz w:val="36"/>
        </w:rPr>
        <w:t>利用欧空局CCISM产品获得高分辨率地表土壤水分的新降压方法</w:t>
      </w:r>
    </w:p>
    <w:p>
      <w:pPr>
        <w:pStyle w:val="3"/>
        <w:spacing w:before="8"/>
        <w:rPr>
          <w:b/>
          <w:sz w:val="14"/>
        </w:rPr>
      </w:pPr>
    </w:p>
    <w:p>
      <w:pPr>
        <w:pStyle w:val="2"/>
        <w:spacing w:before="77"/>
        <w:ind w:left="126" w:firstLine="0"/>
        <w:jc w:val="left"/>
      </w:pPr>
      <w:r>
        <w:rPr>
          <w:w w:val="99"/>
        </w:rPr>
        <w:drawing>
          <wp:inline distT="0" distB="0" distL="0" distR="0">
            <wp:extent cx="114935" cy="114935"/>
            <wp:effectExtent l="0" t="0" r="0" b="0"/>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pic:cNvPicPr>
                      <a:picLocks noChangeAspect="1"/>
                    </pic:cNvPicPr>
                  </pic:nvPicPr>
                  <pic:blipFill>
                    <a:blip r:embed="rId14" cstate="print"/>
                    <a:stretch>
                      <a:fillRect/>
                    </a:stretch>
                  </pic:blipFill>
                  <pic:spPr>
                    <a:xfrm>
                      <a:off x="0" y="0"/>
                      <a:ext cx="115198" cy="115198"/>
                    </a:xfrm>
                    <a:prstGeom prst="rect">
                      <a:avLst/>
                    </a:prstGeom>
                  </pic:spPr>
                </pic:pic>
              </a:graphicData>
            </a:graphic>
          </wp:inline>
        </w:drawing>
      </w:r>
      <w:r>
        <w:rPr>
          <w:rFonts w:hint="default" w:ascii="宋体" w:hAnsi="宋体" w:eastAsia="宋体" w:cs="宋体"/>
          <w:w w:val="99"/>
        </w:rPr>
        <w:t>JovanKovacˇevic´*，泽尔jko克维季诺维奇´，NikolaStancˇic´，NenadBrodic´和德拉根·米哈伊洛维奇´</w:t>
      </w:r>
      <w:r>
        <w:rPr>
          <w:spacing w:val="10"/>
          <w:w w:val="99"/>
        </w:rPr>
        <w:drawing>
          <wp:inline distT="0" distB="0" distL="0" distR="0">
            <wp:extent cx="114935" cy="114935"/>
            <wp:effectExtent l="0" t="0" r="0" b="0"/>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pic:cNvPicPr>
                      <a:picLocks noChangeAspect="1"/>
                    </pic:cNvPicPr>
                  </pic:nvPicPr>
                  <pic:blipFill>
                    <a:blip r:embed="rId14" cstate="print"/>
                    <a:stretch>
                      <a:fillRect/>
                    </a:stretch>
                  </pic:blipFill>
                  <pic:spPr>
                    <a:xfrm>
                      <a:off x="0" y="0"/>
                      <a:ext cx="115198" cy="115198"/>
                    </a:xfrm>
                    <a:prstGeom prst="rect">
                      <a:avLst/>
                    </a:prstGeom>
                  </pic:spPr>
                </pic:pic>
              </a:graphicData>
            </a:graphic>
          </wp:inline>
        </w:drawing>
      </w:r>
    </w:p>
    <w:p>
      <w:pPr>
        <w:spacing w:before="113"/>
        <w:ind w:left="244" w:right="122" w:firstLine="0"/>
        <w:jc w:val="left"/>
        <w:rPr>
          <w:sz w:val="18"/>
        </w:rPr>
      </w:pPr>
      <w:r>
        <w:rPr>
          <w:rFonts w:hint="default" w:ascii="宋体" w:hAnsi="宋体" w:eastAsia="宋体" w:cs="宋体"/>
          <w:sz w:val="18"/>
        </w:rPr>
        <w:t>贝尔格莱德大学土木工程学院，亚历山大73,11000贝尔格莱德，塞尔维亚；zeljkoc@grf.bg.ac.rs(Z。 C.); nstancic@grf.bg.ac.rs(N.S.)；nbrodic@grf.bg.ac.rs(N. B.); draganm@grf.bg.ac.rs(D. M.)</w:t>
      </w:r>
      <w:r>
        <w:fldChar w:fldCharType="begin"/>
      </w:r>
      <w:r>
        <w:rPr>
          <w:rFonts w:hint="default" w:ascii="宋体" w:hAnsi="宋体" w:eastAsia="宋体" w:cs="宋体"/>
        </w:rPr>
        <w:instrText xml:space="preserve"> HYPERLINK "mailto:zeljkoc@grf.bg.ac.rs" \h </w:instrText>
      </w:r>
      <w:r>
        <w:fldChar w:fldCharType="separate"/>
      </w:r>
      <w:r>
        <w:rPr>
          <w:spacing w:val="-24"/>
          <w:sz w:val="18"/>
        </w:rPr>
        <w:fldChar w:fldCharType="end"/>
      </w:r>
      <w:r>
        <w:fldChar w:fldCharType="begin"/>
      </w:r>
      <w:r>
        <w:rPr>
          <w:rFonts w:hint="default" w:ascii="宋体" w:hAnsi="宋体" w:eastAsia="宋体" w:cs="宋体"/>
        </w:rPr>
        <w:instrText xml:space="preserve"> HYPERLINK "mailto:nstancic@grf.bg.ac.rs" \h </w:instrText>
      </w:r>
      <w:r>
        <w:fldChar w:fldCharType="separate"/>
      </w:r>
      <w:r>
        <w:rPr>
          <w:spacing w:val="-24"/>
          <w:sz w:val="18"/>
        </w:rPr>
        <w:fldChar w:fldCharType="end"/>
      </w:r>
      <w:r>
        <w:fldChar w:fldCharType="begin"/>
      </w:r>
      <w:r>
        <w:rPr>
          <w:rFonts w:hint="default" w:ascii="宋体" w:hAnsi="宋体" w:eastAsia="宋体" w:cs="宋体"/>
        </w:rPr>
        <w:instrText xml:space="preserve"> HYPERLINK "mailto:nbrodic@grf.bg.ac.rs" \h </w:instrText>
      </w:r>
      <w:r>
        <w:fldChar w:fldCharType="separate"/>
      </w:r>
      <w:r>
        <w:rPr>
          <w:spacing w:val="-24"/>
          <w:sz w:val="18"/>
        </w:rPr>
        <w:fldChar w:fldCharType="end"/>
      </w:r>
      <w:r>
        <w:fldChar w:fldCharType="begin"/>
      </w:r>
      <w:r>
        <w:rPr>
          <w:rFonts w:hint="default" w:ascii="宋体" w:hAnsi="宋体" w:eastAsia="宋体" w:cs="宋体"/>
        </w:rPr>
        <w:instrText xml:space="preserve"> HYPERLINK "mailto:draganm@grf.bg.ac.rs" \h </w:instrText>
      </w:r>
      <w:r>
        <w:fldChar w:fldCharType="separate"/>
      </w:r>
      <w:r>
        <w:rPr>
          <w:spacing w:val="-24"/>
          <w:sz w:val="18"/>
        </w:rPr>
        <w:fldChar w:fldCharType="end"/>
      </w:r>
    </w:p>
    <w:p>
      <w:pPr>
        <w:spacing w:before="0" w:line="241" w:lineRule="exact"/>
        <w:ind w:left="228" w:right="0" w:firstLine="0"/>
        <w:jc w:val="left"/>
        <w:rPr>
          <w:sz w:val="18"/>
        </w:rPr>
      </w:pPr>
      <w:r>
        <w:fldChar w:fldCharType="begin"/>
      </w:r>
      <w:r>
        <w:rPr>
          <w:rFonts w:hint="default" w:ascii="宋体" w:hAnsi="宋体" w:eastAsia="宋体" w:cs="宋体"/>
        </w:rPr>
        <w:instrText xml:space="preserve"> HYPERLINK "mailto:jkovacevic@grf.bg.ac.rs" \h </w:instrText>
      </w:r>
      <w:r>
        <w:fldChar w:fldCharType="separate"/>
      </w:r>
      <w:r>
        <w:rPr>
          <w:rFonts w:hint="default" w:ascii="宋体" w:hAnsi="宋体" w:eastAsia="宋体" w:cs="宋体"/>
          <w:sz w:val="18"/>
        </w:rPr>
        <w:t>*通信地址：jkovacevic@grf.bg.ac.rs</w:t>
      </w:r>
      <w:r>
        <w:rPr>
          <w:sz w:val="18"/>
        </w:rPr>
        <w:fldChar w:fldCharType="end"/>
      </w:r>
    </w:p>
    <w:p>
      <w:pPr>
        <w:spacing w:after="0" w:line="241" w:lineRule="exact"/>
        <w:jc w:val="left"/>
        <w:rPr>
          <w:sz w:val="18"/>
        </w:rPr>
        <w:sectPr>
          <w:type w:val="continuous"/>
          <w:pgSz w:w="11910" w:h="16840"/>
          <w:pgMar w:top="960" w:right="1380" w:bottom="280" w:left="1400" w:header="720" w:footer="720" w:gutter="0"/>
          <w:cols w:space="720" w:num="1"/>
        </w:sectPr>
      </w:pPr>
    </w:p>
    <w:p>
      <w:pPr>
        <w:pStyle w:val="3"/>
        <w:spacing w:before="7"/>
      </w:pPr>
    </w:p>
    <w:p>
      <w:pPr>
        <w:spacing w:before="0"/>
        <w:ind w:left="244" w:right="0" w:firstLine="0"/>
        <w:jc w:val="left"/>
        <w:rPr>
          <w:sz w:val="18"/>
        </w:rPr>
      </w:pPr>
      <w:r>
        <w:rPr>
          <w:rFonts w:hint="default" w:ascii="宋体" w:hAnsi="宋体" w:eastAsia="宋体" w:cs="宋体"/>
          <w:sz w:val="18"/>
        </w:rPr>
        <w:t>收到日期：2020年2月18日；接受日期：2020年3月30日；出版日期：2020年4月1日</w:t>
      </w:r>
    </w:p>
    <w:p>
      <w:pPr>
        <w:spacing w:before="145" w:line="163" w:lineRule="exact"/>
        <w:ind w:left="630" w:right="0" w:firstLine="0"/>
        <w:jc w:val="left"/>
        <w:rPr>
          <w:rFonts w:ascii="Calibri" w:hAnsi="Calibri"/>
          <w:sz w:val="15"/>
        </w:rPr>
      </w:pPr>
      <w:r>
        <w:br w:type="column"/>
      </w:r>
      <w:r>
        <w:fldChar w:fldCharType="begin"/>
      </w:r>
      <w:r>
        <w:rPr>
          <w:rFonts w:hint="default" w:ascii="宋体" w:hAnsi="宋体" w:eastAsia="宋体" w:cs="宋体"/>
        </w:rPr>
        <w:instrText xml:space="preserve"> HYPERLINK "https://www.mdpi.com/2072-4292/12/7/1119?type=check_update&amp;version=2" \h </w:instrText>
      </w:r>
      <w:r>
        <w:fldChar w:fldCharType="separate"/>
      </w:r>
      <w:r>
        <w:rPr>
          <w:rFonts w:hint="default" w:ascii="宋体" w:hAnsi="宋体" w:eastAsia="宋体" w:cs="宋体"/>
          <w:color w:val="000103"/>
          <w:w w:val="52"/>
          <w:sz w:val="15"/>
        </w:rPr>
        <w:t>←他←k</w:t>
      </w:r>
      <w:r>
        <w:rPr>
          <w:rFonts w:ascii="Calibri" w:hAnsi="Calibri"/>
          <w:color w:val="000103"/>
          <w:w w:val="104"/>
          <w:sz w:val="15"/>
        </w:rPr>
        <w:fldChar w:fldCharType="end"/>
      </w:r>
    </w:p>
    <w:p>
      <w:pPr>
        <w:spacing w:before="0" w:line="163" w:lineRule="exact"/>
        <w:ind w:left="630" w:right="0" w:firstLine="0"/>
        <w:jc w:val="left"/>
        <w:rPr>
          <w:rFonts w:ascii="Calibri"/>
          <w:b/>
          <w:sz w:val="15"/>
        </w:rPr>
      </w:pPr>
      <w:r>
        <w:drawing>
          <wp:anchor distT="0" distB="0" distL="0" distR="0" simplePos="0" relativeHeight="251661312" behindDoc="0" locked="0" layoutInCell="1" allowOverlap="1">
            <wp:simplePos x="0" y="0"/>
            <wp:positionH relativeFrom="page">
              <wp:posOffset>5939790</wp:posOffset>
            </wp:positionH>
            <wp:positionV relativeFrom="paragraph">
              <wp:posOffset>-106045</wp:posOffset>
            </wp:positionV>
            <wp:extent cx="210185" cy="210185"/>
            <wp:effectExtent l="0" t="0" r="0" b="0"/>
            <wp:wrapNone/>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pic:cNvPicPr>
                      <a:picLocks noChangeAspect="1"/>
                    </pic:cNvPicPr>
                  </pic:nvPicPr>
                  <pic:blipFill>
                    <a:blip r:embed="rId15" cstate="print"/>
                    <a:stretch>
                      <a:fillRect/>
                    </a:stretch>
                  </pic:blipFill>
                  <pic:spPr>
                    <a:xfrm>
                      <a:off x="0" y="0"/>
                      <a:ext cx="210499" cy="210500"/>
                    </a:xfrm>
                    <a:prstGeom prst="rect">
                      <a:avLst/>
                    </a:prstGeom>
                  </pic:spPr>
                </pic:pic>
              </a:graphicData>
            </a:graphic>
          </wp:anchor>
        </w:drawing>
      </w:r>
      <w:r>
        <w:fldChar w:fldCharType="begin"/>
      </w:r>
      <w:r>
        <w:rPr>
          <w:rFonts w:hint="default" w:ascii="宋体" w:hAnsi="宋体" w:eastAsia="宋体" w:cs="宋体"/>
        </w:rPr>
        <w:instrText xml:space="preserve"> HYPERLINK "https://www.mdpi.com/2072-4292/12/7/1119?type=check_update&amp;version=2" \h </w:instrText>
      </w:r>
      <w:r>
        <w:fldChar w:fldCharType="separate"/>
      </w:r>
      <w:r>
        <w:rPr>
          <w:rFonts w:hint="default" w:ascii="宋体" w:hAnsi="宋体" w:eastAsia="宋体" w:cs="宋体"/>
          <w:b/>
          <w:color w:val="000103"/>
          <w:spacing w:val="6"/>
          <w:w w:val="110"/>
          <w:sz w:val="15"/>
        </w:rPr>
        <w:t>更新信息</w:t>
      </w:r>
      <w:r>
        <w:rPr>
          <w:rFonts w:ascii="Calibri"/>
          <w:b/>
          <w:color w:val="000103"/>
          <w:spacing w:val="6"/>
          <w:w w:val="110"/>
          <w:sz w:val="15"/>
        </w:rPr>
        <w:fldChar w:fldCharType="end"/>
      </w:r>
    </w:p>
    <w:p>
      <w:pPr>
        <w:spacing w:after="0" w:line="163" w:lineRule="exact"/>
        <w:jc w:val="left"/>
        <w:rPr>
          <w:rFonts w:ascii="Calibri"/>
          <w:sz w:val="15"/>
        </w:rPr>
        <w:sectPr>
          <w:type w:val="continuous"/>
          <w:pgSz w:w="11910" w:h="16840"/>
          <w:pgMar w:top="960" w:right="1380" w:bottom="280" w:left="1400" w:header="720" w:footer="720" w:gutter="0"/>
          <w:cols w:equalWidth="0" w:num="2">
            <w:col w:w="6498" w:space="1212"/>
            <w:col w:w="1420"/>
          </w:cols>
        </w:sectPr>
      </w:pPr>
    </w:p>
    <w:p>
      <w:pPr>
        <w:pStyle w:val="3"/>
        <w:spacing w:before="6"/>
        <w:rPr>
          <w:rFonts w:ascii="Calibri"/>
          <w:b/>
          <w:sz w:val="11"/>
        </w:rPr>
      </w:pPr>
    </w:p>
    <w:p>
      <w:pPr>
        <w:pStyle w:val="3"/>
        <w:spacing w:before="79"/>
        <w:ind w:left="235" w:right="148"/>
        <w:jc w:val="both"/>
      </w:pPr>
      <w:r>
        <w:rPr>
          <w:rFonts w:hint="default" w:ascii="宋体" w:hAnsi="宋体" w:eastAsia="宋体" w:cs="宋体"/>
        </w:rPr>
        <w:t>文摘：欧空局CCISM产品提供了遥感地表土壤水分(SSM)含量，具有最好的时空覆盖范围，尽管其25km的输出空间分辨率对许多地区和地方应用来说太粗糙了。本文提出的降压方法采用两步方法将欧空局CCISM空间分辨率提高到1km。第一步用作数据工程工具，其输出用作第二步中的随机森林模型的输入。除了改进空间分辨率方面，该方法还考虑了数据差距的问题。填补这些间隙是该过程的初始步骤，最终在时间和空间领域产生一个连续的乘积。该方法除了现场土壤水分观测和一套辅助下降预测器外，还结合了主动和被动欧空局CCISM产品。该研究测试了随机森林模型的几种变体，以确定欧空局CCISM产品的最佳组合。结论是，在降级过程中，所有欧空局CCISM产品和辅助数据集的协同使用比仅单独使用一种欧空局CCISM产品提供了更好的结果。该方法被应用于获得2016年美国加州地区的SSM地图。通过对原位数据的五倍交叉验证进行了验证，模型的最佳变化RMSE、R2和MAE分别为0.0518m3/m3、0.7312和0.0374m3/m3。该方法被证明对生成高分辨率的SSM产品是有用的，尽管有必要进行额外的改进。</w:t>
      </w:r>
    </w:p>
    <w:p>
      <w:pPr>
        <w:pStyle w:val="3"/>
        <w:spacing w:before="10"/>
        <w:rPr>
          <w:sz w:val="16"/>
        </w:rPr>
      </w:pPr>
    </w:p>
    <w:p>
      <w:pPr>
        <w:pStyle w:val="3"/>
        <w:ind w:left="244"/>
        <w:jc w:val="both"/>
      </w:pPr>
      <w:r>
        <w:rPr>
          <w:rFonts w:hint="default" w:ascii="宋体" w:hAnsi="宋体" w:eastAsia="宋体" w:cs="宋体"/>
        </w:rPr>
        <w:t>关键词：土壤水分、缩小、随机森林、欧空局CCISM</w:t>
      </w:r>
    </w:p>
    <w:p>
      <w:pPr>
        <w:pStyle w:val="3"/>
        <w:spacing w:before="6"/>
      </w:pPr>
      <w:r>
        <w:pict>
          <v:shape id="_x0000_s1037" o:spid="_x0000_s1037" style="position:absolute;left:0pt;margin-left:76.5pt;margin-top:15.95pt;height:0.1pt;width:442.25pt;mso-position-horizontal-relative:page;mso-wrap-distance-bottom:0pt;mso-wrap-distance-top:0pt;z-index:-251653120;mso-width-relative:page;mso-height-relative:page;" filled="f" stroked="t" coordorigin="1531,319" coordsize="8845,0" path="m1531,319l10375,319e">
            <v:path arrowok="t"/>
            <v:fill on="f" focussize="0,0"/>
            <v:stroke weight="0.398031496062992pt" color="#000000"/>
            <v:imagedata o:title=""/>
            <o:lock v:ext="edit"/>
            <w10:wrap type="topAndBottom"/>
          </v:shape>
        </w:pict>
      </w:r>
    </w:p>
    <w:p>
      <w:pPr>
        <w:pStyle w:val="3"/>
        <w:spacing w:before="10"/>
        <w:rPr>
          <w:sz w:val="23"/>
        </w:rPr>
      </w:pPr>
    </w:p>
    <w:p>
      <w:pPr>
        <w:pStyle w:val="2"/>
        <w:numPr>
          <w:ilvl w:val="0"/>
          <w:numId w:val="1"/>
        </w:numPr>
        <w:tabs>
          <w:tab w:val="left" w:pos="350"/>
        </w:tabs>
        <w:spacing w:before="76" w:after="0" w:line="240" w:lineRule="auto"/>
        <w:ind w:left="349" w:right="0" w:hanging="220"/>
        <w:jc w:val="both"/>
      </w:pPr>
      <w:bookmarkStart w:id="0" w:name="Introduction "/>
      <w:bookmarkEnd w:id="0"/>
      <w:bookmarkStart w:id="1" w:name="Introduction "/>
      <w:bookmarkEnd w:id="1"/>
      <w:r>
        <w:rPr>
          <w:rFonts w:hint="default" w:ascii="宋体" w:hAnsi="宋体" w:eastAsia="宋体" w:cs="宋体"/>
        </w:rPr>
        <w:t>产品简介</w:t>
      </w:r>
    </w:p>
    <w:p>
      <w:pPr>
        <w:pStyle w:val="3"/>
        <w:spacing w:before="3" w:line="237" w:lineRule="auto"/>
        <w:ind w:left="130" w:right="113" w:firstLine="425"/>
        <w:jc w:val="both"/>
      </w:pPr>
      <w:r>
        <w:fldChar w:fldCharType="begin"/>
      </w:r>
      <w:r>
        <w:rPr>
          <w:rFonts w:hint="default" w:ascii="宋体" w:hAnsi="宋体" w:eastAsia="宋体" w:cs="宋体"/>
        </w:rPr>
        <w:instrText xml:space="preserve"> HYPERLINK \l "_bookmark22" </w:instrText>
      </w:r>
      <w:r>
        <w:fldChar w:fldCharType="separate"/>
      </w:r>
      <w:r>
        <w:fldChar w:fldCharType="end"/>
      </w:r>
      <w:r>
        <w:rPr>
          <w:rFonts w:hint="default" w:ascii="宋体" w:hAnsi="宋体" w:eastAsia="宋体" w:cs="宋体"/>
        </w:rPr>
        <w:t>土壤水分是地球系统中的重要组成部分，对地表与大气[1]的相互作用影响。因此，使用土壤水分信息对许多应用至关重要，如水文地质监测[2,3]、气象学[4]和水资源管理[5,6]。</w:t>
      </w:r>
      <w:r>
        <w:fldChar w:fldCharType="begin"/>
      </w:r>
      <w:r>
        <w:rPr>
          <w:rFonts w:hint="default" w:ascii="宋体" w:hAnsi="宋体" w:eastAsia="宋体" w:cs="宋体"/>
        </w:rPr>
        <w:instrText xml:space="preserve"> HYPERLINK \l "_bookmark23" </w:instrText>
      </w:r>
      <w:r>
        <w:fldChar w:fldCharType="separate"/>
      </w:r>
      <w:r>
        <w:fldChar w:fldCharType="end"/>
      </w:r>
      <w:r>
        <w:fldChar w:fldCharType="begin"/>
      </w:r>
      <w:r>
        <w:rPr>
          <w:rFonts w:hint="default" w:ascii="宋体" w:hAnsi="宋体" w:eastAsia="宋体" w:cs="宋体"/>
        </w:rPr>
        <w:instrText xml:space="preserve"> HYPERLINK \l "_bookmark24" </w:instrText>
      </w:r>
      <w:r>
        <w:fldChar w:fldCharType="separate"/>
      </w:r>
      <w:r>
        <w:fldChar w:fldCharType="end"/>
      </w:r>
      <w:r>
        <w:fldChar w:fldCharType="begin"/>
      </w:r>
      <w:r>
        <w:rPr>
          <w:rFonts w:hint="default" w:ascii="宋体" w:hAnsi="宋体" w:eastAsia="宋体" w:cs="宋体"/>
        </w:rPr>
        <w:instrText xml:space="preserve"> HYPERLINK \l "_bookmark25" </w:instrText>
      </w:r>
      <w:r>
        <w:fldChar w:fldCharType="separate"/>
      </w:r>
      <w:r>
        <w:fldChar w:fldCharType="end"/>
      </w:r>
      <w:r>
        <w:fldChar w:fldCharType="begin"/>
      </w:r>
      <w:r>
        <w:rPr>
          <w:rFonts w:hint="default" w:ascii="宋体" w:hAnsi="宋体" w:eastAsia="宋体" w:cs="宋体"/>
        </w:rPr>
        <w:instrText xml:space="preserve"> HYPERLINK \l "_bookmark26" </w:instrText>
      </w:r>
      <w:r>
        <w:fldChar w:fldCharType="separate"/>
      </w:r>
      <w:r>
        <w:fldChar w:fldCharType="end"/>
      </w:r>
      <w:r>
        <w:fldChar w:fldCharType="begin"/>
      </w:r>
      <w:r>
        <w:rPr>
          <w:rFonts w:hint="default" w:ascii="宋体" w:hAnsi="宋体" w:eastAsia="宋体" w:cs="宋体"/>
        </w:rPr>
        <w:instrText xml:space="preserve"> HYPERLINK \l "_bookmark27" </w:instrText>
      </w:r>
      <w:r>
        <w:fldChar w:fldCharType="separate"/>
      </w:r>
      <w:r>
        <w:fldChar w:fldCharType="end"/>
      </w:r>
      <w:r>
        <w:rPr>
          <w:rFonts w:hint="default" w:ascii="宋体" w:hAnsi="宋体" w:eastAsia="宋体" w:cs="宋体"/>
        </w:rPr>
        <w:t>土壤水分在蒸腾过程[7]中也起着重要作用，进而影响了降水的发生[8]。</w:t>
      </w:r>
      <w:r>
        <w:fldChar w:fldCharType="begin"/>
      </w:r>
      <w:r>
        <w:rPr>
          <w:rFonts w:hint="default" w:ascii="宋体" w:hAnsi="宋体" w:eastAsia="宋体" w:cs="宋体"/>
        </w:rPr>
        <w:instrText xml:space="preserve"> HYPERLINK \l "_bookmark28" </w:instrText>
      </w:r>
      <w:r>
        <w:fldChar w:fldCharType="separate"/>
      </w:r>
      <w:r>
        <w:fldChar w:fldCharType="end"/>
      </w:r>
      <w:r>
        <w:fldChar w:fldCharType="begin"/>
      </w:r>
      <w:r>
        <w:rPr>
          <w:rFonts w:hint="default" w:ascii="宋体" w:hAnsi="宋体" w:eastAsia="宋体" w:cs="宋体"/>
        </w:rPr>
        <w:instrText xml:space="preserve"> HYPERLINK \l "_bookmark29" </w:instrText>
      </w:r>
      <w:r>
        <w:fldChar w:fldCharType="separate"/>
      </w:r>
      <w:r>
        <w:fldChar w:fldCharType="end"/>
      </w:r>
      <w:r>
        <w:fldChar w:fldCharType="begin"/>
      </w:r>
      <w:r>
        <w:rPr>
          <w:rFonts w:hint="default" w:ascii="宋体" w:hAnsi="宋体" w:eastAsia="宋体" w:cs="宋体"/>
        </w:rPr>
        <w:instrText xml:space="preserve"> HYPERLINK \l "_bookmark30" </w:instrText>
      </w:r>
      <w:r>
        <w:fldChar w:fldCharType="separate"/>
      </w:r>
      <w:r>
        <w:fldChar w:fldCharType="end"/>
      </w:r>
      <w:r>
        <w:rPr>
          <w:rFonts w:hint="default" w:ascii="宋体" w:hAnsi="宋体" w:eastAsia="宋体" w:cs="宋体"/>
        </w:rPr>
        <w:t>土壤水分也间接影响环境，其与森林火灾的关系已被确认为[9]。土壤水分的重要性也被制度上的认可，因为它被列为全球气候观测系统(GCOS)[10,11]中的50个基本气候变量之一。</w:t>
      </w:r>
      <w:r>
        <w:fldChar w:fldCharType="begin"/>
      </w:r>
      <w:r>
        <w:rPr>
          <w:rFonts w:hint="default" w:ascii="宋体" w:hAnsi="宋体" w:eastAsia="宋体" w:cs="宋体"/>
        </w:rPr>
        <w:instrText xml:space="preserve"> HYPERLINK \l "_bookmark31" </w:instrText>
      </w:r>
      <w:r>
        <w:fldChar w:fldCharType="separate"/>
      </w:r>
      <w:r>
        <w:fldChar w:fldCharType="end"/>
      </w:r>
      <w:r>
        <w:fldChar w:fldCharType="begin"/>
      </w:r>
      <w:r>
        <w:rPr>
          <w:rFonts w:hint="default" w:ascii="宋体" w:hAnsi="宋体" w:eastAsia="宋体" w:cs="宋体"/>
        </w:rPr>
        <w:instrText xml:space="preserve"> HYPERLINK \l "_bookmark32" </w:instrText>
      </w:r>
      <w:r>
        <w:fldChar w:fldCharType="separate"/>
      </w:r>
      <w:r>
        <w:fldChar w:fldCharType="end"/>
      </w:r>
    </w:p>
    <w:p>
      <w:pPr>
        <w:pStyle w:val="3"/>
        <w:spacing w:before="3" w:line="237" w:lineRule="auto"/>
        <w:ind w:left="130" w:right="113" w:firstLine="425"/>
        <w:jc w:val="both"/>
      </w:pPr>
      <w:r>
        <w:rPr>
          <w:rFonts w:hint="default" w:ascii="宋体" w:hAnsi="宋体" w:eastAsia="宋体" w:cs="宋体"/>
        </w:rPr>
        <w:t>土壤水分可以定义为储存在上不饱和土层的土颗粒之间的水的质量或体积。通常分为表土壤水分(SSM)，代表表土壤含水量（0-5cm深度）和根带土壤水分(RSM)，说明植物根系可获得的水（&lt;2m深度）[12,13]。</w:t>
      </w:r>
      <w:r>
        <w:fldChar w:fldCharType="begin"/>
      </w:r>
      <w:r>
        <w:rPr>
          <w:rFonts w:hint="default" w:ascii="宋体" w:hAnsi="宋体" w:eastAsia="宋体" w:cs="宋体"/>
        </w:rPr>
        <w:instrText xml:space="preserve"> HYPERLINK \l "_bookmark33" </w:instrText>
      </w:r>
      <w:r>
        <w:fldChar w:fldCharType="separate"/>
      </w:r>
      <w:r>
        <w:fldChar w:fldCharType="end"/>
      </w:r>
      <w:r>
        <w:fldChar w:fldCharType="begin"/>
      </w:r>
      <w:r>
        <w:rPr>
          <w:rFonts w:hint="default" w:ascii="宋体" w:hAnsi="宋体" w:eastAsia="宋体" w:cs="宋体"/>
        </w:rPr>
        <w:instrText xml:space="preserve"> HYPERLINK \l "_bookmark34" </w:instrText>
      </w:r>
      <w:r>
        <w:fldChar w:fldCharType="separate"/>
      </w:r>
      <w:r>
        <w:fldChar w:fldCharType="end"/>
      </w:r>
      <w:r>
        <w:rPr>
          <w:rFonts w:hint="default" w:ascii="宋体" w:hAnsi="宋体" w:eastAsia="宋体" w:cs="宋体"/>
        </w:rPr>
        <w:t>土壤水分含量</w:t>
      </w:r>
    </w:p>
    <w:p>
      <w:pPr>
        <w:spacing w:after="0"/>
        <w:jc w:val="left"/>
        <w:rPr>
          <w:sz w:val="16"/>
        </w:rPr>
        <w:sectPr>
          <w:type w:val="continuous"/>
          <w:pgSz w:w="11910" w:h="16840"/>
          <w:pgMar w:top="960" w:right="1380" w:bottom="280" w:left="1400" w:header="720" w:footer="720" w:gutter="0"/>
          <w:cols w:space="720" w:num="1"/>
        </w:sectPr>
      </w:pPr>
      <w:bookmarkStart w:id="58" w:name="_GoBack"/>
      <w:bookmarkEnd w:id="58"/>
    </w:p>
    <w:p>
      <w:pPr>
        <w:pStyle w:val="3"/>
        <w:spacing w:before="10"/>
        <w:rPr>
          <w:sz w:val="26"/>
        </w:rPr>
      </w:pPr>
    </w:p>
    <w:p>
      <w:pPr>
        <w:pStyle w:val="3"/>
        <w:spacing w:before="3" w:line="237" w:lineRule="auto"/>
        <w:ind w:left="130" w:right="113" w:firstLine="425"/>
        <w:jc w:val="both"/>
      </w:pPr>
      <w:r>
        <w:rPr>
          <w:rFonts w:hint="default" w:ascii="宋体" w:hAnsi="宋体" w:eastAsia="宋体" w:cs="宋体"/>
        </w:rPr>
        <w:t>传统上使用地面仪器和技术来测量含量，测量方法基于：（1)采样和干燥；(2)电阻；(3)中子散射；(4)伽马射线吸收；或(5）时域反射法[12]。</w:t>
      </w:r>
      <w:r>
        <w:fldChar w:fldCharType="begin"/>
      </w:r>
      <w:r>
        <w:rPr>
          <w:rFonts w:hint="default" w:ascii="宋体" w:hAnsi="宋体" w:eastAsia="宋体" w:cs="宋体"/>
        </w:rPr>
        <w:instrText xml:space="preserve"> HYPERLINK \l "_bookmark33" </w:instrText>
      </w:r>
      <w:r>
        <w:fldChar w:fldCharType="separate"/>
      </w:r>
      <w:r>
        <w:fldChar w:fldCharType="end"/>
      </w:r>
      <w:r>
        <w:rPr>
          <w:rFonts w:hint="default" w:ascii="宋体" w:hAnsi="宋体" w:eastAsia="宋体" w:cs="宋体"/>
        </w:rPr>
        <w:t>这样，SSM和RSM都可以以一种点测量的形式获得，它们在更宽区域上的时空特征必须被建模，通常使用地理统计方法[14-16]。随着卫星遥感的不断发展，另一种检索土壤水分的方法引起了注意。</w:t>
      </w:r>
      <w:r>
        <w:fldChar w:fldCharType="begin"/>
      </w:r>
      <w:r>
        <w:rPr>
          <w:rFonts w:hint="default" w:ascii="宋体" w:hAnsi="宋体" w:eastAsia="宋体" w:cs="宋体"/>
        </w:rPr>
        <w:instrText xml:space="preserve"> HYPERLINK \l "_bookmark35" </w:instrText>
      </w:r>
      <w:r>
        <w:fldChar w:fldCharType="separate"/>
      </w:r>
      <w:r>
        <w:fldChar w:fldCharType="end"/>
      </w:r>
      <w:r>
        <w:fldChar w:fldCharType="begin"/>
      </w:r>
      <w:r>
        <w:rPr>
          <w:rFonts w:hint="default" w:ascii="宋体" w:hAnsi="宋体" w:eastAsia="宋体" w:cs="宋体"/>
        </w:rPr>
        <w:instrText xml:space="preserve"> HYPERLINK \l "_bookmark36" </w:instrText>
      </w:r>
      <w:r>
        <w:fldChar w:fldCharType="separate"/>
      </w:r>
      <w:r>
        <w:fldChar w:fldCharType="end"/>
      </w:r>
      <w:r>
        <w:fldChar w:fldCharType="begin"/>
      </w:r>
      <w:r>
        <w:rPr>
          <w:rFonts w:hint="default" w:ascii="宋体" w:hAnsi="宋体" w:eastAsia="宋体" w:cs="宋体"/>
        </w:rPr>
        <w:instrText xml:space="preserve"> HYPERLINK \l "_bookmark22" </w:instrText>
      </w:r>
      <w:r>
        <w:fldChar w:fldCharType="separate"/>
      </w:r>
      <w:r>
        <w:fldChar w:fldCharType="end"/>
      </w:r>
      <w:r>
        <w:fldChar w:fldCharType="begin"/>
      </w:r>
      <w:r>
        <w:rPr>
          <w:rFonts w:hint="default" w:ascii="宋体" w:hAnsi="宋体" w:eastAsia="宋体" w:cs="宋体"/>
        </w:rPr>
        <w:instrText xml:space="preserve"> HYPERLINK \l "_bookmark37" </w:instrText>
      </w:r>
      <w:r>
        <w:fldChar w:fldCharType="separate"/>
      </w:r>
      <w:r>
        <w:fldChar w:fldCharType="end"/>
      </w:r>
      <w:r>
        <w:fldChar w:fldCharType="begin"/>
      </w:r>
      <w:r>
        <w:rPr>
          <w:rFonts w:hint="default" w:ascii="宋体" w:hAnsi="宋体" w:eastAsia="宋体" w:cs="宋体"/>
        </w:rPr>
        <w:instrText xml:space="preserve"> HYPERLINK \l "_bookmark38" </w:instrText>
      </w:r>
      <w:r>
        <w:fldChar w:fldCharType="separate"/>
      </w:r>
      <w:r>
        <w:fldChar w:fldCharType="end"/>
      </w:r>
      <w:r>
        <w:rPr>
          <w:rFonts w:hint="default" w:ascii="宋体" w:hAnsi="宋体" w:eastAsia="宋体" w:cs="宋体"/>
        </w:rPr>
        <w:t>卫星观测提供了一种获得区域和全球范围内土壤水分含量的方法，并具有几天内的时间分辨率。根据所使用的电磁光谱部分，以下卫星传感器被证明对土壤湿度测绘有用：（1)微波(主动和被动)；(2)光学；和(3）heid[1]。不幸的是，由于电磁波对土壤的穿透深度，只能从卫星遥感[17]获得SSM，而必须通过垂直外推[18]获得RSM。Sabaghy等人对从卫星遥感数据中产生SSM的可能性进行了非常全面和最近的回顾。[19]和Peng等人。</w:t>
      </w:r>
      <w:r>
        <w:fldChar w:fldCharType="begin"/>
      </w:r>
      <w:r>
        <w:rPr>
          <w:rFonts w:hint="default" w:ascii="宋体" w:hAnsi="宋体" w:eastAsia="宋体" w:cs="宋体"/>
        </w:rPr>
        <w:instrText xml:space="preserve"> HYPERLINK \l "_bookmark39" </w:instrText>
      </w:r>
      <w:r>
        <w:fldChar w:fldCharType="separate"/>
      </w:r>
      <w:r>
        <w:fldChar w:fldCharType="end"/>
      </w:r>
      <w:r>
        <w:fldChar w:fldCharType="begin"/>
      </w:r>
      <w:r>
        <w:rPr>
          <w:rFonts w:hint="default" w:ascii="宋体" w:hAnsi="宋体" w:eastAsia="宋体" w:cs="宋体"/>
        </w:rPr>
        <w:instrText xml:space="preserve"> HYPERLINK \l "_bookmark40" </w:instrText>
      </w:r>
      <w:r>
        <w:fldChar w:fldCharType="separate"/>
      </w:r>
      <w:r>
        <w:rPr>
          <w:rFonts w:hint="default" w:ascii="宋体" w:hAnsi="宋体" w:eastAsia="宋体" w:cs="宋体"/>
        </w:rPr>
        <w:t>[20].</w:t>
      </w:r>
      <w:r>
        <w:fldChar w:fldCharType="end"/>
      </w:r>
    </w:p>
    <w:p>
      <w:pPr>
        <w:pStyle w:val="3"/>
        <w:spacing w:before="3" w:line="237" w:lineRule="auto"/>
        <w:ind w:left="130" w:right="113" w:firstLine="425"/>
        <w:jc w:val="both"/>
      </w:pPr>
      <w:r>
        <w:fldChar w:fldCharType="begin"/>
      </w:r>
      <w:r>
        <w:rPr>
          <w:rFonts w:hint="default" w:ascii="宋体" w:hAnsi="宋体" w:eastAsia="宋体" w:cs="宋体"/>
        </w:rPr>
        <w:instrText xml:space="preserve"> HYPERLINK \l "_bookmark41" </w:instrText>
      </w:r>
      <w:r>
        <w:fldChar w:fldCharType="separate"/>
      </w:r>
      <w:r>
        <w:fldChar w:fldCharType="end"/>
      </w:r>
      <w:r>
        <w:fldChar w:fldCharType="begin"/>
      </w:r>
      <w:r>
        <w:rPr>
          <w:rFonts w:hint="default" w:ascii="宋体" w:hAnsi="宋体" w:eastAsia="宋体" w:cs="宋体"/>
        </w:rPr>
        <w:instrText xml:space="preserve"> HYPERLINK \l "_bookmark42" </w:instrText>
      </w:r>
      <w:r>
        <w:fldChar w:fldCharType="separate"/>
      </w:r>
      <w:r>
        <w:fldChar w:fldCharType="end"/>
      </w:r>
      <w:r>
        <w:fldChar w:fldCharType="begin"/>
      </w:r>
      <w:r>
        <w:rPr>
          <w:rFonts w:hint="default" w:ascii="宋体" w:hAnsi="宋体" w:eastAsia="宋体" w:cs="宋体"/>
        </w:rPr>
        <w:instrText xml:space="preserve"> HYPERLINK \l "_bookmark43" </w:instrText>
      </w:r>
      <w:r>
        <w:fldChar w:fldCharType="separate"/>
      </w:r>
      <w:r>
        <w:fldChar w:fldCharType="end"/>
      </w:r>
      <w:r>
        <w:fldChar w:fldCharType="begin"/>
      </w:r>
      <w:r>
        <w:rPr>
          <w:rFonts w:hint="default" w:ascii="宋体" w:hAnsi="宋体" w:eastAsia="宋体" w:cs="宋体"/>
        </w:rPr>
        <w:instrText xml:space="preserve"> HYPERLINK \l "_bookmark44" </w:instrText>
      </w:r>
      <w:r>
        <w:fldChar w:fldCharType="separate"/>
      </w:r>
      <w:r>
        <w:fldChar w:fldCharType="end"/>
      </w:r>
      <w:r>
        <w:fldChar w:fldCharType="begin"/>
      </w:r>
      <w:r>
        <w:rPr>
          <w:rFonts w:hint="default" w:ascii="宋体" w:hAnsi="宋体" w:eastAsia="宋体" w:cs="宋体"/>
        </w:rPr>
        <w:instrText xml:space="preserve"> HYPERLINK \l "_bookmark45" </w:instrText>
      </w:r>
      <w:r>
        <w:fldChar w:fldCharType="separate"/>
      </w:r>
      <w:r>
        <w:fldChar w:fldCharType="end"/>
      </w:r>
      <w:r>
        <w:rPr>
          <w:rFonts w:hint="default" w:ascii="宋体" w:hAnsi="宋体" w:eastAsia="宋体" w:cs="宋体"/>
        </w:rPr>
        <w:t>许多微波遥感传感器已经被开发并用于测绘土壤水分含量。这些卫星包括先进的微波扫描辐射仪-地球观测系统(AMSR-E)[21]、土壤水分和海洋盐度(SMOS)卫星[22]、土壤水分主动被动(SMAP)任务[23]、先进的散射仪(ASCAT)[24]、欧空局哨兵1卫星[25]等等。为了实现最佳的时空覆盖，并产生长时间的土壤水分数据序列，所有这些源都需要在数据同化过程中进行同步和合并。在此过程中，必须考虑到所使用的源的操作、空间、时间和检索算法方面的差异。欧洲航天局(ESA)生产这种合并的微波土壤水分产品，作为气候变化倡议(CCI)的一部分——ESACCISM[26]。虽然欧空局的CCISM产品提供了非常好的空间覆盖范围，但在一些地方仍存在数据差距。</w:t>
      </w:r>
      <w:r>
        <w:fldChar w:fldCharType="begin"/>
      </w:r>
      <w:r>
        <w:rPr>
          <w:rFonts w:hint="default" w:ascii="宋体" w:hAnsi="宋体" w:eastAsia="宋体" w:cs="宋体"/>
        </w:rPr>
        <w:instrText xml:space="preserve"> HYPERLINK \l "_bookmark46" </w:instrText>
      </w:r>
      <w:r>
        <w:fldChar w:fldCharType="separate"/>
      </w:r>
      <w:r>
        <w:fldChar w:fldCharType="end"/>
      </w:r>
      <w:r>
        <w:rPr>
          <w:rFonts w:hint="default" w:ascii="宋体" w:hAnsi="宋体" w:eastAsia="宋体" w:cs="宋体"/>
        </w:rPr>
        <w:t>另一个缺点是，该产品的粗糙空间分辨率为0.25o(s25km)，这对于许多地区和地方应用是不够的。</w:t>
      </w:r>
    </w:p>
    <w:p>
      <w:pPr>
        <w:pStyle w:val="3"/>
        <w:spacing w:before="3" w:line="237" w:lineRule="auto"/>
        <w:ind w:left="130" w:right="113" w:firstLine="425"/>
        <w:jc w:val="both"/>
      </w:pPr>
      <w:r>
        <w:fldChar w:fldCharType="begin"/>
      </w:r>
      <w:r>
        <w:rPr>
          <w:rFonts w:hint="default" w:ascii="宋体" w:hAnsi="宋体" w:eastAsia="宋体" w:cs="宋体"/>
        </w:rPr>
        <w:instrText xml:space="preserve"> HYPERLINK \l "_bookmark47" </w:instrText>
      </w:r>
      <w:r>
        <w:fldChar w:fldCharType="separate"/>
      </w:r>
      <w:r>
        <w:fldChar w:fldCharType="end"/>
      </w:r>
      <w:r>
        <w:fldChar w:fldCharType="begin"/>
      </w:r>
      <w:r>
        <w:rPr>
          <w:rFonts w:hint="default" w:ascii="宋体" w:hAnsi="宋体" w:eastAsia="宋体" w:cs="宋体"/>
        </w:rPr>
        <w:instrText xml:space="preserve"> HYPERLINK \l "_bookmark48" </w:instrText>
      </w:r>
      <w:r>
        <w:fldChar w:fldCharType="separate"/>
      </w:r>
      <w:r>
        <w:fldChar w:fldCharType="end"/>
      </w:r>
      <w:r>
        <w:fldChar w:fldCharType="begin"/>
      </w:r>
      <w:r>
        <w:rPr>
          <w:rFonts w:hint="default" w:ascii="宋体" w:hAnsi="宋体" w:eastAsia="宋体" w:cs="宋体"/>
        </w:rPr>
        <w:instrText xml:space="preserve"> HYPERLINK \l "_bookmark49" </w:instrText>
      </w:r>
      <w:r>
        <w:fldChar w:fldCharType="separate"/>
      </w:r>
      <w:r>
        <w:fldChar w:fldCharType="end"/>
      </w:r>
      <w:r>
        <w:fldChar w:fldCharType="begin"/>
      </w:r>
      <w:r>
        <w:rPr>
          <w:rFonts w:hint="default" w:ascii="宋体" w:hAnsi="宋体" w:eastAsia="宋体" w:cs="宋体"/>
        </w:rPr>
        <w:instrText xml:space="preserve"> HYPERLINK \l "_bookmark50" </w:instrText>
      </w:r>
      <w:r>
        <w:fldChar w:fldCharType="separate"/>
      </w:r>
      <w:r>
        <w:fldChar w:fldCharType="end"/>
      </w:r>
      <w:r>
        <w:rPr>
          <w:rFonts w:hint="default" w:ascii="宋体" w:hAnsi="宋体" w:eastAsia="宋体" w:cs="宋体"/>
        </w:rPr>
        <w:t>一些研究旨在提高空间分辨率，并填补粗分辨率SSM产品的数据差距[27-29]。机器学习(ML)技术被证明是一个非常有用的工具，为此目的，[30,31]。研究表明，随机森林(RF)是许多可用的ML技术之一，由于它通过随机化和集成方法[32]的灵活性，在缩小和填补数据空白方面产生了非常好的结果。</w:t>
      </w:r>
      <w:r>
        <w:fldChar w:fldCharType="begin"/>
      </w:r>
      <w:r>
        <w:rPr>
          <w:rFonts w:hint="default" w:ascii="宋体" w:hAnsi="宋体" w:eastAsia="宋体" w:cs="宋体"/>
        </w:rPr>
        <w:instrText xml:space="preserve"> HYPERLINK \l "_bookmark51" </w:instrText>
      </w:r>
      <w:r>
        <w:fldChar w:fldCharType="separate"/>
      </w:r>
      <w:r>
        <w:fldChar w:fldCharType="end"/>
      </w:r>
      <w:r>
        <w:rPr>
          <w:rFonts w:hint="default" w:ascii="宋体" w:hAnsi="宋体" w:eastAsia="宋体" w:cs="宋体"/>
        </w:rPr>
        <w:t>本研究成功地实现了两步方法，生产不丢失数据和高空间分辨率（1公里）的SSM产品。第一步用作数据工程工具，其输出用作第二步的输入。第一步将双线性插值和随机森林模型作为数据工程工具，第二步采用了额外的随机森林回归。该方法于2016年在美国加州的研究区域进行了测试。在预测模型中使用了ESACCISM产品以及辅助产品（标准化植被差异指数(NDVI)、地表温度(LST)、NWS降水和Koppen-盖革气候分类图）。本文所描述的方法是一种新的方法，该方法考虑协同使用多种欧空局CCISM产品而不是单一产品，以获得高分辨率的SSM地图。</w:t>
      </w:r>
    </w:p>
    <w:p>
      <w:pPr>
        <w:pStyle w:val="2"/>
        <w:numPr>
          <w:ilvl w:val="0"/>
          <w:numId w:val="1"/>
        </w:numPr>
        <w:tabs>
          <w:tab w:val="left" w:pos="350"/>
        </w:tabs>
        <w:spacing w:before="187" w:after="0" w:line="240" w:lineRule="auto"/>
        <w:ind w:left="349" w:right="0" w:hanging="220"/>
        <w:jc w:val="both"/>
      </w:pPr>
      <w:bookmarkStart w:id="2" w:name="Materials "/>
      <w:bookmarkEnd w:id="2"/>
      <w:bookmarkStart w:id="3" w:name="Materials "/>
      <w:bookmarkEnd w:id="3"/>
      <w:r>
        <w:rPr>
          <w:rFonts w:hint="default" w:ascii="宋体" w:hAnsi="宋体" w:eastAsia="宋体" w:cs="宋体"/>
        </w:rPr>
        <w:t>材料</w:t>
      </w:r>
    </w:p>
    <w:p>
      <w:pPr>
        <w:pStyle w:val="8"/>
        <w:numPr>
          <w:ilvl w:val="1"/>
          <w:numId w:val="1"/>
        </w:numPr>
        <w:tabs>
          <w:tab w:val="left" w:pos="500"/>
        </w:tabs>
        <w:spacing w:before="194" w:after="0" w:line="240" w:lineRule="auto"/>
        <w:ind w:left="499" w:right="0" w:hanging="370"/>
        <w:jc w:val="both"/>
        <w:rPr>
          <w:i/>
          <w:sz w:val="20"/>
        </w:rPr>
      </w:pPr>
      <w:bookmarkStart w:id="4" w:name="Study Area "/>
      <w:bookmarkEnd w:id="4"/>
      <w:bookmarkStart w:id="5" w:name="Study Area "/>
      <w:bookmarkEnd w:id="5"/>
      <w:r>
        <w:rPr>
          <w:rFonts w:hint="default" w:ascii="宋体" w:hAnsi="宋体" w:eastAsia="宋体" w:cs="宋体"/>
          <w:i/>
          <w:sz w:val="20"/>
        </w:rPr>
        <w:t>研究区域</w:t>
      </w:r>
    </w:p>
    <w:p>
      <w:pPr>
        <w:pStyle w:val="3"/>
        <w:spacing w:before="3" w:line="237" w:lineRule="auto"/>
        <w:ind w:left="130" w:right="113" w:firstLine="425"/>
        <w:jc w:val="both"/>
      </w:pPr>
      <w:r>
        <w:fldChar w:fldCharType="begin"/>
      </w:r>
      <w:r>
        <w:rPr>
          <w:rFonts w:hint="default" w:ascii="宋体" w:hAnsi="宋体" w:eastAsia="宋体" w:cs="宋体"/>
        </w:rPr>
        <w:instrText xml:space="preserve"> HYPERLINK \l "_bookmark0" </w:instrText>
      </w:r>
      <w:r>
        <w:fldChar w:fldCharType="separate"/>
      </w:r>
      <w:r>
        <w:fldChar w:fldCharType="end"/>
      </w:r>
      <w:r>
        <w:rPr>
          <w:rFonts w:hint="default" w:ascii="宋体" w:hAnsi="宋体" w:eastAsia="宋体" w:cs="宋体"/>
        </w:rPr>
        <w:t>该研究区域占地423,967平方公里，即整个美国加利福尼亚州（图1）。该地区的地形主要是中央山谷，中央山谷全长725公里，从西部的海岸山脉和东部的内华达山脉出发，北部以瀑布和南部的特哈查皮山脉为界。加州的土地覆盖范围非常多样化，森林覆盖了该州近一半的地区，北部是贫瘠的平原，中东部是沙漠地区。加州的气候条件从极地到亚热带不等。该州最大部分地区有地中海气候，东北部有温带气候。气候状况</w:t>
      </w:r>
    </w:p>
    <w:p>
      <w:pPr>
        <w:pStyle w:val="3"/>
        <w:spacing w:before="3" w:line="237" w:lineRule="auto"/>
        <w:ind w:left="130" w:right="113" w:firstLine="425"/>
        <w:jc w:val="both"/>
        <w:sectPr>
          <w:headerReference r:id="rId5" w:type="default"/>
          <w:pgSz w:w="11910" w:h="16840"/>
          <w:pgMar w:top="1300" w:right="1380" w:bottom="280" w:left="1400" w:header="1108" w:footer="0" w:gutter="0"/>
          <w:pgNumType w:start="2"/>
          <w:cols w:space="720" w:num="1"/>
        </w:sectPr>
      </w:pPr>
    </w:p>
    <w:p>
      <w:pPr>
        <w:pStyle w:val="3"/>
        <w:spacing w:before="3" w:line="237" w:lineRule="auto"/>
        <w:ind w:left="130" w:right="113" w:firstLine="425"/>
        <w:jc w:val="both"/>
      </w:pPr>
    </w:p>
    <w:p>
      <w:pPr>
        <w:pStyle w:val="3"/>
        <w:spacing w:before="3" w:line="237" w:lineRule="auto"/>
        <w:ind w:left="130" w:right="113" w:firstLine="425"/>
        <w:jc w:val="both"/>
      </w:pPr>
      <w:r>
        <w:rPr>
          <w:rFonts w:hint="default" w:ascii="宋体" w:hAnsi="宋体" w:eastAsia="宋体" w:cs="宋体"/>
        </w:rPr>
        <w:t>也随着海拔的升高而迅速变化，在高山上可以发现高山气候。该州的不同地区有不同数量的降水，从西北部的4300毫米到东南部沙漠的小痕迹不等。沿海地区也不一样，那里有中等温度和中等降雨。</w:t>
      </w:r>
    </w:p>
    <w:p>
      <w:pPr>
        <w:pStyle w:val="3"/>
        <w:spacing w:before="3"/>
        <w:rPr>
          <w:sz w:val="21"/>
        </w:rPr>
      </w:pPr>
      <w:r>
        <w:drawing>
          <wp:anchor distT="0" distB="0" distL="0" distR="0" simplePos="0" relativeHeight="251659264" behindDoc="0" locked="0" layoutInCell="1" allowOverlap="1">
            <wp:simplePos x="0" y="0"/>
            <wp:positionH relativeFrom="page">
              <wp:posOffset>1700530</wp:posOffset>
            </wp:positionH>
            <wp:positionV relativeFrom="paragraph">
              <wp:posOffset>206375</wp:posOffset>
            </wp:positionV>
            <wp:extent cx="4168775" cy="3048000"/>
            <wp:effectExtent l="0" t="0" r="0" b="0"/>
            <wp:wrapTopAndBottom/>
            <wp:docPr id="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jpeg"/>
                    <pic:cNvPicPr>
                      <a:picLocks noChangeAspect="1"/>
                    </pic:cNvPicPr>
                  </pic:nvPicPr>
                  <pic:blipFill>
                    <a:blip r:embed="rId16" cstate="print"/>
                    <a:stretch>
                      <a:fillRect/>
                    </a:stretch>
                  </pic:blipFill>
                  <pic:spPr>
                    <a:xfrm>
                      <a:off x="0" y="0"/>
                      <a:ext cx="4168984" cy="3048000"/>
                    </a:xfrm>
                    <a:prstGeom prst="rect">
                      <a:avLst/>
                    </a:prstGeom>
                  </pic:spPr>
                </pic:pic>
              </a:graphicData>
            </a:graphic>
          </wp:anchor>
        </w:drawing>
      </w:r>
    </w:p>
    <w:p>
      <w:pPr>
        <w:spacing w:before="200"/>
        <w:ind w:left="1896" w:right="1913" w:firstLine="0"/>
        <w:jc w:val="center"/>
        <w:rPr>
          <w:sz w:val="18"/>
        </w:rPr>
      </w:pPr>
      <w:bookmarkStart w:id="6" w:name="_bookmark0"/>
      <w:bookmarkEnd w:id="6"/>
      <w:r>
        <w:rPr>
          <w:rFonts w:hint="default" w:ascii="宋体" w:hAnsi="宋体" w:eastAsia="宋体" w:cs="宋体"/>
          <w:b/>
          <w:sz w:val="18"/>
        </w:rPr>
        <w:t>图1。</w:t>
      </w:r>
      <w:r>
        <w:rPr>
          <w:rFonts w:hint="default" w:ascii="宋体" w:hAnsi="宋体" w:eastAsia="宋体" w:cs="宋体"/>
          <w:sz w:val="18"/>
        </w:rPr>
        <w:t>研究区域——美国加利福尼亚州。</w:t>
      </w:r>
    </w:p>
    <w:p>
      <w:pPr>
        <w:pStyle w:val="3"/>
        <w:spacing w:before="3" w:line="237" w:lineRule="auto"/>
        <w:ind w:left="130" w:right="113" w:firstLine="425"/>
        <w:jc w:val="both"/>
      </w:pPr>
      <w:r>
        <w:rPr>
          <w:rFonts w:hint="default" w:ascii="宋体" w:hAnsi="宋体" w:eastAsia="宋体" w:cs="宋体"/>
        </w:rPr>
        <w:t>该州是主要的农业贡献者，占2018年美国农业总值的13%以上。它生产400多种商品，其中超过三分之一的蔬菜和三分之二的水果和坚果种植在加州的[33]。</w:t>
      </w:r>
      <w:r>
        <w:fldChar w:fldCharType="begin"/>
      </w:r>
      <w:r>
        <w:rPr>
          <w:rFonts w:hint="default" w:ascii="宋体" w:hAnsi="宋体" w:eastAsia="宋体" w:cs="宋体"/>
        </w:rPr>
        <w:instrText xml:space="preserve"> HYPERLINK \l "_bookmark52" </w:instrText>
      </w:r>
      <w:r>
        <w:fldChar w:fldCharType="separate"/>
      </w:r>
      <w:r>
        <w:fldChar w:fldCharType="end"/>
      </w:r>
      <w:r>
        <w:rPr>
          <w:rFonts w:hint="default" w:ascii="宋体" w:hAnsi="宋体" w:eastAsia="宋体" w:cs="宋体"/>
        </w:rPr>
        <w:t>如此广泛的农业生产需要谨慎和智能的水资源管理，这可以从高质量的土壤水分图中显著受益。</w:t>
      </w:r>
    </w:p>
    <w:p>
      <w:pPr>
        <w:pStyle w:val="8"/>
        <w:numPr>
          <w:ilvl w:val="1"/>
          <w:numId w:val="1"/>
        </w:numPr>
        <w:tabs>
          <w:tab w:val="left" w:pos="500"/>
        </w:tabs>
        <w:spacing w:before="196" w:after="0" w:line="240" w:lineRule="auto"/>
        <w:ind w:left="499" w:right="0" w:hanging="370"/>
        <w:jc w:val="both"/>
        <w:rPr>
          <w:i/>
          <w:sz w:val="20"/>
        </w:rPr>
      </w:pPr>
      <w:bookmarkStart w:id="7" w:name="European Space Agency Soil Moisture Prod"/>
      <w:bookmarkEnd w:id="7"/>
      <w:bookmarkStart w:id="8" w:name="European Space Agency Soil Moisture Prod"/>
      <w:bookmarkEnd w:id="8"/>
      <w:r>
        <w:rPr>
          <w:rFonts w:hint="default" w:ascii="宋体" w:hAnsi="宋体" w:eastAsia="宋体" w:cs="宋体"/>
          <w:i/>
          <w:sz w:val="20"/>
        </w:rPr>
        <w:t>欧洲航天局土壤水分产品-欧空局</w:t>
      </w:r>
    </w:p>
    <w:p>
      <w:pPr>
        <w:pStyle w:val="3"/>
        <w:spacing w:before="3" w:line="237" w:lineRule="auto"/>
        <w:ind w:left="130" w:right="113" w:firstLine="425"/>
        <w:jc w:val="both"/>
      </w:pPr>
      <w:r>
        <w:rPr>
          <w:rFonts w:hint="default" w:ascii="宋体" w:hAnsi="宋体" w:eastAsia="宋体" w:cs="宋体"/>
        </w:rPr>
        <w:t>欧空局CCISM产品是利用主动（ERS1-2SCAT和MetAP、ASCATA-B）和被动(SMMR、SSM/I、TMI、AMSR-E、WindSat、AMSR2和SMOS）微波卫星传感器的土壤水分观测产生的。在同化过程中产生了三组土壤水分产物：主动式(ESACCISMA)、被动式(ESACCISMP)和组合式(ESACCISMC)。利用变化检测算法利用C带散射法产生活性土壤水分产物。被动产物利用土地参数检索模型(LPRM)进行处理，它成功地将微波观测到的地面表面亮度温度(Tb)转化为土壤含水量。</w:t>
      </w:r>
      <w:r>
        <w:fldChar w:fldCharType="begin"/>
      </w:r>
      <w:r>
        <w:rPr>
          <w:rFonts w:hint="default" w:ascii="宋体" w:hAnsi="宋体" w:eastAsia="宋体" w:cs="宋体"/>
        </w:rPr>
        <w:instrText xml:space="preserve"> HYPERLINK \l "_bookmark46" </w:instrText>
      </w:r>
      <w:r>
        <w:fldChar w:fldCharType="separate"/>
      </w:r>
      <w:r>
        <w:fldChar w:fldCharType="end"/>
      </w:r>
      <w:r>
        <w:rPr>
          <w:rFonts w:hint="default" w:ascii="宋体" w:hAnsi="宋体" w:eastAsia="宋体" w:cs="宋体"/>
        </w:rPr>
        <w:t>通过前两个的同化过程得到，为每个源的[26]分配适当的权重。所有产品提供每日全球覆盖范围，空间分辨率为0.25o（s25公里）。活性土壤水分产物以饱和度百分比（%）表示，而活性土壤和组合土壤水分产物以体积单位（m3/m3）表示。在欧空局最新版本的CCISM产品（04.5）中，时间范围已经扩大，并涵盖了1978-2018年。在本研究中，2016年所有三种类型的产品（被动产品、主动产品和组合产品）均来自欧空局数据档案(https://www.esa-soilmoisture-cci.org/)。</w:t>
      </w:r>
      <w:r>
        <w:fldChar w:fldCharType="begin"/>
      </w:r>
      <w:r>
        <w:rPr>
          <w:rFonts w:hint="default" w:ascii="宋体" w:hAnsi="宋体" w:eastAsia="宋体" w:cs="宋体"/>
        </w:rPr>
        <w:instrText xml:space="preserve"> HYPERLINK "https://www.esa-soilmoisture-cci.org/" \h </w:instrText>
      </w:r>
      <w:r>
        <w:fldChar w:fldCharType="separate"/>
      </w:r>
      <w:r>
        <w:fldChar w:fldCharType="end"/>
      </w:r>
    </w:p>
    <w:p>
      <w:pPr>
        <w:pStyle w:val="8"/>
        <w:numPr>
          <w:ilvl w:val="1"/>
          <w:numId w:val="1"/>
        </w:numPr>
        <w:tabs>
          <w:tab w:val="left" w:pos="500"/>
        </w:tabs>
        <w:spacing w:before="190" w:after="0" w:line="240" w:lineRule="auto"/>
        <w:ind w:left="499" w:right="0" w:hanging="370"/>
        <w:jc w:val="both"/>
        <w:rPr>
          <w:i/>
          <w:sz w:val="20"/>
        </w:rPr>
      </w:pPr>
      <w:bookmarkStart w:id="9" w:name="PBO_H2O in Situ Soil Moisture Observatio"/>
      <w:bookmarkEnd w:id="9"/>
      <w:bookmarkStart w:id="10" w:name="PBO_H2O in Situ Soil Moisture Observatio"/>
      <w:bookmarkEnd w:id="10"/>
      <w:r>
        <w:rPr>
          <w:rFonts w:hint="default" w:ascii="宋体" w:hAnsi="宋体" w:eastAsia="宋体" w:cs="宋体"/>
          <w:i/>
          <w:sz w:val="20"/>
        </w:rPr>
        <w:t>PBO_H2O现场土壤水分观测结果</w:t>
      </w:r>
    </w:p>
    <w:p>
      <w:pPr>
        <w:pStyle w:val="3"/>
        <w:spacing w:before="3" w:line="237" w:lineRule="auto"/>
        <w:ind w:left="130" w:right="113" w:firstLine="425"/>
        <w:jc w:val="both"/>
      </w:pPr>
      <w:r>
        <w:rPr>
          <w:rFonts w:hint="default" w:ascii="宋体" w:hAnsi="宋体" w:eastAsia="宋体" w:cs="宋体"/>
        </w:rPr>
        <w:t>PBO_H2O是一个从2004年到2017年运行的项目，实施了针对SSM测量的GPS干涉反射法。观测结果代表了大体积的土壤湿度</w:t>
      </w:r>
    </w:p>
    <w:p>
      <w:pPr>
        <w:spacing w:after="0"/>
        <w:jc w:val="both"/>
        <w:sectPr>
          <w:pgSz w:w="11910" w:h="16840"/>
          <w:pgMar w:top="1300" w:right="1380" w:bottom="280" w:left="1400" w:header="1108" w:footer="0" w:gutter="0"/>
          <w:cols w:space="720" w:num="1"/>
        </w:sectPr>
      </w:pPr>
    </w:p>
    <w:p>
      <w:pPr>
        <w:pStyle w:val="3"/>
        <w:spacing w:before="9"/>
        <w:rPr>
          <w:sz w:val="24"/>
        </w:rPr>
      </w:pPr>
    </w:p>
    <w:p>
      <w:pPr>
        <w:pStyle w:val="3"/>
        <w:spacing w:before="3" w:line="237" w:lineRule="auto"/>
        <w:ind w:left="130" w:right="113" w:firstLine="425"/>
        <w:jc w:val="both"/>
      </w:pPr>
      <w:r>
        <w:fldChar w:fldCharType="begin"/>
      </w:r>
      <w:r>
        <w:rPr>
          <w:rFonts w:hint="default" w:ascii="宋体" w:hAnsi="宋体" w:eastAsia="宋体" w:cs="宋体"/>
        </w:rPr>
        <w:instrText xml:space="preserve"> HYPERLINK \l "_bookmark53" </w:instrText>
      </w:r>
      <w:r>
        <w:fldChar w:fldCharType="separate"/>
      </w:r>
      <w:r>
        <w:fldChar w:fldCharType="end"/>
      </w:r>
      <w:r>
        <w:rPr>
          <w:rFonts w:hint="default" w:ascii="宋体" w:hAnsi="宋体" w:eastAsia="宋体" w:cs="宋体"/>
        </w:rPr>
        <w:t>表土层含量（0-5cm），空间尺度为~1km2，精度为0.04m3/m3[34]。PBO_H2O数据可从国际土壤水分网(ISMN)数据档案（https://ismn.geo.tuwien.ac.at/en/）获取，整个2016年一样。</w:t>
      </w:r>
      <w:r>
        <w:fldChar w:fldCharType="begin"/>
      </w:r>
      <w:r>
        <w:rPr>
          <w:rFonts w:hint="default" w:ascii="宋体" w:hAnsi="宋体" w:eastAsia="宋体" w:cs="宋体"/>
        </w:rPr>
        <w:instrText xml:space="preserve"> HYPERLINK "https://ismn.geo.tuwien.ac.at/en/" \h </w:instrText>
      </w:r>
      <w:r>
        <w:fldChar w:fldCharType="separate"/>
      </w:r>
      <w:r>
        <w:fldChar w:fldCharType="end"/>
      </w:r>
      <w:r>
        <w:rPr>
          <w:rFonts w:hint="default" w:ascii="宋体" w:hAnsi="宋体" w:eastAsia="宋体" w:cs="宋体"/>
        </w:rPr>
        <w:t>完整的数据集由159个每小时测量一次的站点组成。对于每个观测站，首先对观测结果进行汇总，以获得日平均值。下一步，对具有多个传感器（相同纬度和经度）的位置进行平均。56个是种植地点后离开到研究区域的观测站（图2a），每天共有18,307个地表土壤水分观测站（图2b）。</w:t>
      </w:r>
      <w:r>
        <w:fldChar w:fldCharType="begin"/>
      </w:r>
      <w:r>
        <w:rPr>
          <w:rFonts w:hint="default" w:ascii="宋体" w:hAnsi="宋体" w:eastAsia="宋体" w:cs="宋体"/>
        </w:rPr>
        <w:instrText xml:space="preserve"> HYPERLINK \l "_bookmark1" </w:instrText>
      </w:r>
      <w:r>
        <w:fldChar w:fldCharType="separate"/>
      </w:r>
      <w:r>
        <w:fldChar w:fldCharType="end"/>
      </w:r>
      <w:r>
        <w:fldChar w:fldCharType="begin"/>
      </w:r>
      <w:r>
        <w:rPr>
          <w:rFonts w:hint="default" w:ascii="宋体" w:hAnsi="宋体" w:eastAsia="宋体" w:cs="宋体"/>
        </w:rPr>
        <w:instrText xml:space="preserve"> HYPERLINK \l "_bookmark1" </w:instrText>
      </w:r>
      <w:r>
        <w:fldChar w:fldCharType="separate"/>
      </w:r>
      <w:r>
        <w:fldChar w:fldCharType="end"/>
      </w:r>
    </w:p>
    <w:p>
      <w:pPr>
        <w:pStyle w:val="3"/>
        <w:spacing w:before="12"/>
        <w:rPr>
          <w:sz w:val="26"/>
        </w:rPr>
      </w:pPr>
      <w:r>
        <w:drawing>
          <wp:anchor distT="0" distB="0" distL="0" distR="0" simplePos="0" relativeHeight="251659264" behindDoc="0" locked="0" layoutInCell="1" allowOverlap="1">
            <wp:simplePos x="0" y="0"/>
            <wp:positionH relativeFrom="page">
              <wp:posOffset>1088390</wp:posOffset>
            </wp:positionH>
            <wp:positionV relativeFrom="paragraph">
              <wp:posOffset>315595</wp:posOffset>
            </wp:positionV>
            <wp:extent cx="2169795" cy="2515870"/>
            <wp:effectExtent l="0" t="0" r="0" b="0"/>
            <wp:wrapTopAndBottom/>
            <wp:docPr id="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png"/>
                    <pic:cNvPicPr>
                      <a:picLocks noChangeAspect="1"/>
                    </pic:cNvPicPr>
                  </pic:nvPicPr>
                  <pic:blipFill>
                    <a:blip r:embed="rId17" cstate="print"/>
                    <a:stretch>
                      <a:fillRect/>
                    </a:stretch>
                  </pic:blipFill>
                  <pic:spPr>
                    <a:xfrm>
                      <a:off x="0" y="0"/>
                      <a:ext cx="2169597" cy="2515743"/>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3493135</wp:posOffset>
            </wp:positionH>
            <wp:positionV relativeFrom="paragraph">
              <wp:posOffset>255270</wp:posOffset>
            </wp:positionV>
            <wp:extent cx="3026410" cy="2645410"/>
            <wp:effectExtent l="0" t="0" r="0" b="0"/>
            <wp:wrapTopAndBottom/>
            <wp:docPr id="1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png"/>
                    <pic:cNvPicPr>
                      <a:picLocks noChangeAspect="1"/>
                    </pic:cNvPicPr>
                  </pic:nvPicPr>
                  <pic:blipFill>
                    <a:blip r:embed="rId18" cstate="print"/>
                    <a:stretch>
                      <a:fillRect/>
                    </a:stretch>
                  </pic:blipFill>
                  <pic:spPr>
                    <a:xfrm>
                      <a:off x="0" y="0"/>
                      <a:ext cx="3026719" cy="2645664"/>
                    </a:xfrm>
                    <a:prstGeom prst="rect">
                      <a:avLst/>
                    </a:prstGeom>
                  </pic:spPr>
                </pic:pic>
              </a:graphicData>
            </a:graphic>
          </wp:anchor>
        </w:drawing>
      </w:r>
    </w:p>
    <w:p>
      <w:pPr>
        <w:pStyle w:val="8"/>
        <w:numPr>
          <w:ilvl w:val="2"/>
          <w:numId w:val="1"/>
        </w:numPr>
        <w:tabs>
          <w:tab w:val="left" w:pos="6333"/>
          <w:tab w:val="left" w:pos="6334"/>
        </w:tabs>
        <w:spacing w:before="0" w:after="0" w:line="240" w:lineRule="auto"/>
        <w:ind w:left="6333" w:right="0" w:hanging="4411"/>
        <w:jc w:val="left"/>
        <w:rPr>
          <w:sz w:val="20"/>
        </w:rPr>
      </w:pPr>
      <w:bookmarkStart w:id="11" w:name="_bookmark1"/>
      <w:bookmarkEnd w:id="11"/>
      <w:bookmarkStart w:id="12" w:name="_bookmark1"/>
      <w:bookmarkEnd w:id="12"/>
      <w:r>
        <w:rPr>
          <w:rFonts w:hint="default" w:ascii="宋体" w:hAnsi="宋体" w:eastAsia="宋体" w:cs="宋体"/>
          <w:sz w:val="20"/>
        </w:rPr>
        <w:t>(b)</w:t>
      </w:r>
    </w:p>
    <w:p>
      <w:pPr>
        <w:pStyle w:val="3"/>
        <w:spacing w:before="4"/>
        <w:rPr>
          <w:sz w:val="13"/>
        </w:rPr>
      </w:pPr>
    </w:p>
    <w:p>
      <w:pPr>
        <w:spacing w:before="80" w:line="254" w:lineRule="auto"/>
        <w:ind w:left="555" w:right="0" w:firstLine="0"/>
        <w:jc w:val="left"/>
        <w:rPr>
          <w:sz w:val="18"/>
        </w:rPr>
      </w:pPr>
      <w:r>
        <w:rPr>
          <w:rFonts w:hint="default" w:ascii="宋体" w:hAnsi="宋体" w:eastAsia="宋体" w:cs="宋体"/>
          <w:b/>
          <w:sz w:val="18"/>
        </w:rPr>
        <w:t>图2。</w:t>
      </w:r>
      <w:r>
        <w:rPr>
          <w:rFonts w:hint="default" w:ascii="宋体" w:hAnsi="宋体" w:eastAsia="宋体" w:cs="宋体"/>
          <w:sz w:val="18"/>
        </w:rPr>
        <w:t>(a)研究区域PBO_H2O土壤湿度站的空间分布；(b)2016年各站的土壤水分观测。</w:t>
      </w:r>
    </w:p>
    <w:p>
      <w:pPr>
        <w:pStyle w:val="8"/>
        <w:numPr>
          <w:ilvl w:val="1"/>
          <w:numId w:val="1"/>
        </w:numPr>
        <w:tabs>
          <w:tab w:val="left" w:pos="500"/>
        </w:tabs>
        <w:spacing w:before="142" w:after="0" w:line="240" w:lineRule="auto"/>
        <w:ind w:left="499" w:right="0" w:hanging="370"/>
        <w:jc w:val="both"/>
        <w:rPr>
          <w:i/>
          <w:sz w:val="20"/>
        </w:rPr>
      </w:pPr>
      <w:bookmarkStart w:id="13" w:name="Auxiliary Data "/>
      <w:bookmarkEnd w:id="13"/>
      <w:bookmarkStart w:id="14" w:name="Auxiliary Data "/>
      <w:bookmarkEnd w:id="14"/>
      <w:r>
        <w:rPr>
          <w:rFonts w:hint="default" w:ascii="宋体" w:hAnsi="宋体" w:eastAsia="宋体" w:cs="宋体"/>
          <w:i/>
          <w:sz w:val="20"/>
        </w:rPr>
        <w:t>辅助数据</w:t>
      </w:r>
    </w:p>
    <w:p>
      <w:pPr>
        <w:pStyle w:val="8"/>
        <w:numPr>
          <w:ilvl w:val="2"/>
          <w:numId w:val="2"/>
        </w:numPr>
        <w:tabs>
          <w:tab w:val="left" w:pos="649"/>
        </w:tabs>
        <w:spacing w:before="185" w:after="0" w:line="240" w:lineRule="auto"/>
        <w:ind w:left="648" w:right="0" w:hanging="519"/>
        <w:jc w:val="both"/>
        <w:rPr>
          <w:sz w:val="20"/>
        </w:rPr>
      </w:pPr>
      <w:bookmarkStart w:id="15" w:name="Normalized Difference Vegetation Index ("/>
      <w:bookmarkEnd w:id="15"/>
      <w:bookmarkStart w:id="16" w:name="Normalized Difference Vegetation Index ("/>
      <w:bookmarkEnd w:id="16"/>
      <w:r>
        <w:rPr>
          <w:rFonts w:hint="default" w:ascii="宋体" w:hAnsi="宋体" w:eastAsia="宋体" w:cs="宋体"/>
          <w:sz w:val="20"/>
        </w:rPr>
        <w:t>标准化植被差异指数(NDVI)和地表温度(LST)</w:t>
      </w:r>
    </w:p>
    <w:p>
      <w:pPr>
        <w:pStyle w:val="3"/>
        <w:spacing w:before="3" w:line="237" w:lineRule="auto"/>
        <w:ind w:left="130" w:right="113" w:firstLine="425"/>
        <w:jc w:val="both"/>
      </w:pPr>
      <w:r>
        <w:rPr>
          <w:rFonts w:hint="default" w:ascii="宋体" w:hAnsi="宋体" w:eastAsia="宋体" w:cs="宋体"/>
        </w:rPr>
        <w:t>土地含水量与NDVI和LST之间的连接已被广泛用于降低粗分辨率的遥感土壤湿度[35-38]。使用这些数据进行缩小规模的主要优点是它们具有良好的空间分辨率、良好的时间覆盖范围和许多可用的收集它们的卫星任务。</w:t>
      </w:r>
      <w:r>
        <w:fldChar w:fldCharType="begin"/>
      </w:r>
      <w:r>
        <w:rPr>
          <w:rFonts w:hint="default" w:ascii="宋体" w:hAnsi="宋体" w:eastAsia="宋体" w:cs="宋体"/>
        </w:rPr>
        <w:instrText xml:space="preserve"> HYPERLINK \l "_bookmark54" </w:instrText>
      </w:r>
      <w:r>
        <w:fldChar w:fldCharType="separate"/>
      </w:r>
      <w:r>
        <w:fldChar w:fldCharType="end"/>
      </w:r>
      <w:r>
        <w:fldChar w:fldCharType="begin"/>
      </w:r>
      <w:r>
        <w:rPr>
          <w:rFonts w:hint="default" w:ascii="宋体" w:hAnsi="宋体" w:eastAsia="宋体" w:cs="宋体"/>
        </w:rPr>
        <w:instrText xml:space="preserve"> HYPERLINK \l "_bookmark55" </w:instrText>
      </w:r>
      <w:r>
        <w:fldChar w:fldCharType="separate"/>
      </w:r>
      <w:r>
        <w:fldChar w:fldCharType="end"/>
      </w:r>
      <w:r>
        <w:rPr>
          <w:rFonts w:hint="default" w:ascii="宋体" w:hAnsi="宋体" w:eastAsia="宋体" w:cs="宋体"/>
        </w:rPr>
        <w:t>然而，云污染对所有光学传感器来说都是一个大问题，使得这些产品在某些地方无法使用[1]。</w:t>
      </w:r>
      <w:r>
        <w:fldChar w:fldCharType="begin"/>
      </w:r>
      <w:r>
        <w:rPr>
          <w:rFonts w:hint="default" w:ascii="宋体" w:hAnsi="宋体" w:eastAsia="宋体" w:cs="宋体"/>
        </w:rPr>
        <w:instrText xml:space="preserve"> HYPERLINK \l "_bookmark22" </w:instrText>
      </w:r>
      <w:r>
        <w:fldChar w:fldCharType="separate"/>
      </w:r>
      <w:r>
        <w:fldChar w:fldCharType="end"/>
      </w:r>
      <w:r>
        <w:rPr>
          <w:rFonts w:hint="default" w:ascii="宋体" w:hAnsi="宋体" w:eastAsia="宋体" w:cs="宋体"/>
        </w:rPr>
        <w:t>中分辨率成像光谱辐射仪(MODIS)是此类产品最常用的光源之一，因此它被选为NDVI和LST的供应商。</w:t>
      </w:r>
    </w:p>
    <w:p>
      <w:pPr>
        <w:pStyle w:val="3"/>
        <w:spacing w:before="3" w:line="237" w:lineRule="auto"/>
        <w:ind w:left="130" w:right="113" w:firstLine="425"/>
        <w:jc w:val="both"/>
      </w:pPr>
      <w:r>
        <w:rPr>
          <w:rFonts w:hint="default" w:ascii="宋体" w:hAnsi="宋体" w:eastAsia="宋体" w:cs="宋体"/>
        </w:rPr>
        <w:t>NDVI取自MODIS植被指数16天3级全球1km版本6产品，来自Terra（MOD13A2）和AquA（MYD13A2）卫星。NDVI的时间覆盖包括2016年和2017年的46个Terra和46Aqua产品。每个产品都在WGS84坐标参考系中生成。数据覆盖范围被扩展到包括2017年，因为它是生成和后来改进日常NDVI产品的必要条件。</w:t>
      </w:r>
    </w:p>
    <w:p>
      <w:pPr>
        <w:pStyle w:val="3"/>
        <w:spacing w:before="3" w:line="237" w:lineRule="auto"/>
        <w:ind w:left="130" w:right="113" w:firstLine="425"/>
        <w:jc w:val="both"/>
      </w:pPr>
      <w:r>
        <w:rPr>
          <w:rFonts w:hint="default" w:ascii="宋体" w:hAnsi="宋体" w:eastAsia="宋体" w:cs="宋体"/>
        </w:rPr>
        <w:t>LST数据是由MODIS来自Terra（MOD11A1）和Aqua（MYD11A1）卫星的地面温度/发射率日L3全球1km版本6号产品诱导的。生成每颗卫星和2016年每个日期的LSTDAY和WGS84坐标参考系统中的夜间陆地表面温度图（理想情况下，每个日期生成4个卫星）。在下一个预处理步骤中，对于每个日期，采用相应像素和Aqua产品的平均合并，因此，最终为每个像素产生单个LSTDAY和晚光</w:t>
      </w:r>
    </w:p>
    <w:p>
      <w:pPr>
        <w:pStyle w:val="3"/>
        <w:spacing w:before="3" w:line="237" w:lineRule="auto"/>
        <w:ind w:left="130" w:right="113" w:firstLine="425"/>
        <w:jc w:val="both"/>
        <w:sectPr>
          <w:pgSz w:w="11910" w:h="16840"/>
          <w:pgMar w:top="1300" w:right="1380" w:bottom="280" w:left="1400" w:header="1108" w:footer="0" w:gutter="0"/>
          <w:cols w:space="720" w:num="1"/>
        </w:sectPr>
      </w:pPr>
    </w:p>
    <w:p>
      <w:pPr>
        <w:pStyle w:val="3"/>
        <w:spacing w:before="3" w:line="237" w:lineRule="auto"/>
        <w:ind w:left="130" w:right="113" w:firstLine="425"/>
        <w:jc w:val="both"/>
      </w:pPr>
    </w:p>
    <w:p>
      <w:pPr>
        <w:pStyle w:val="3"/>
        <w:spacing w:before="3" w:line="237" w:lineRule="auto"/>
        <w:ind w:left="130" w:right="113" w:firstLine="425"/>
        <w:jc w:val="both"/>
      </w:pPr>
      <w:r>
        <w:rPr>
          <w:rFonts w:hint="default" w:ascii="宋体" w:hAnsi="宋体" w:eastAsia="宋体" w:cs="宋体"/>
        </w:rPr>
        <w:t>2016年的日期。由于Terra产品DOY50-58的数据丢失，这些天只有AquA产品用于生产LSTDAY和夜炸药。</w:t>
      </w:r>
    </w:p>
    <w:p>
      <w:pPr>
        <w:pStyle w:val="8"/>
        <w:numPr>
          <w:ilvl w:val="2"/>
          <w:numId w:val="2"/>
        </w:numPr>
        <w:tabs>
          <w:tab w:val="left" w:pos="649"/>
        </w:tabs>
        <w:spacing w:before="195" w:after="0" w:line="240" w:lineRule="auto"/>
        <w:ind w:left="648" w:right="0" w:hanging="519"/>
        <w:jc w:val="both"/>
        <w:rPr>
          <w:sz w:val="20"/>
        </w:rPr>
      </w:pPr>
      <w:bookmarkStart w:id="17" w:name="NWS Precipitation Data "/>
      <w:bookmarkEnd w:id="17"/>
      <w:bookmarkStart w:id="18" w:name="NWS Precipitation Data "/>
      <w:bookmarkEnd w:id="18"/>
      <w:r>
        <w:rPr>
          <w:rFonts w:hint="default" w:ascii="宋体" w:hAnsi="宋体" w:eastAsia="宋体" w:cs="宋体"/>
          <w:sz w:val="20"/>
        </w:rPr>
        <w:t>NWS降水数据</w:t>
      </w:r>
    </w:p>
    <w:p>
      <w:pPr>
        <w:pStyle w:val="3"/>
        <w:spacing w:before="4" w:line="237" w:lineRule="auto"/>
        <w:ind w:left="122" w:right="113" w:firstLine="432"/>
        <w:jc w:val="both"/>
      </w:pPr>
      <w:r>
        <w:rPr>
          <w:rFonts w:hint="default" w:ascii="宋体" w:hAnsi="宋体" w:eastAsia="宋体" w:cs="宋体"/>
        </w:rPr>
        <w:t>作为自然水循环的一部分，大气中的水通过降水转移到陆地上。许多研究[2,8]已经观察到降水与土壤水分时空模式之间的相关性。</w:t>
      </w:r>
      <w:r>
        <w:fldChar w:fldCharType="begin"/>
      </w:r>
      <w:r>
        <w:rPr>
          <w:rFonts w:hint="default" w:ascii="宋体" w:hAnsi="宋体" w:eastAsia="宋体" w:cs="宋体"/>
        </w:rPr>
        <w:instrText xml:space="preserve"> HYPERLINK \l "_bookmark23" </w:instrText>
      </w:r>
      <w:r>
        <w:fldChar w:fldCharType="separate"/>
      </w:r>
      <w:r>
        <w:fldChar w:fldCharType="end"/>
      </w:r>
      <w:r>
        <w:fldChar w:fldCharType="begin"/>
      </w:r>
      <w:r>
        <w:rPr>
          <w:rFonts w:hint="default" w:ascii="宋体" w:hAnsi="宋体" w:eastAsia="宋体" w:cs="宋体"/>
        </w:rPr>
        <w:instrText xml:space="preserve"> HYPERLINK \l "_bookmark29" </w:instrText>
      </w:r>
      <w:r>
        <w:fldChar w:fldCharType="separate"/>
      </w:r>
      <w:r>
        <w:fldChar w:fldCharType="end"/>
      </w:r>
      <w:r>
        <w:rPr>
          <w:rFonts w:hint="default" w:ascii="宋体" w:hAnsi="宋体" w:eastAsia="宋体" w:cs="宋体"/>
        </w:rPr>
        <w:t>由于降水数据集的空间分辨率较高，因此它已被用于降低粗分辨率土壤水分[32,39]的过程。</w:t>
      </w:r>
      <w:r>
        <w:fldChar w:fldCharType="begin"/>
      </w:r>
      <w:r>
        <w:rPr>
          <w:rFonts w:hint="default" w:ascii="宋体" w:hAnsi="宋体" w:eastAsia="宋体" w:cs="宋体"/>
        </w:rPr>
        <w:instrText xml:space="preserve"> HYPERLINK \l "_bookmark51" </w:instrText>
      </w:r>
      <w:r>
        <w:fldChar w:fldCharType="separate"/>
      </w:r>
      <w:r>
        <w:fldChar w:fldCharType="end"/>
      </w:r>
      <w:r>
        <w:fldChar w:fldCharType="begin"/>
      </w:r>
      <w:r>
        <w:rPr>
          <w:rFonts w:hint="default" w:ascii="宋体" w:hAnsi="宋体" w:eastAsia="宋体" w:cs="宋体"/>
        </w:rPr>
        <w:instrText xml:space="preserve"> HYPERLINK \l "_bookmark56" </w:instrText>
      </w:r>
      <w:r>
        <w:fldChar w:fldCharType="separate"/>
      </w:r>
      <w:r>
        <w:fldChar w:fldCharType="end"/>
      </w:r>
    </w:p>
    <w:p>
      <w:pPr>
        <w:pStyle w:val="3"/>
        <w:spacing w:before="4" w:line="237" w:lineRule="auto"/>
        <w:ind w:left="122" w:right="113" w:firstLine="432"/>
        <w:jc w:val="both"/>
      </w:pPr>
      <w:r>
        <w:rPr>
          <w:rFonts w:hint="default" w:ascii="宋体" w:hAnsi="宋体" w:eastAsia="宋体" w:cs="宋体"/>
        </w:rPr>
        <w:t>美国国家气象局(NWS)从传感器输入：雷达和雨量计的综合输入，为整个美国制作日降水量估算图。这些数据代表了24小时的累积，并在水文降雨分析项目(HRAP)网格坐标系中传播。虽然数据的空间分辨率被认为是在美国大陆上空约为s4km，但由于其特征，该产品在研究区域上空的空间分辨率更接近于s5km。的的。的。说唱。网格。</w:t>
      </w:r>
      <w:r>
        <w:rPr>
          <w:rFonts w:hint="default" w:ascii="宋体" w:hAnsi="宋体" w:eastAsia="宋体" w:cs="宋体"/>
          <w:lang w:val="en-US" w:eastAsia="zh-CN"/>
        </w:rPr>
        <w:t>.</w:t>
      </w:r>
      <w:r>
        <w:rPr>
          <w:rFonts w:hint="default" w:ascii="宋体" w:hAnsi="宋体" w:eastAsia="宋体" w:cs="宋体"/>
        </w:rPr>
        <w:t>之后。获取。的。数据。为。</w:t>
      </w:r>
      <w:r>
        <w:fldChar w:fldCharType="begin"/>
      </w:r>
      <w:r>
        <w:rPr>
          <w:rFonts w:hint="default" w:ascii="宋体" w:hAnsi="宋体" w:eastAsia="宋体" w:cs="宋体"/>
        </w:rPr>
        <w:instrText xml:space="preserve"> HYPERLINK "https://water.weather.gov/precip/" \h </w:instrText>
      </w:r>
      <w:r>
        <w:fldChar w:fldCharType="separate"/>
      </w:r>
      <w:r>
        <w:rPr>
          <w:rFonts w:ascii="Arial Black" w:hAnsi="Arial Black"/>
          <w:color w:val="0774B7"/>
        </w:rPr>
        <w:fldChar w:fldCharType="end"/>
      </w:r>
      <w:r>
        <w:rPr>
          <w:rFonts w:hint="default" w:ascii="宋体" w:hAnsi="宋体" w:eastAsia="宋体" w:cs="宋体"/>
        </w:rPr>
        <w:t>2016(https://water.weather.gov/precip/)，在WGS84坐标参考系统中，每个文件被预处理为s0.05o(s5km)。在预处理过程中，每个HRAP网格点被分配给最近的WGS84像素。</w:t>
      </w:r>
    </w:p>
    <w:p>
      <w:pPr>
        <w:pStyle w:val="8"/>
        <w:numPr>
          <w:ilvl w:val="2"/>
          <w:numId w:val="2"/>
        </w:numPr>
        <w:tabs>
          <w:tab w:val="left" w:pos="649"/>
        </w:tabs>
        <w:spacing w:before="204" w:after="0" w:line="240" w:lineRule="auto"/>
        <w:ind w:left="648" w:right="0" w:hanging="519"/>
        <w:jc w:val="both"/>
        <w:rPr>
          <w:sz w:val="20"/>
        </w:rPr>
      </w:pPr>
      <w:bookmarkStart w:id="19" w:name="Köppen–Geiger Climate Classification Map"/>
      <w:bookmarkEnd w:id="19"/>
      <w:bookmarkStart w:id="20" w:name="Köppen–Geiger Climate Classification Map"/>
      <w:bookmarkEnd w:id="20"/>
      <w:r>
        <w:rPr>
          <w:rFonts w:hint="default" w:ascii="宋体" w:hAnsi="宋体" w:eastAsia="宋体" w:cs="宋体"/>
          <w:sz w:val="20"/>
        </w:rPr>
        <w:t>盖革气候分类图</w:t>
      </w:r>
    </w:p>
    <w:p>
      <w:pPr>
        <w:pStyle w:val="3"/>
        <w:spacing w:before="3" w:line="237" w:lineRule="auto"/>
        <w:ind w:left="130" w:right="113" w:firstLine="425"/>
        <w:jc w:val="both"/>
      </w:pPr>
      <w:r>
        <w:rPr>
          <w:rFonts w:hint="default" w:ascii="宋体" w:hAnsi="宋体" w:eastAsia="宋体" w:cs="宋体"/>
        </w:rPr>
        <w:t>气候类型使用长时间的平均天气条件来定义。特定的气候类型与降水量、主要植被密度/类型和地表温度[2]直接或间接相关。</w:t>
      </w:r>
      <w:r>
        <w:fldChar w:fldCharType="begin"/>
      </w:r>
      <w:r>
        <w:rPr>
          <w:rFonts w:hint="default" w:ascii="宋体" w:hAnsi="宋体" w:eastAsia="宋体" w:cs="宋体"/>
        </w:rPr>
        <w:instrText xml:space="preserve"> HYPERLINK \l "_bookmark23" </w:instrText>
      </w:r>
      <w:r>
        <w:fldChar w:fldCharType="separate"/>
      </w:r>
      <w:r>
        <w:fldChar w:fldCharType="end"/>
      </w:r>
      <w:r>
        <w:rPr>
          <w:rFonts w:hint="default" w:ascii="宋体" w:hAnsi="宋体" w:eastAsia="宋体" w:cs="宋体"/>
        </w:rPr>
        <w:t>因此，可以预期它对缩小过程有用。据作者所知，没有其他研究使用气候数据来降低土壤湿度。</w:t>
      </w:r>
    </w:p>
    <w:p>
      <w:pPr>
        <w:pStyle w:val="3"/>
        <w:spacing w:before="3" w:line="237" w:lineRule="auto"/>
        <w:ind w:left="130" w:right="113" w:firstLine="425"/>
        <w:jc w:val="both"/>
      </w:pPr>
      <w:r>
        <w:rPr>
          <w:rFonts w:hint="default" w:ascii="宋体" w:hAnsi="宋体" w:eastAsia="宋体" w:cs="宋体"/>
        </w:rPr>
        <w:t>柯本-盖格气候分类地图是弗拉基米尔·柯彭创建的最常用的气候分类地图，1961年由鲁道夫·盖格在最新版本中呈现。在本研究中，使用了由气候变化和传染病产生的更新和重新分析的科本-盖革图的[40]。</w:t>
      </w:r>
      <w:r>
        <w:fldChar w:fldCharType="begin"/>
      </w:r>
      <w:r>
        <w:rPr>
          <w:rFonts w:hint="default" w:ascii="宋体" w:hAnsi="宋体" w:eastAsia="宋体" w:cs="宋体"/>
        </w:rPr>
        <w:instrText xml:space="preserve"> HYPERLINK \l "_bookmark57" </w:instrText>
      </w:r>
      <w:r>
        <w:fldChar w:fldCharType="separate"/>
      </w:r>
      <w:r>
        <w:fldChar w:fldCharType="end"/>
      </w:r>
      <w:r>
        <w:fldChar w:fldCharType="begin"/>
      </w:r>
      <w:r>
        <w:rPr>
          <w:rFonts w:hint="default" w:ascii="宋体" w:hAnsi="宋体" w:eastAsia="宋体" w:cs="宋体"/>
        </w:rPr>
        <w:instrText xml:space="preserve"> HYPERLINK "http://koeppen-geiger.vu-wien.ac.at/" \h </w:instrText>
      </w:r>
      <w:r>
        <w:fldChar w:fldCharType="separate"/>
      </w:r>
      <w:r>
        <w:rPr>
          <w:rFonts w:hint="default" w:ascii="宋体" w:hAnsi="宋体" w:eastAsia="宋体" w:cs="宋体"/>
          <w:color w:val="0774B7"/>
        </w:rPr>
        <w:t>地图的空间分辨率为5‘，可从集团网站（http://koeppen-geiger.vu-wien.ac.at/）获得。</w:t>
      </w:r>
      <w:r>
        <w:rPr>
          <w:rFonts w:ascii="Arial Black" w:hAnsi="Arial Black"/>
          <w:color w:val="0774B7"/>
        </w:rPr>
        <w:fldChar w:fldCharType="end"/>
      </w:r>
      <w:r>
        <w:rPr>
          <w:rFonts w:hint="default" w:ascii="宋体" w:hAnsi="宋体" w:eastAsia="宋体" w:cs="宋体"/>
        </w:rPr>
        <w:t>此外，气候分类地图被重新分类为一级的分类方案，包括五种不同的气候组：A（热带）、B（干旱）、C（温带）、D（大陆）和E（极地）。</w:t>
      </w:r>
    </w:p>
    <w:p>
      <w:pPr>
        <w:pStyle w:val="3"/>
        <w:spacing w:before="3" w:line="237" w:lineRule="auto"/>
        <w:ind w:left="130" w:right="113" w:firstLine="425"/>
        <w:jc w:val="both"/>
      </w:pPr>
      <w:bookmarkStart w:id="21" w:name="Methods "/>
      <w:bookmarkEnd w:id="21"/>
      <w:bookmarkStart w:id="22" w:name="Methods "/>
      <w:bookmarkEnd w:id="22"/>
      <w:r>
        <w:rPr>
          <w:rFonts w:hint="default" w:ascii="宋体" w:hAnsi="宋体" w:eastAsia="宋体" w:cs="宋体"/>
        </w:rPr>
        <w:t>研究方法</w:t>
      </w:r>
    </w:p>
    <w:p>
      <w:pPr>
        <w:pStyle w:val="8"/>
        <w:numPr>
          <w:ilvl w:val="1"/>
          <w:numId w:val="1"/>
        </w:numPr>
        <w:tabs>
          <w:tab w:val="left" w:pos="500"/>
        </w:tabs>
        <w:spacing w:before="195" w:after="0" w:line="240" w:lineRule="auto"/>
        <w:ind w:left="499" w:right="0" w:hanging="370"/>
        <w:jc w:val="both"/>
        <w:rPr>
          <w:i/>
          <w:sz w:val="20"/>
        </w:rPr>
      </w:pPr>
      <w:bookmarkStart w:id="23" w:name="Bilinear Interpolation "/>
      <w:bookmarkEnd w:id="23"/>
      <w:bookmarkStart w:id="24" w:name="Bilinear Interpolation "/>
      <w:bookmarkEnd w:id="24"/>
      <w:r>
        <w:rPr>
          <w:rFonts w:hint="default" w:ascii="宋体" w:hAnsi="宋体" w:eastAsia="宋体" w:cs="宋体"/>
          <w:i/>
          <w:sz w:val="20"/>
        </w:rPr>
        <w:t>双线性插值</w:t>
      </w:r>
    </w:p>
    <w:p>
      <w:pPr>
        <w:pStyle w:val="3"/>
        <w:spacing w:before="120"/>
        <w:ind w:left="122" w:right="123" w:firstLine="433"/>
        <w:jc w:val="both"/>
        <w:rPr>
          <w:spacing w:val="3"/>
        </w:rPr>
      </w:pPr>
      <w:r>
        <w:rPr>
          <w:rFonts w:hint="default" w:ascii="宋体" w:hAnsi="宋体" w:eastAsia="宋体" w:cs="宋体"/>
          <w:spacing w:val="3"/>
        </w:rPr>
        <w:t>双线性插值是一种广泛流行的二维插值方法，它使用四个最近点的值来估计输出值[41]。用来通过这四个点拟合双线性曲面的插值函数由以下方程给出：</w:t>
      </w:r>
      <w:r>
        <w:rPr>
          <w:spacing w:val="3"/>
        </w:rPr>
        <w:fldChar w:fldCharType="begin"/>
      </w:r>
      <w:r>
        <w:rPr>
          <w:rFonts w:hint="default" w:ascii="宋体" w:hAnsi="宋体" w:eastAsia="宋体" w:cs="宋体"/>
          <w:spacing w:val="3"/>
        </w:rPr>
        <w:instrText xml:space="preserve"> HYPERLINK \l "_bookmark58" </w:instrText>
      </w:r>
      <w:r>
        <w:rPr>
          <w:spacing w:val="3"/>
        </w:rPr>
        <w:fldChar w:fldCharType="separate"/>
      </w:r>
      <w:r>
        <w:rPr>
          <w:spacing w:val="3"/>
        </w:rPr>
        <w:fldChar w:fldCharType="end"/>
      </w:r>
    </w:p>
    <w:p>
      <w:pPr>
        <w:pStyle w:val="3"/>
        <w:spacing w:before="11"/>
        <w:rPr>
          <w:sz w:val="16"/>
        </w:rPr>
      </w:pPr>
    </w:p>
    <w:p>
      <w:pPr>
        <w:tabs>
          <w:tab w:val="left" w:pos="8742"/>
        </w:tabs>
        <w:spacing w:before="0"/>
        <w:ind w:left="555" w:right="0" w:firstLine="2414"/>
        <w:jc w:val="left"/>
        <w:rPr>
          <w:sz w:val="20"/>
        </w:rPr>
      </w:pPr>
      <w:r>
        <w:rPr>
          <w:rFonts w:hint="default" w:ascii="宋体" w:hAnsi="宋体" w:eastAsia="宋体" w:cs="宋体"/>
          <w:i/>
          <w:w w:val="115"/>
          <w:sz w:val="20"/>
        </w:rPr>
        <w:t>z=f(x，y)=a</w:t>
      </w:r>
      <w:r>
        <w:rPr>
          <w:rFonts w:hint="default" w:ascii="宋体" w:hAnsi="宋体" w:eastAsia="宋体" w:cs="宋体"/>
          <w:w w:val="115"/>
          <w:sz w:val="20"/>
          <w:vertAlign w:val="subscript"/>
        </w:rPr>
        <w:t>0</w:t>
      </w:r>
      <w:r>
        <w:rPr>
          <w:rFonts w:hint="default" w:ascii="宋体" w:hAnsi="宋体" w:eastAsia="宋体" w:cs="宋体"/>
          <w:w w:val="120"/>
          <w:sz w:val="20"/>
          <w:vertAlign w:val="baseline"/>
        </w:rPr>
        <w:t>‡a</w:t>
      </w:r>
      <w:r>
        <w:rPr>
          <w:rFonts w:hint="default" w:ascii="宋体" w:hAnsi="宋体" w:eastAsia="宋体" w:cs="宋体"/>
          <w:spacing w:val="3"/>
          <w:w w:val="115"/>
          <w:sz w:val="20"/>
          <w:vertAlign w:val="subscript"/>
        </w:rPr>
        <w:t>1</w:t>
      </w:r>
      <w:r>
        <w:rPr>
          <w:rFonts w:hint="default" w:ascii="宋体" w:hAnsi="宋体" w:eastAsia="宋体" w:cs="宋体"/>
          <w:i/>
          <w:spacing w:val="3"/>
          <w:w w:val="115"/>
          <w:sz w:val="20"/>
          <w:vertAlign w:val="baseline"/>
        </w:rPr>
        <w:t>x‡a</w:t>
      </w:r>
      <w:r>
        <w:rPr>
          <w:rFonts w:hint="default" w:ascii="宋体" w:hAnsi="宋体" w:eastAsia="宋体" w:cs="宋体"/>
          <w:spacing w:val="6"/>
          <w:w w:val="115"/>
          <w:sz w:val="20"/>
          <w:vertAlign w:val="subscript"/>
        </w:rPr>
        <w:t>2</w:t>
      </w:r>
      <w:r>
        <w:rPr>
          <w:rFonts w:hint="default" w:ascii="宋体" w:hAnsi="宋体" w:eastAsia="宋体" w:cs="宋体"/>
          <w:i/>
          <w:spacing w:val="6"/>
          <w:w w:val="115"/>
          <w:sz w:val="20"/>
          <w:vertAlign w:val="baseline"/>
        </w:rPr>
        <w:t>y‡a</w:t>
      </w:r>
      <w:r>
        <w:rPr>
          <w:rFonts w:hint="default" w:ascii="宋体" w:hAnsi="宋体" w:eastAsia="宋体" w:cs="宋体"/>
          <w:spacing w:val="3"/>
          <w:w w:val="115"/>
          <w:sz w:val="20"/>
          <w:vertAlign w:val="subscript"/>
        </w:rPr>
        <w:t>3</w:t>
      </w:r>
      <w:r>
        <w:rPr>
          <w:rFonts w:hint="default" w:ascii="宋体" w:hAnsi="宋体" w:eastAsia="宋体" w:cs="宋体"/>
          <w:i/>
          <w:spacing w:val="3"/>
          <w:w w:val="115"/>
          <w:sz w:val="20"/>
          <w:vertAlign w:val="baseline"/>
        </w:rPr>
        <w:t>xy树脂。</w:t>
      </w:r>
      <w:r>
        <w:rPr>
          <w:spacing w:val="3"/>
          <w:w w:val="115"/>
          <w:sz w:val="20"/>
          <w:vertAlign w:val="baseline"/>
        </w:rPr>
        <w:tab/>
      </w:r>
      <w:r>
        <w:rPr>
          <w:rFonts w:hint="default" w:ascii="宋体" w:hAnsi="宋体" w:eastAsia="宋体" w:cs="宋体"/>
          <w:w w:val="115"/>
          <w:sz w:val="20"/>
          <w:vertAlign w:val="baseline"/>
        </w:rPr>
        <w:t>(1)</w:t>
      </w:r>
    </w:p>
    <w:p>
      <w:pPr>
        <w:pStyle w:val="3"/>
        <w:spacing w:before="120"/>
        <w:ind w:left="122" w:right="123" w:firstLine="433"/>
        <w:jc w:val="both"/>
        <w:rPr>
          <w:spacing w:val="3"/>
        </w:rPr>
      </w:pPr>
      <w:r>
        <w:rPr>
          <w:rFonts w:hint="default" w:ascii="宋体" w:hAnsi="宋体" w:eastAsia="宋体" w:cs="宋体"/>
          <w:spacing w:val="3"/>
        </w:rPr>
        <w:t>当应用于光栅图像时，该插值方法考虑从新像素的位置位于对角方向上的四个最近像素的已知值。新像素值计算为原始图像的这四个像素值的加权平均值。此重采样方法既可用作聚合光栅工具或解聚合光栅工具。在本研究中，它被认为是一种分解工具，用于降低遥感产品从粗空间分辨率到更好的空间分辨率。由于它的广泛受欢迎程度，人们采用双线性插值进行比较，即将其结果与更复杂的方法的结果进行比较。</w:t>
      </w:r>
    </w:p>
    <w:p>
      <w:pPr>
        <w:spacing w:after="0"/>
        <w:jc w:val="both"/>
        <w:sectPr>
          <w:pgSz w:w="11910" w:h="16840"/>
          <w:pgMar w:top="1300" w:right="1380" w:bottom="280" w:left="1400" w:header="1108" w:footer="0" w:gutter="0"/>
          <w:cols w:space="720" w:num="1"/>
        </w:sectPr>
      </w:pPr>
    </w:p>
    <w:p>
      <w:pPr>
        <w:pStyle w:val="3"/>
        <w:spacing w:before="10"/>
        <w:rPr>
          <w:sz w:val="26"/>
        </w:rPr>
      </w:pPr>
    </w:p>
    <w:p>
      <w:pPr>
        <w:pStyle w:val="8"/>
        <w:numPr>
          <w:ilvl w:val="1"/>
          <w:numId w:val="1"/>
        </w:numPr>
        <w:tabs>
          <w:tab w:val="left" w:pos="500"/>
        </w:tabs>
        <w:spacing w:before="78" w:after="0" w:line="240" w:lineRule="auto"/>
        <w:ind w:left="499" w:right="0" w:hanging="370"/>
        <w:jc w:val="both"/>
        <w:rPr>
          <w:i/>
          <w:sz w:val="20"/>
        </w:rPr>
      </w:pPr>
      <w:bookmarkStart w:id="25" w:name="Random Forest Regression "/>
      <w:bookmarkEnd w:id="25"/>
      <w:bookmarkStart w:id="26" w:name="Random Forest Regression "/>
      <w:bookmarkEnd w:id="26"/>
      <w:r>
        <w:rPr>
          <w:rFonts w:hint="default" w:ascii="宋体" w:hAnsi="宋体" w:eastAsia="宋体" w:cs="宋体"/>
          <w:i/>
          <w:sz w:val="20"/>
        </w:rPr>
        <w:t>随机森林回归</w:t>
      </w:r>
    </w:p>
    <w:p>
      <w:pPr>
        <w:pStyle w:val="3"/>
        <w:spacing w:before="120"/>
        <w:ind w:left="122" w:right="123" w:firstLine="433"/>
        <w:jc w:val="both"/>
        <w:rPr>
          <w:spacing w:val="3"/>
        </w:rPr>
      </w:pPr>
      <w:r>
        <w:rPr>
          <w:spacing w:val="3"/>
        </w:rPr>
        <w:fldChar w:fldCharType="begin"/>
      </w:r>
      <w:r>
        <w:rPr>
          <w:rFonts w:hint="default" w:ascii="宋体" w:hAnsi="宋体" w:eastAsia="宋体" w:cs="宋体"/>
          <w:spacing w:val="3"/>
        </w:rPr>
        <w:instrText xml:space="preserve"> HYPERLINK \l "_bookmark59" </w:instrText>
      </w:r>
      <w:r>
        <w:rPr>
          <w:spacing w:val="3"/>
        </w:rPr>
        <w:fldChar w:fldCharType="separate"/>
      </w:r>
      <w:r>
        <w:rPr>
          <w:spacing w:val="3"/>
        </w:rPr>
        <w:fldChar w:fldCharType="end"/>
      </w:r>
      <w:r>
        <w:rPr>
          <w:rFonts w:hint="default" w:ascii="宋体" w:hAnsi="宋体" w:eastAsia="宋体" w:cs="宋体"/>
          <w:spacing w:val="3"/>
        </w:rPr>
        <w:t>随机森林是一种集成方法的机器学习技术，可以同时应用于回归和分类问题。Breiman[42]提出的技术使用了在训练阶段构建的多个决策树，从中将平均预测作为模型的输出。每棵树都是由从输入训练数据的某些部分创建的引导示例构建的，而其余的数据则用于对每棵树的性能评估。这个特性（也被称为引导聚合）为建模非线性关系提供了强大的工具，同时减少了过拟合和改进泛化[42]的机会。</w:t>
      </w:r>
      <w:r>
        <w:rPr>
          <w:spacing w:val="3"/>
        </w:rPr>
        <w:fldChar w:fldCharType="begin"/>
      </w:r>
      <w:r>
        <w:rPr>
          <w:rFonts w:hint="default" w:ascii="宋体" w:hAnsi="宋体" w:eastAsia="宋体" w:cs="宋体"/>
          <w:spacing w:val="3"/>
        </w:rPr>
        <w:instrText xml:space="preserve"> HYPERLINK \l "_bookmark59" </w:instrText>
      </w:r>
      <w:r>
        <w:rPr>
          <w:spacing w:val="3"/>
        </w:rPr>
        <w:fldChar w:fldCharType="separate"/>
      </w:r>
      <w:r>
        <w:rPr>
          <w:spacing w:val="3"/>
        </w:rPr>
        <w:fldChar w:fldCharType="end"/>
      </w:r>
    </w:p>
    <w:p>
      <w:pPr>
        <w:pStyle w:val="3"/>
        <w:spacing w:before="120"/>
        <w:ind w:left="122" w:right="123" w:firstLine="433"/>
        <w:jc w:val="both"/>
        <w:rPr>
          <w:spacing w:val="3"/>
        </w:rPr>
      </w:pPr>
      <w:r>
        <w:rPr>
          <w:spacing w:val="3"/>
        </w:rPr>
        <w:fldChar w:fldCharType="begin"/>
      </w:r>
      <w:r>
        <w:rPr>
          <w:rFonts w:hint="default" w:ascii="宋体" w:hAnsi="宋体" w:eastAsia="宋体" w:cs="宋体"/>
          <w:spacing w:val="3"/>
        </w:rPr>
        <w:instrText xml:space="preserve"> HYPERLINK \l "_bookmark60" </w:instrText>
      </w:r>
      <w:r>
        <w:rPr>
          <w:spacing w:val="3"/>
        </w:rPr>
        <w:fldChar w:fldCharType="separate"/>
      </w:r>
      <w:r>
        <w:rPr>
          <w:spacing w:val="3"/>
        </w:rPr>
        <w:fldChar w:fldCharType="end"/>
      </w:r>
      <w:r>
        <w:rPr>
          <w:rFonts w:hint="default" w:ascii="宋体" w:hAnsi="宋体" w:eastAsia="宋体" w:cs="宋体"/>
          <w:spacing w:val="3"/>
        </w:rPr>
        <w:t>在本研究中，在游杰R包中实现的随机森林回归使用了[43]。树的数量被设置为200棵，因为更大的数量没有产生显著的错误改进，但增加了计算时间。分割规则设置为“MaxStat”，而不是更通常的默认“方差”分割规则。所有其他参数都保留为其默认值。</w:t>
      </w:r>
    </w:p>
    <w:p>
      <w:pPr>
        <w:pStyle w:val="2"/>
        <w:numPr>
          <w:ilvl w:val="0"/>
          <w:numId w:val="1"/>
        </w:numPr>
        <w:tabs>
          <w:tab w:val="left" w:pos="350"/>
        </w:tabs>
        <w:spacing w:before="196" w:after="0" w:line="240" w:lineRule="auto"/>
        <w:ind w:left="349" w:right="0" w:hanging="220"/>
        <w:jc w:val="both"/>
      </w:pPr>
      <w:bookmarkStart w:id="27" w:name="Methodology "/>
      <w:bookmarkEnd w:id="27"/>
      <w:bookmarkStart w:id="28" w:name="Methodology "/>
      <w:bookmarkEnd w:id="28"/>
      <w:r>
        <w:rPr>
          <w:rFonts w:hint="default" w:ascii="宋体" w:hAnsi="宋体" w:eastAsia="宋体" w:cs="宋体"/>
        </w:rPr>
        <w:t>计算方法</w:t>
      </w:r>
    </w:p>
    <w:p>
      <w:pPr>
        <w:pStyle w:val="3"/>
        <w:spacing w:before="120"/>
        <w:ind w:left="122" w:right="123" w:firstLine="433"/>
        <w:jc w:val="both"/>
        <w:rPr>
          <w:spacing w:val="3"/>
        </w:rPr>
      </w:pPr>
      <w:r>
        <w:rPr>
          <w:spacing w:val="3"/>
        </w:rPr>
        <w:fldChar w:fldCharType="begin"/>
      </w:r>
      <w:r>
        <w:rPr>
          <w:rFonts w:hint="default" w:ascii="宋体" w:hAnsi="宋体" w:eastAsia="宋体" w:cs="宋体"/>
          <w:spacing w:val="3"/>
        </w:rPr>
        <w:instrText xml:space="preserve"> HYPERLINK \l "_bookmark2" </w:instrText>
      </w:r>
      <w:r>
        <w:rPr>
          <w:spacing w:val="3"/>
        </w:rPr>
        <w:fldChar w:fldCharType="separate"/>
      </w:r>
      <w:r>
        <w:rPr>
          <w:spacing w:val="3"/>
        </w:rPr>
        <w:fldChar w:fldCharType="end"/>
      </w:r>
      <w:r>
        <w:rPr>
          <w:rFonts w:hint="default" w:ascii="宋体" w:hAnsi="宋体" w:eastAsia="宋体" w:cs="宋体"/>
          <w:spacing w:val="3"/>
        </w:rPr>
        <w:t>本研究中使用的方法包括几个步骤（图3）。首先，对输入数据集进行处理以填补时间和空间领域的空白。接下来，创建的数据集用于将粗分辨率ESACCISM产品降到1公里的高空间分辨率（数据工程）。由于缩小规模的产品对现场土壤水分观测仍有很大的偏差，因此需要进行额外的处理。这一点在最后一步（随机森林）中有涵盖，其中所有以前创建的缩小规模的数据集都被用来生成高空间分辨率的输出SSM地图。以下各节详细介绍了所有这些步骤。</w:t>
      </w:r>
    </w:p>
    <w:p>
      <w:pPr>
        <w:rPr>
          <w:sz w:val="15"/>
        </w:rPr>
      </w:pPr>
      <w:r>
        <w:rPr>
          <w:sz w:val="15"/>
        </w:rPr>
        <w:br w:type="page"/>
      </w:r>
      <w:bookmarkStart w:id="29" w:name="_bookmark47"/>
      <w:bookmarkEnd w:id="29"/>
      <w:bookmarkStart w:id="30" w:name="_bookmark47"/>
      <w:bookmarkEnd w:id="30"/>
    </w:p>
    <w:p>
      <w:pPr>
        <w:pStyle w:val="2"/>
        <w:ind w:left="130" w:firstLine="0"/>
        <w:jc w:val="left"/>
      </w:pPr>
      <w:r>
        <w:t>References</w:t>
      </w:r>
    </w:p>
    <w:p>
      <w:pPr>
        <w:pStyle w:val="8"/>
        <w:numPr>
          <w:ilvl w:val="0"/>
          <w:numId w:val="3"/>
        </w:numPr>
        <w:tabs>
          <w:tab w:val="left" w:pos="561"/>
        </w:tabs>
        <w:spacing w:before="2" w:after="0" w:line="254" w:lineRule="auto"/>
        <w:ind w:left="552" w:right="117" w:hanging="422"/>
        <w:jc w:val="both"/>
        <w:rPr>
          <w:sz w:val="18"/>
        </w:rPr>
      </w:pPr>
      <w:bookmarkStart w:id="31" w:name="_bookmark22"/>
      <w:bookmarkEnd w:id="31"/>
      <w:bookmarkStart w:id="32" w:name="_bookmark22"/>
      <w:bookmarkEnd w:id="32"/>
      <w:r>
        <w:rPr>
          <w:sz w:val="18"/>
        </w:rPr>
        <w:t xml:space="preserve">Srivastava, P.K.; Petropoulos, G.P.; Kerr, Y.H. Satellite soil Moisture Retrieval: Techniques and Applications; </w:t>
      </w:r>
      <w:bookmarkStart w:id="33" w:name="_bookmark23"/>
      <w:bookmarkEnd w:id="33"/>
      <w:r>
        <w:rPr>
          <w:sz w:val="18"/>
        </w:rPr>
        <w:t>Elsevier: Amsterdam, The Netherlands, 2016; ISBN 978-0-12-803388-3.</w:t>
      </w:r>
    </w:p>
    <w:p>
      <w:pPr>
        <w:pStyle w:val="8"/>
        <w:numPr>
          <w:ilvl w:val="0"/>
          <w:numId w:val="3"/>
        </w:numPr>
        <w:tabs>
          <w:tab w:val="left" w:pos="561"/>
        </w:tabs>
        <w:spacing w:before="2" w:after="0" w:line="254" w:lineRule="auto"/>
        <w:ind w:left="552" w:right="117" w:hanging="422"/>
        <w:jc w:val="both"/>
        <w:rPr>
          <w:sz w:val="18"/>
        </w:rPr>
      </w:pPr>
      <w:r>
        <w:rPr>
          <w:sz w:val="18"/>
        </w:rPr>
        <w:t xml:space="preserve">Seneviratne, S.I.; Corti, T.; Davin, E.L.; Hirschi, M.; Jaeger, E.B.; Lehner, I.; Orlowsky, B.; Teuling, A.J. Investigating soil moisture–climate interactions in a changing climate: A review. Earth-Sci. Rev. 2010, 99, </w:t>
      </w:r>
      <w:bookmarkStart w:id="34" w:name="_bookmark24"/>
      <w:bookmarkEnd w:id="34"/>
      <w:r>
        <w:rPr>
          <w:sz w:val="18"/>
        </w:rPr>
        <w:t>125–161. [</w:t>
      </w:r>
      <w:r>
        <w:rPr>
          <w:sz w:val="18"/>
        </w:rPr>
        <w:fldChar w:fldCharType="begin"/>
      </w:r>
      <w:r>
        <w:rPr>
          <w:sz w:val="18"/>
        </w:rPr>
        <w:instrText xml:space="preserve"> HYPERLINK "http://dx.doi.org/10.1016/j.earscirev.2010.02.004"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Corradini, C. Soil moisture in the development of hydrological processes and its determination at different </w:t>
      </w:r>
      <w:bookmarkStart w:id="35" w:name="_bookmark25"/>
      <w:bookmarkEnd w:id="35"/>
      <w:r>
        <w:rPr>
          <w:sz w:val="18"/>
        </w:rPr>
        <w:t>spatial scales. J. Hydrol. 2014, 516, 1–5. [</w:t>
      </w:r>
      <w:r>
        <w:rPr>
          <w:sz w:val="18"/>
        </w:rPr>
        <w:fldChar w:fldCharType="begin"/>
      </w:r>
      <w:r>
        <w:rPr>
          <w:sz w:val="18"/>
        </w:rPr>
        <w:instrText xml:space="preserve"> HYPERLINK "http://dx.doi.org/10.1016/j.jhydrol.2014.02.051"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Entekhabi, D.; Rodriguez-Iturbe, I.; Castelli, F. Mutual interaction of soil moisture state and atmospheric </w:t>
      </w:r>
      <w:bookmarkStart w:id="36" w:name="_bookmark26"/>
      <w:bookmarkEnd w:id="36"/>
      <w:r>
        <w:rPr>
          <w:sz w:val="18"/>
        </w:rPr>
        <w:t>processes. J. Hydrol. 1996, 184, 3–17. [</w:t>
      </w:r>
      <w:r>
        <w:rPr>
          <w:sz w:val="18"/>
        </w:rPr>
        <w:fldChar w:fldCharType="begin"/>
      </w:r>
      <w:r>
        <w:rPr>
          <w:sz w:val="18"/>
        </w:rPr>
        <w:instrText xml:space="preserve"> HYPERLINK "http://dx.doi.org/10.1016/0022-1694(95)02965-6"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Osenga, E.C.; Arnott, J.C.; Endsley, K.A.; Katzenberger, J.W. Bioclimatic and soil moisture monitoring across elevation in a mountain watershed: Opportunities for research and resource management. Water Resour. Res.</w:t>
      </w:r>
      <w:bookmarkStart w:id="37" w:name="_bookmark27"/>
      <w:bookmarkEnd w:id="37"/>
      <w:r>
        <w:rPr>
          <w:sz w:val="18"/>
        </w:rPr>
        <w:t xml:space="preserve"> 2019, 55, 2493–2503. [</w:t>
      </w:r>
      <w:r>
        <w:rPr>
          <w:sz w:val="18"/>
        </w:rPr>
        <w:fldChar w:fldCharType="begin"/>
      </w:r>
      <w:r>
        <w:rPr>
          <w:sz w:val="18"/>
        </w:rPr>
        <w:instrText xml:space="preserve"> HYPERLINK "http://dx.doi.org/10.1029/2018WR023653"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Srivastava, P.K. Satellite soil moisture: review of theory and applications in water resources. Water Resour. </w:t>
      </w:r>
      <w:bookmarkStart w:id="38" w:name="_bookmark28"/>
      <w:bookmarkEnd w:id="38"/>
      <w:r>
        <w:rPr>
          <w:sz w:val="18"/>
        </w:rPr>
        <w:t>Manag. 2017, 31, 3161–3176. [</w:t>
      </w:r>
      <w:r>
        <w:rPr>
          <w:sz w:val="18"/>
        </w:rPr>
        <w:fldChar w:fldCharType="begin"/>
      </w:r>
      <w:r>
        <w:rPr>
          <w:sz w:val="18"/>
        </w:rPr>
        <w:instrText xml:space="preserve"> HYPERLINK "http://dx.doi.org/10.1007/s11269-017-1722-6"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Vivoni, E.R.; Moreno, H.A.; Mascaro, G.; Rodriguez, J.C.; Watts, C.J.; Garatuza-Payan, J.; Scott, R.L. Observed relation between evapotranspiration and soil moisture in the North American monsoon region. Geophys. Res. Lett. 2008, 35. [</w:t>
      </w:r>
      <w:r>
        <w:rPr>
          <w:sz w:val="18"/>
        </w:rPr>
        <w:fldChar w:fldCharType="begin"/>
      </w:r>
      <w:r>
        <w:rPr>
          <w:sz w:val="18"/>
        </w:rPr>
        <w:instrText xml:space="preserve"> HYPERLINK "http://dx.doi.org/10.1029/2008GL036001"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bookmarkStart w:id="39" w:name="_bookmark29"/>
      <w:bookmarkEnd w:id="39"/>
      <w:bookmarkStart w:id="40" w:name="_bookmark29"/>
      <w:bookmarkEnd w:id="40"/>
      <w:r>
        <w:rPr>
          <w:sz w:val="18"/>
        </w:rPr>
        <w:t xml:space="preserve">Nagler, P.L.; Glenn, E.P.; Kim, H.; Emmerich, W.; Scott, R.L.; Huxman, T.E.; Huete, A.R. Relationship between evapotranspiration and precipitation pulses in a semiarid rangeland estimated by moisture ﬂux towers and </w:t>
      </w:r>
      <w:bookmarkStart w:id="41" w:name="_bookmark30"/>
      <w:bookmarkEnd w:id="41"/>
      <w:r>
        <w:rPr>
          <w:sz w:val="18"/>
        </w:rPr>
        <w:t>MODIS vegetation indices. J. Arid Environ. 2007, 70, 443–462. [</w:t>
      </w:r>
      <w:r>
        <w:rPr>
          <w:sz w:val="18"/>
        </w:rPr>
        <w:fldChar w:fldCharType="begin"/>
      </w:r>
      <w:r>
        <w:rPr>
          <w:sz w:val="18"/>
        </w:rPr>
        <w:instrText xml:space="preserve"> HYPERLINK "http://dx.doi.org/10.1016/j.jaridenv.2006.12.026"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Bartsch, A.; Balzter, H.; George, C. The inﬂuence of regional surface soil moisture anomalies on forest ﬁres in </w:t>
      </w:r>
      <w:bookmarkStart w:id="42" w:name="_bookmark31"/>
      <w:bookmarkEnd w:id="42"/>
      <w:r>
        <w:rPr>
          <w:sz w:val="18"/>
        </w:rPr>
        <w:t>Siberia observed from satellites. Environ. Res. Lett. 2009, 4, 045021. [</w:t>
      </w:r>
      <w:r>
        <w:rPr>
          <w:sz w:val="18"/>
        </w:rPr>
        <w:fldChar w:fldCharType="begin"/>
      </w:r>
      <w:r>
        <w:rPr>
          <w:sz w:val="18"/>
        </w:rPr>
        <w:instrText xml:space="preserve"> HYPERLINK "http://dx.doi.org/10.1088/1748-9326/4/4/045021"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World Meteorological Organization (WMO); United Nations Educational, Scientiﬁc and Cultural Organization; United Nations Environment Programme; International Council for Science. GCOS, 138. Implementation Plan for the Global Observing System for Climate in Support of the UNFCCC; WMO: Geneva, </w:t>
      </w:r>
      <w:bookmarkStart w:id="43" w:name="_bookmark32"/>
      <w:bookmarkEnd w:id="43"/>
      <w:r>
        <w:rPr>
          <w:sz w:val="18"/>
        </w:rPr>
        <w:t>Switzerland, 2010.</w:t>
      </w:r>
    </w:p>
    <w:p>
      <w:pPr>
        <w:pStyle w:val="8"/>
        <w:numPr>
          <w:ilvl w:val="0"/>
          <w:numId w:val="3"/>
        </w:numPr>
        <w:tabs>
          <w:tab w:val="left" w:pos="561"/>
        </w:tabs>
        <w:spacing w:before="2" w:after="0" w:line="254" w:lineRule="auto"/>
        <w:ind w:left="552" w:right="117" w:hanging="422"/>
        <w:jc w:val="both"/>
        <w:rPr>
          <w:sz w:val="18"/>
        </w:rPr>
      </w:pPr>
      <w:r>
        <w:rPr>
          <w:sz w:val="18"/>
        </w:rPr>
        <w:t xml:space="preserve">World Meteorological Organization (WMO); United Nations Educational, Scientiﬁc and Cultural Organization; United Nations Environment Programme; International Council for Science. GCOS, 154. Systematic Observation Requirements for Satellite-based Products for Climate Supplemental details to the satellite-based component of the Implementation Plan for the Global Observing System for Climate in Support of the UNFCCC; </w:t>
      </w:r>
      <w:bookmarkStart w:id="44" w:name="_bookmark33"/>
      <w:bookmarkEnd w:id="44"/>
      <w:r>
        <w:rPr>
          <w:sz w:val="18"/>
        </w:rPr>
        <w:t>WMO: Geneva, Switzerland, 2011.</w:t>
      </w:r>
    </w:p>
    <w:p>
      <w:pPr>
        <w:pStyle w:val="8"/>
        <w:numPr>
          <w:ilvl w:val="0"/>
          <w:numId w:val="3"/>
        </w:numPr>
        <w:tabs>
          <w:tab w:val="left" w:pos="561"/>
        </w:tabs>
        <w:spacing w:before="2" w:after="0" w:line="254" w:lineRule="auto"/>
        <w:ind w:left="552" w:right="117" w:hanging="422"/>
        <w:jc w:val="both"/>
        <w:rPr>
          <w:sz w:val="18"/>
        </w:rPr>
      </w:pPr>
      <w:r>
        <w:rPr>
          <w:sz w:val="18"/>
        </w:rPr>
        <w:t xml:space="preserve">Hillel, D. Introduction to Environmental  Soil  Physics;  Elsevier:  Amsterdam,  The  Netherlands,  2003;  </w:t>
      </w:r>
      <w:bookmarkStart w:id="45" w:name="_bookmark34"/>
      <w:bookmarkEnd w:id="45"/>
      <w:r>
        <w:rPr>
          <w:sz w:val="18"/>
        </w:rPr>
        <w:t>ISBN 978-0-12-348655-4.</w:t>
      </w:r>
    </w:p>
    <w:p>
      <w:pPr>
        <w:pStyle w:val="8"/>
        <w:numPr>
          <w:ilvl w:val="0"/>
          <w:numId w:val="3"/>
        </w:numPr>
        <w:tabs>
          <w:tab w:val="left" w:pos="561"/>
        </w:tabs>
        <w:spacing w:before="2" w:after="0" w:line="254" w:lineRule="auto"/>
        <w:ind w:left="552" w:right="117" w:hanging="422"/>
        <w:jc w:val="both"/>
        <w:rPr>
          <w:sz w:val="18"/>
        </w:rPr>
      </w:pPr>
      <w:r>
        <w:rPr>
          <w:sz w:val="18"/>
        </w:rPr>
        <w:t xml:space="preserve">Zhu, H.; Liu, T.; Xue, B.; Wang, G. Modiﬁed Richards’ equation to improve estimates of soil moisture in </w:t>
      </w:r>
      <w:bookmarkStart w:id="46" w:name="_bookmark35"/>
      <w:bookmarkEnd w:id="46"/>
      <w:r>
        <w:rPr>
          <w:sz w:val="18"/>
        </w:rPr>
        <w:t>two-layered soils after inﬁltration. Water 2018, 10, 1174. [</w:t>
      </w:r>
      <w:r>
        <w:rPr>
          <w:sz w:val="18"/>
        </w:rPr>
        <w:fldChar w:fldCharType="begin"/>
      </w:r>
      <w:r>
        <w:rPr>
          <w:sz w:val="18"/>
        </w:rPr>
        <w:instrText xml:space="preserve"> HYPERLINK "http://dx.doi.org/10.3390/w10091174"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Moran, M.S.; Peters-Lidard, C.D.; Watts, J.M.; McElroy, S. Estimating soil moisture at the watershed scale with satellite-based radar and land surface models. Can. J. Remote Sens. 2004, 30, 22. [</w:t>
      </w:r>
      <w:r>
        <w:rPr>
          <w:sz w:val="18"/>
        </w:rPr>
        <w:fldChar w:fldCharType="begin"/>
      </w:r>
      <w:r>
        <w:rPr>
          <w:sz w:val="18"/>
        </w:rPr>
        <w:instrText xml:space="preserve"> HYPERLINK "http://dx.doi.org/10.5589/m04-043"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Kumar, K.; Arora, M.K.; Hariprasad, K.S. Geostatistical analysis of soil moisture distribution in a part of </w:t>
      </w:r>
      <w:bookmarkStart w:id="47" w:name="_bookmark36"/>
      <w:bookmarkEnd w:id="47"/>
      <w:r>
        <w:rPr>
          <w:sz w:val="18"/>
        </w:rPr>
        <w:t>solani river catchment. Appl. Water Sci. 2016, 6, 25–34. [</w:t>
      </w:r>
      <w:r>
        <w:rPr>
          <w:sz w:val="18"/>
        </w:rPr>
        <w:fldChar w:fldCharType="begin"/>
      </w:r>
      <w:r>
        <w:rPr>
          <w:sz w:val="18"/>
        </w:rPr>
        <w:instrText xml:space="preserve"> HYPERLINK "http://dx.doi.org/10.1007/s13201-014-0202-x"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Kathuria, D.; Mohanty, B.P.; Katzfuss, M. A nonstationary geostatistical framework for soil moisture </w:t>
      </w:r>
      <w:bookmarkStart w:id="48" w:name="_bookmark37"/>
      <w:bookmarkEnd w:id="48"/>
      <w:r>
        <w:rPr>
          <w:sz w:val="18"/>
        </w:rPr>
        <w:t>prediction in the presence of surface heterogeneity. Water Resour. Res. 2019, 55, 729–753. [</w:t>
      </w:r>
      <w:r>
        <w:rPr>
          <w:sz w:val="18"/>
        </w:rPr>
        <w:fldChar w:fldCharType="begin"/>
      </w:r>
      <w:r>
        <w:rPr>
          <w:sz w:val="18"/>
        </w:rPr>
        <w:instrText xml:space="preserve"> HYPERLINK "http://dx.doi.org/10.1029/2018WR023505"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Wagner, W.; Blöschl, G.; Pampaloni, P.; Calvet, J.-C.; Bizzarri, B.; Wigneron, J.-P.; Kerr, Y. Operational readiness of microwave remote sensing of soil moisture for hydrologic applications. Hydrol. Res. 2007, 38, 1–20. </w:t>
      </w:r>
      <w:bookmarkStart w:id="49" w:name="_bookmark38"/>
      <w:bookmarkEnd w:id="49"/>
      <w:r>
        <w:rPr>
          <w:sz w:val="18"/>
        </w:rPr>
        <w:t>[</w:t>
      </w:r>
      <w:r>
        <w:rPr>
          <w:sz w:val="18"/>
        </w:rPr>
        <w:fldChar w:fldCharType="begin"/>
      </w:r>
      <w:r>
        <w:rPr>
          <w:sz w:val="18"/>
        </w:rPr>
        <w:instrText xml:space="preserve"> HYPERLINK "http://dx.doi.org/10.2166/nh.2007.029"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Reichle, R.H.; Crow, W.T.; Koster, R.D.; Sharif, H.O.; Mahanama, S.P.P. Contribution of soil moisture retrievals </w:t>
      </w:r>
      <w:bookmarkStart w:id="50" w:name="_bookmark39"/>
      <w:bookmarkEnd w:id="50"/>
      <w:r>
        <w:rPr>
          <w:sz w:val="18"/>
        </w:rPr>
        <w:t>to land data assimilation products. Geophys. Res. Lett. 2008, 35. [</w:t>
      </w:r>
      <w:r>
        <w:rPr>
          <w:sz w:val="18"/>
        </w:rPr>
        <w:fldChar w:fldCharType="begin"/>
      </w:r>
      <w:r>
        <w:rPr>
          <w:sz w:val="18"/>
        </w:rPr>
        <w:instrText xml:space="preserve"> HYPERLINK "http://dx.doi.org/10.1029/2007GL031986"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Sabaghy, S.; Walker, J.P.; Renzullo, L.J.; Jackson, T.J. Spatially enhanced passive microwave derived soil </w:t>
      </w:r>
      <w:bookmarkStart w:id="51" w:name="_bookmark40"/>
      <w:bookmarkEnd w:id="51"/>
      <w:r>
        <w:rPr>
          <w:sz w:val="18"/>
        </w:rPr>
        <w:t>moisture: Capabilities and opportunities. Remote Sens. Environ. 2018, 209, 551–580. [</w:t>
      </w:r>
      <w:r>
        <w:rPr>
          <w:sz w:val="18"/>
        </w:rPr>
        <w:fldChar w:fldCharType="begin"/>
      </w:r>
      <w:r>
        <w:rPr>
          <w:sz w:val="18"/>
        </w:rPr>
        <w:instrText xml:space="preserve"> HYPERLINK "http://dx.doi.org/10.1016/j.rse.2018.02.065"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Peng, J.; Loew, A.; Merlin, O.; Verhoest, N.E.C. A review of spatial downscaling of satellite remotely sensed </w:t>
      </w:r>
      <w:bookmarkStart w:id="52" w:name="_bookmark41"/>
      <w:bookmarkEnd w:id="52"/>
      <w:r>
        <w:rPr>
          <w:sz w:val="18"/>
        </w:rPr>
        <w:t>soil moisture: Downscale satellite-based soil moisture. Rev. Geophys. 2017, 55, 341–366. [</w:t>
      </w:r>
      <w:r>
        <w:rPr>
          <w:sz w:val="18"/>
        </w:rPr>
        <w:fldChar w:fldCharType="begin"/>
      </w:r>
      <w:r>
        <w:rPr>
          <w:sz w:val="18"/>
        </w:rPr>
        <w:instrText xml:space="preserve"> HYPERLINK "http://dx.doi.org/10.1002/2016RG000543"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Kawanishi, T.; Sezai, T.; Ito, Y.; Imaoka, K.; Takeshima, T.; Ishido, Y.; Shibata, A.; Miura, M.; Inahata, H.; Spencer, R.W.; et al. The advanced microwave scanning radiometer for the earth observing system (AMSR-E), NASDA’s contribution to the EOS for global energy and water cycle studies. IEEE Trans. Geosci. Remote Sens.</w:t>
      </w:r>
      <w:bookmarkStart w:id="53" w:name="_bookmark42"/>
      <w:bookmarkEnd w:id="53"/>
      <w:r>
        <w:rPr>
          <w:sz w:val="18"/>
        </w:rPr>
        <w:t xml:space="preserve"> 2003, 41, 184–194. [</w:t>
      </w:r>
      <w:r>
        <w:rPr>
          <w:sz w:val="18"/>
        </w:rPr>
        <w:fldChar w:fldCharType="begin"/>
      </w:r>
      <w:r>
        <w:rPr>
          <w:sz w:val="18"/>
        </w:rPr>
        <w:instrText xml:space="preserve"> HYPERLINK "http://dx.doi.org/10.1109/TGRS.2002.808331"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Kerr, Y.H.; Waldteufel, P.; Wigneron, J.-P.; Delwart, S.; Cabot, F.; Boutin, J.; Escorihuela, M.-J.; Font, J.; Reul, N.; Gruhier, C.; et al. The SMOS Mission: New Tool for Monitoring Key Elements of the Global Water Cycle.</w:t>
      </w:r>
      <w:bookmarkStart w:id="54" w:name="_bookmark43"/>
      <w:bookmarkEnd w:id="54"/>
      <w:r>
        <w:rPr>
          <w:sz w:val="18"/>
        </w:rPr>
        <w:t xml:space="preserve"> Proc. IEEE 2010, 98, 666–687. [</w:t>
      </w:r>
      <w:r>
        <w:rPr>
          <w:sz w:val="18"/>
        </w:rPr>
        <w:fldChar w:fldCharType="begin"/>
      </w:r>
      <w:r>
        <w:rPr>
          <w:sz w:val="18"/>
        </w:rPr>
        <w:instrText xml:space="preserve"> HYPERLINK "http://dx.doi.org/10.1109/JPROC.2010.2043032"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Entekhabi, D.; Njoku, E.G.; O’Neill, P.E.; Kellogg, K.H.; Crow, W.T.; Edelstein, W.N.; Entin, J.K.; Goodman, S.D.; Jackson, T.J.; Johnson, J.; et al. The Soil Moisture Active Passive (SMAP) Mission. Proc. IEEE 2010, 98, </w:t>
      </w:r>
      <w:bookmarkStart w:id="55" w:name="_bookmark44"/>
      <w:bookmarkEnd w:id="55"/>
      <w:r>
        <w:rPr>
          <w:sz w:val="18"/>
        </w:rPr>
        <w:t>704–716. [</w:t>
      </w:r>
      <w:r>
        <w:rPr>
          <w:sz w:val="18"/>
        </w:rPr>
        <w:fldChar w:fldCharType="begin"/>
      </w:r>
      <w:r>
        <w:rPr>
          <w:sz w:val="18"/>
        </w:rPr>
        <w:instrText xml:space="preserve"> HYPERLINK "http://dx.doi.org/10.1109/JPROC.2010.2043918"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Figa-Saldaña, J.; Wilson, J.J.W.; Attema, E.; Gelsthorpe, R.; Drinkwater, M.R.; Stoffelen, A. The advanced scatterometer (ASCAT) on the meteorological operational (MetOp) platform: A follow on for European wind </w:t>
      </w:r>
      <w:bookmarkStart w:id="56" w:name="_bookmark45"/>
      <w:bookmarkEnd w:id="56"/>
      <w:r>
        <w:rPr>
          <w:sz w:val="18"/>
        </w:rPr>
        <w:t>scatterometers. Can. J. Remote Sens. 2002, 28, 404–412. [</w:t>
      </w:r>
      <w:r>
        <w:rPr>
          <w:sz w:val="18"/>
        </w:rPr>
        <w:fldChar w:fldCharType="begin"/>
      </w:r>
      <w:r>
        <w:rPr>
          <w:sz w:val="18"/>
        </w:rPr>
        <w:instrText xml:space="preserve"> HYPERLINK "http://dx.doi.org/10.5589/m02-035" \h </w:instrText>
      </w:r>
      <w:r>
        <w:rPr>
          <w:sz w:val="18"/>
        </w:rPr>
        <w:fldChar w:fldCharType="separate"/>
      </w:r>
      <w:r>
        <w:rPr>
          <w:sz w:val="18"/>
        </w:rPr>
        <w:t>CrossRef</w:t>
      </w:r>
      <w:r>
        <w:rPr>
          <w:sz w:val="18"/>
        </w:rPr>
        <w:fldChar w:fldCharType="end"/>
      </w:r>
      <w:r>
        <w:rPr>
          <w:sz w:val="18"/>
        </w:rPr>
        <w:t>]</w:t>
      </w:r>
    </w:p>
    <w:p>
      <w:pPr>
        <w:pStyle w:val="8"/>
        <w:numPr>
          <w:ilvl w:val="0"/>
          <w:numId w:val="3"/>
        </w:numPr>
        <w:tabs>
          <w:tab w:val="left" w:pos="561"/>
        </w:tabs>
        <w:spacing w:before="2" w:after="0" w:line="254" w:lineRule="auto"/>
        <w:ind w:left="552" w:right="117" w:hanging="422"/>
        <w:jc w:val="both"/>
        <w:rPr>
          <w:sz w:val="18"/>
        </w:rPr>
      </w:pPr>
      <w:r>
        <w:rPr>
          <w:sz w:val="18"/>
        </w:rPr>
        <w:t xml:space="preserve">Bauer-Marschallinger, B.; Cao, S.; Schauﬂer, S.; Paulik, C.; Naeimi, V.; Wagner, W. 1km Soil Moisture from Downsampled Sentinel-1 SAR Data: Harnessing Assets and Overcoming Obstacles. Geophys. Res. 2017, 19, </w:t>
      </w:r>
      <w:bookmarkStart w:id="57" w:name="_bookmark46"/>
      <w:bookmarkEnd w:id="57"/>
      <w:r>
        <w:rPr>
          <w:sz w:val="18"/>
        </w:rPr>
        <w:t>17330.</w:t>
      </w:r>
    </w:p>
    <w:p>
      <w:pPr>
        <w:pStyle w:val="8"/>
        <w:numPr>
          <w:ilvl w:val="0"/>
          <w:numId w:val="3"/>
        </w:numPr>
        <w:tabs>
          <w:tab w:val="left" w:pos="561"/>
        </w:tabs>
        <w:spacing w:before="2" w:after="0" w:line="254" w:lineRule="auto"/>
        <w:ind w:left="552" w:right="117" w:hanging="422"/>
        <w:jc w:val="both"/>
        <w:rPr>
          <w:sz w:val="18"/>
        </w:rPr>
      </w:pPr>
      <w:r>
        <w:rPr>
          <w:sz w:val="18"/>
        </w:rPr>
        <w:t xml:space="preserve">Dorigo, W.; Wagner, W.; Albergel, C.; Albrecht, F.; Balsamo, G.; Brocca, L.; Chung, D.; Ertl, M.; Forkel, M.; Gruber, A.; et al. ESA CCI soil moisture for improved earth system understanding: State-of-the art and future directions. Remote Sens. Environ. 2017, 203, 185–215. </w:t>
      </w:r>
    </w:p>
    <w:p>
      <w:pPr>
        <w:pStyle w:val="8"/>
        <w:numPr>
          <w:ilvl w:val="0"/>
          <w:numId w:val="3"/>
        </w:numPr>
        <w:tabs>
          <w:tab w:val="left" w:pos="561"/>
        </w:tabs>
        <w:spacing w:before="2" w:after="0" w:line="254" w:lineRule="auto"/>
        <w:ind w:left="552" w:right="117" w:hanging="422"/>
        <w:jc w:val="both"/>
        <w:rPr>
          <w:sz w:val="18"/>
        </w:rPr>
      </w:pPr>
    </w:p>
    <w:sectPr>
      <w:pgSz w:w="11910" w:h="16840"/>
      <w:pgMar w:top="1300" w:right="1380" w:bottom="280" w:left="1400" w:header="1108"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Arial Black">
    <w:panose1 w:val="020B0A04020102020204"/>
    <w:charset w:val="00"/>
    <w:family w:val="swiss"/>
    <w:pitch w:val="default"/>
    <w:sig w:usb0="A00002AF" w:usb1="400078FB" w:usb2="00000000" w:usb3="00000000" w:csb0="6000009F" w:csb1="DFD7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pPr>
    <w:r>
      <w:pict>
        <v:shape id="_x0000_s2049" o:spid="_x0000_s2049" o:spt="202" type="#_x0000_t202" style="position:absolute;left:0pt;margin-left:75.25pt;margin-top:54.45pt;height:11.95pt;width:94.8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2"/>
                  <w:ind w:left="20" w:right="0" w:firstLine="0"/>
                  <w:jc w:val="left"/>
                  <w:rPr>
                    <w:sz w:val="16"/>
                  </w:rPr>
                </w:pPr>
                <w:r>
                  <w:rPr>
                    <w:rFonts w:hint="default" w:ascii="宋体" w:hAnsi="宋体" w:eastAsia="宋体" w:cs="宋体"/>
                    <w:i/>
                    <w:sz w:val="16"/>
                  </w:rPr>
                  <w:t>远程镜头。</w:t>
                </w:r>
                <w:r>
                  <w:rPr>
                    <w:rFonts w:hint="default" w:ascii="宋体" w:hAnsi="宋体" w:eastAsia="宋体" w:cs="宋体"/>
                    <w:sz w:val="16"/>
                  </w:rPr>
                  <w:t>2020, 12, 1119</w:t>
                </w:r>
              </w:p>
            </w:txbxContent>
          </v:textbox>
        </v:shape>
      </w:pict>
    </w:r>
    <w:r>
      <w:pict>
        <v:shape id="_x0000_s2050" o:spid="_x0000_s2050" o:spt="202" type="#_x0000_t202" style="position:absolute;left:0pt;margin-left:488.8pt;margin-top:54.45pt;height:11.8pt;width:33.9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2"/>
                  <w:ind w:left="60" w:right="0" w:firstLine="0"/>
                  <w:jc w:val="left"/>
                  <w:rPr>
                    <w:sz w:val="16"/>
                  </w:rPr>
                </w:pPr>
                <w:r>
                  <w:fldChar w:fldCharType="begin"/>
                </w:r>
                <w:r>
                  <w:rPr>
                    <w:rFonts w:hint="default" w:ascii="宋体" w:hAnsi="宋体" w:eastAsia="宋体" w:cs="宋体"/>
                    <w:sz w:val="16"/>
                  </w:rPr>
                  <w:instrText xml:space="preserve"> PAGE </w:instrText>
                </w:r>
                <w:r>
                  <w:fldChar w:fldCharType="separate"/>
                </w:r>
                <w:r>
                  <w:fldChar w:fldCharType="end"/>
                </w:r>
                <w:r>
                  <w:rPr>
                    <w:rFonts w:hint="default" w:ascii="宋体" w:hAnsi="宋体" w:eastAsia="宋体" w:cs="宋体"/>
                    <w:sz w:val="16"/>
                  </w:rPr>
                  <w:t>第32页，共10页</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561" w:hanging="431"/>
        <w:jc w:val="left"/>
      </w:pPr>
      <w:rPr>
        <w:rFonts w:hint="default" w:ascii="Palatino Linotype" w:hAnsi="Palatino Linotype" w:eastAsia="Palatino Linotype" w:cs="Palatino Linotype"/>
        <w:w w:val="59"/>
        <w:sz w:val="18"/>
        <w:szCs w:val="18"/>
        <w:lang w:val="en-US" w:eastAsia="en-US" w:bidi="ar-SA"/>
      </w:rPr>
    </w:lvl>
    <w:lvl w:ilvl="1" w:tentative="0">
      <w:start w:val="0"/>
      <w:numFmt w:val="bullet"/>
      <w:lvlText w:val="•"/>
      <w:lvlJc w:val="left"/>
      <w:pPr>
        <w:ind w:left="1416" w:hanging="431"/>
      </w:pPr>
      <w:rPr>
        <w:rFonts w:hint="default"/>
        <w:lang w:val="en-US" w:eastAsia="en-US" w:bidi="ar-SA"/>
      </w:rPr>
    </w:lvl>
    <w:lvl w:ilvl="2" w:tentative="0">
      <w:start w:val="0"/>
      <w:numFmt w:val="bullet"/>
      <w:lvlText w:val="•"/>
      <w:lvlJc w:val="left"/>
      <w:pPr>
        <w:ind w:left="2273" w:hanging="431"/>
      </w:pPr>
      <w:rPr>
        <w:rFonts w:hint="default"/>
        <w:lang w:val="en-US" w:eastAsia="en-US" w:bidi="ar-SA"/>
      </w:rPr>
    </w:lvl>
    <w:lvl w:ilvl="3" w:tentative="0">
      <w:start w:val="0"/>
      <w:numFmt w:val="bullet"/>
      <w:lvlText w:val="•"/>
      <w:lvlJc w:val="left"/>
      <w:pPr>
        <w:ind w:left="3129" w:hanging="431"/>
      </w:pPr>
      <w:rPr>
        <w:rFonts w:hint="default"/>
        <w:lang w:val="en-US" w:eastAsia="en-US" w:bidi="ar-SA"/>
      </w:rPr>
    </w:lvl>
    <w:lvl w:ilvl="4" w:tentative="0">
      <w:start w:val="0"/>
      <w:numFmt w:val="bullet"/>
      <w:lvlText w:val="•"/>
      <w:lvlJc w:val="left"/>
      <w:pPr>
        <w:ind w:left="3986" w:hanging="431"/>
      </w:pPr>
      <w:rPr>
        <w:rFonts w:hint="default"/>
        <w:lang w:val="en-US" w:eastAsia="en-US" w:bidi="ar-SA"/>
      </w:rPr>
    </w:lvl>
    <w:lvl w:ilvl="5" w:tentative="0">
      <w:start w:val="0"/>
      <w:numFmt w:val="bullet"/>
      <w:lvlText w:val="•"/>
      <w:lvlJc w:val="left"/>
      <w:pPr>
        <w:ind w:left="4842" w:hanging="431"/>
      </w:pPr>
      <w:rPr>
        <w:rFonts w:hint="default"/>
        <w:lang w:val="en-US" w:eastAsia="en-US" w:bidi="ar-SA"/>
      </w:rPr>
    </w:lvl>
    <w:lvl w:ilvl="6" w:tentative="0">
      <w:start w:val="0"/>
      <w:numFmt w:val="bullet"/>
      <w:lvlText w:val="•"/>
      <w:lvlJc w:val="left"/>
      <w:pPr>
        <w:ind w:left="5699" w:hanging="431"/>
      </w:pPr>
      <w:rPr>
        <w:rFonts w:hint="default"/>
        <w:lang w:val="en-US" w:eastAsia="en-US" w:bidi="ar-SA"/>
      </w:rPr>
    </w:lvl>
    <w:lvl w:ilvl="7" w:tentative="0">
      <w:start w:val="0"/>
      <w:numFmt w:val="bullet"/>
      <w:lvlText w:val="•"/>
      <w:lvlJc w:val="left"/>
      <w:pPr>
        <w:ind w:left="6555" w:hanging="431"/>
      </w:pPr>
      <w:rPr>
        <w:rFonts w:hint="default"/>
        <w:lang w:val="en-US" w:eastAsia="en-US" w:bidi="ar-SA"/>
      </w:rPr>
    </w:lvl>
    <w:lvl w:ilvl="8" w:tentative="0">
      <w:start w:val="0"/>
      <w:numFmt w:val="bullet"/>
      <w:lvlText w:val="•"/>
      <w:lvlJc w:val="left"/>
      <w:pPr>
        <w:ind w:left="7412" w:hanging="431"/>
      </w:pPr>
      <w:rPr>
        <w:rFonts w:hint="default"/>
        <w:lang w:val="en-US" w:eastAsia="en-US" w:bidi="ar-SA"/>
      </w:rPr>
    </w:lvl>
  </w:abstractNum>
  <w:abstractNum w:abstractNumId="1">
    <w:nsid w:val="CF092B84"/>
    <w:multiLevelType w:val="multilevel"/>
    <w:tmpl w:val="CF092B84"/>
    <w:lvl w:ilvl="0" w:tentative="0">
      <w:start w:val="2"/>
      <w:numFmt w:val="decimal"/>
      <w:lvlText w:val="%1"/>
      <w:lvlJc w:val="left"/>
      <w:pPr>
        <w:ind w:left="648" w:hanging="519"/>
        <w:jc w:val="left"/>
      </w:pPr>
      <w:rPr>
        <w:rFonts w:hint="default"/>
        <w:lang w:val="en-US" w:eastAsia="en-US" w:bidi="ar-SA"/>
      </w:rPr>
    </w:lvl>
    <w:lvl w:ilvl="1" w:tentative="0">
      <w:start w:val="4"/>
      <w:numFmt w:val="decimal"/>
      <w:lvlText w:val="%1.%2"/>
      <w:lvlJc w:val="left"/>
      <w:pPr>
        <w:ind w:left="648" w:hanging="519"/>
        <w:jc w:val="left"/>
      </w:pPr>
      <w:rPr>
        <w:rFonts w:hint="default"/>
        <w:lang w:val="en-US" w:eastAsia="en-US" w:bidi="ar-SA"/>
      </w:rPr>
    </w:lvl>
    <w:lvl w:ilvl="2" w:tentative="0">
      <w:start w:val="1"/>
      <w:numFmt w:val="decimal"/>
      <w:lvlText w:val="%1.%2.%3."/>
      <w:lvlJc w:val="left"/>
      <w:pPr>
        <w:ind w:left="648" w:hanging="519"/>
        <w:jc w:val="left"/>
      </w:pPr>
      <w:rPr>
        <w:rFonts w:hint="default" w:ascii="Palatino Linotype" w:hAnsi="Palatino Linotype" w:eastAsia="Palatino Linotype" w:cs="Palatino Linotype"/>
        <w:w w:val="99"/>
        <w:sz w:val="20"/>
        <w:szCs w:val="20"/>
        <w:lang w:val="en-US" w:eastAsia="en-US" w:bidi="ar-SA"/>
      </w:rPr>
    </w:lvl>
    <w:lvl w:ilvl="3" w:tentative="0">
      <w:start w:val="0"/>
      <w:numFmt w:val="bullet"/>
      <w:lvlText w:val="•"/>
      <w:lvlJc w:val="left"/>
      <w:pPr>
        <w:ind w:left="3185" w:hanging="519"/>
      </w:pPr>
      <w:rPr>
        <w:rFonts w:hint="default"/>
        <w:lang w:val="en-US" w:eastAsia="en-US" w:bidi="ar-SA"/>
      </w:rPr>
    </w:lvl>
    <w:lvl w:ilvl="4" w:tentative="0">
      <w:start w:val="0"/>
      <w:numFmt w:val="bullet"/>
      <w:lvlText w:val="•"/>
      <w:lvlJc w:val="left"/>
      <w:pPr>
        <w:ind w:left="4034" w:hanging="519"/>
      </w:pPr>
      <w:rPr>
        <w:rFonts w:hint="default"/>
        <w:lang w:val="en-US" w:eastAsia="en-US" w:bidi="ar-SA"/>
      </w:rPr>
    </w:lvl>
    <w:lvl w:ilvl="5" w:tentative="0">
      <w:start w:val="0"/>
      <w:numFmt w:val="bullet"/>
      <w:lvlText w:val="•"/>
      <w:lvlJc w:val="left"/>
      <w:pPr>
        <w:ind w:left="4882" w:hanging="519"/>
      </w:pPr>
      <w:rPr>
        <w:rFonts w:hint="default"/>
        <w:lang w:val="en-US" w:eastAsia="en-US" w:bidi="ar-SA"/>
      </w:rPr>
    </w:lvl>
    <w:lvl w:ilvl="6" w:tentative="0">
      <w:start w:val="0"/>
      <w:numFmt w:val="bullet"/>
      <w:lvlText w:val="•"/>
      <w:lvlJc w:val="left"/>
      <w:pPr>
        <w:ind w:left="5731" w:hanging="519"/>
      </w:pPr>
      <w:rPr>
        <w:rFonts w:hint="default"/>
        <w:lang w:val="en-US" w:eastAsia="en-US" w:bidi="ar-SA"/>
      </w:rPr>
    </w:lvl>
    <w:lvl w:ilvl="7" w:tentative="0">
      <w:start w:val="0"/>
      <w:numFmt w:val="bullet"/>
      <w:lvlText w:val="•"/>
      <w:lvlJc w:val="left"/>
      <w:pPr>
        <w:ind w:left="6579" w:hanging="519"/>
      </w:pPr>
      <w:rPr>
        <w:rFonts w:hint="default"/>
        <w:lang w:val="en-US" w:eastAsia="en-US" w:bidi="ar-SA"/>
      </w:rPr>
    </w:lvl>
    <w:lvl w:ilvl="8" w:tentative="0">
      <w:start w:val="0"/>
      <w:numFmt w:val="bullet"/>
      <w:lvlText w:val="•"/>
      <w:lvlJc w:val="left"/>
      <w:pPr>
        <w:ind w:left="7428" w:hanging="519"/>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349" w:hanging="220"/>
        <w:jc w:val="left"/>
      </w:pPr>
      <w:rPr>
        <w:rFonts w:hint="default" w:ascii="Palatino Linotype" w:hAnsi="Palatino Linotype" w:eastAsia="Palatino Linotype" w:cs="Palatino Linotype"/>
        <w:b/>
        <w:bCs/>
        <w:w w:val="99"/>
        <w:sz w:val="20"/>
        <w:szCs w:val="20"/>
        <w:lang w:val="en-US" w:eastAsia="en-US" w:bidi="ar-SA"/>
      </w:rPr>
    </w:lvl>
    <w:lvl w:ilvl="1" w:tentative="0">
      <w:start w:val="1"/>
      <w:numFmt w:val="decimal"/>
      <w:lvlText w:val="%1.%2."/>
      <w:lvlJc w:val="left"/>
      <w:pPr>
        <w:ind w:left="499" w:hanging="369"/>
        <w:jc w:val="left"/>
      </w:pPr>
      <w:rPr>
        <w:rFonts w:hint="default" w:ascii="Palatino Linotype" w:hAnsi="Palatino Linotype" w:eastAsia="Palatino Linotype" w:cs="Palatino Linotype"/>
        <w:i/>
        <w:w w:val="99"/>
        <w:sz w:val="20"/>
        <w:szCs w:val="20"/>
        <w:lang w:val="en-US" w:eastAsia="en-US" w:bidi="ar-SA"/>
      </w:rPr>
    </w:lvl>
    <w:lvl w:ilvl="2" w:tentative="0">
      <w:start w:val="1"/>
      <w:numFmt w:val="lowerLetter"/>
      <w:lvlText w:val="(%3)"/>
      <w:lvlJc w:val="left"/>
      <w:pPr>
        <w:ind w:left="6333" w:hanging="4410"/>
        <w:jc w:val="left"/>
      </w:pPr>
      <w:rPr>
        <w:rFonts w:hint="default" w:ascii="Palatino Linotype" w:hAnsi="Palatino Linotype" w:eastAsia="Palatino Linotype" w:cs="Palatino Linotype"/>
        <w:spacing w:val="-1"/>
        <w:w w:val="100"/>
        <w:sz w:val="20"/>
        <w:szCs w:val="20"/>
        <w:lang w:val="en-US" w:eastAsia="en-US" w:bidi="ar-SA"/>
      </w:rPr>
    </w:lvl>
    <w:lvl w:ilvl="3" w:tentative="0">
      <w:start w:val="0"/>
      <w:numFmt w:val="bullet"/>
      <w:lvlText w:val="•"/>
      <w:lvlJc w:val="left"/>
      <w:pPr>
        <w:ind w:left="6680" w:hanging="4410"/>
      </w:pPr>
      <w:rPr>
        <w:rFonts w:hint="default"/>
        <w:lang w:val="en-US" w:eastAsia="en-US" w:bidi="ar-SA"/>
      </w:rPr>
    </w:lvl>
    <w:lvl w:ilvl="4" w:tentative="0">
      <w:start w:val="0"/>
      <w:numFmt w:val="bullet"/>
      <w:lvlText w:val="•"/>
      <w:lvlJc w:val="left"/>
      <w:pPr>
        <w:ind w:left="7029" w:hanging="4410"/>
      </w:pPr>
      <w:rPr>
        <w:rFonts w:hint="default"/>
        <w:lang w:val="en-US" w:eastAsia="en-US" w:bidi="ar-SA"/>
      </w:rPr>
    </w:lvl>
    <w:lvl w:ilvl="5" w:tentative="0">
      <w:start w:val="0"/>
      <w:numFmt w:val="bullet"/>
      <w:lvlText w:val="•"/>
      <w:lvlJc w:val="left"/>
      <w:pPr>
        <w:ind w:left="7378" w:hanging="4410"/>
      </w:pPr>
      <w:rPr>
        <w:rFonts w:hint="default"/>
        <w:lang w:val="en-US" w:eastAsia="en-US" w:bidi="ar-SA"/>
      </w:rPr>
    </w:lvl>
    <w:lvl w:ilvl="6" w:tentative="0">
      <w:start w:val="0"/>
      <w:numFmt w:val="bullet"/>
      <w:lvlText w:val="•"/>
      <w:lvlJc w:val="left"/>
      <w:pPr>
        <w:ind w:left="7728" w:hanging="4410"/>
      </w:pPr>
      <w:rPr>
        <w:rFonts w:hint="default"/>
        <w:lang w:val="en-US" w:eastAsia="en-US" w:bidi="ar-SA"/>
      </w:rPr>
    </w:lvl>
    <w:lvl w:ilvl="7" w:tentative="0">
      <w:start w:val="0"/>
      <w:numFmt w:val="bullet"/>
      <w:lvlText w:val="•"/>
      <w:lvlJc w:val="left"/>
      <w:pPr>
        <w:ind w:left="8077" w:hanging="4410"/>
      </w:pPr>
      <w:rPr>
        <w:rFonts w:hint="default"/>
        <w:lang w:val="en-US" w:eastAsia="en-US" w:bidi="ar-SA"/>
      </w:rPr>
    </w:lvl>
    <w:lvl w:ilvl="8" w:tentative="0">
      <w:start w:val="0"/>
      <w:numFmt w:val="bullet"/>
      <w:lvlText w:val="•"/>
      <w:lvlJc w:val="left"/>
      <w:pPr>
        <w:ind w:left="8426" w:hanging="441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02C5300D"/>
    <w:rsid w:val="43942AB0"/>
    <w:rsid w:val="6A8D7C9E"/>
    <w:rsid w:val="6DFC7739"/>
    <w:rsid w:val="781511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Palatino Linotype" w:hAnsi="Palatino Linotype" w:eastAsia="Palatino Linotype" w:cs="Palatino Linotype"/>
      <w:sz w:val="22"/>
      <w:szCs w:val="22"/>
      <w:lang w:val="en-US" w:eastAsia="en-US" w:bidi="ar-SA"/>
    </w:rPr>
  </w:style>
  <w:style w:type="paragraph" w:styleId="2">
    <w:name w:val="heading 1"/>
    <w:basedOn w:val="1"/>
    <w:next w:val="1"/>
    <w:qFormat/>
    <w:uiPriority w:val="1"/>
    <w:pPr>
      <w:ind w:left="349" w:hanging="220"/>
      <w:jc w:val="both"/>
      <w:outlineLvl w:val="1"/>
    </w:pPr>
    <w:rPr>
      <w:rFonts w:ascii="Palatino Linotype" w:hAnsi="Palatino Linotype" w:eastAsia="Palatino Linotype" w:cs="Palatino Linotype"/>
      <w:b/>
      <w:bCs/>
      <w:sz w:val="20"/>
      <w:szCs w:val="20"/>
      <w:lang w:val="en-US" w:eastAsia="en-US" w:bidi="ar-SA"/>
    </w:rPr>
  </w:style>
  <w:style w:type="character" w:default="1" w:styleId="6">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Palatino Linotype" w:hAnsi="Palatino Linotype" w:eastAsia="Palatino Linotype" w:cs="Palatino Linotype"/>
      <w:sz w:val="20"/>
      <w:szCs w:val="20"/>
      <w:lang w:val="en-US" w:eastAsia="en-US" w:bidi="ar-SA"/>
    </w:rPr>
  </w:style>
  <w:style w:type="paragraph" w:styleId="4">
    <w:name w:val="Title"/>
    <w:basedOn w:val="1"/>
    <w:qFormat/>
    <w:uiPriority w:val="1"/>
    <w:pPr>
      <w:spacing w:before="64"/>
      <w:ind w:left="933"/>
    </w:pPr>
    <w:rPr>
      <w:rFonts w:ascii="Times New Roman" w:hAnsi="Times New Roman" w:eastAsia="Times New Roman" w:cs="Times New Roman"/>
      <w:b/>
      <w:bCs/>
      <w:i/>
      <w:sz w:val="41"/>
      <w:szCs w:val="41"/>
      <w:lang w:val="en-US" w:eastAsia="en-US" w:bidi="ar-SA"/>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2"/>
      <w:ind w:left="560" w:hanging="431"/>
      <w:jc w:val="both"/>
    </w:pPr>
    <w:rPr>
      <w:rFonts w:ascii="Palatino Linotype" w:hAnsi="Palatino Linotype" w:eastAsia="Palatino Linotype" w:cs="Palatino Linotype"/>
      <w:lang w:val="en-US" w:eastAsia="en-US" w:bidi="ar-SA"/>
    </w:rPr>
  </w:style>
  <w:style w:type="paragraph" w:customStyle="1" w:styleId="9">
    <w:name w:val="Table Paragraph"/>
    <w:basedOn w:val="1"/>
    <w:qFormat/>
    <w:uiPriority w:val="1"/>
    <w:pPr>
      <w:spacing w:line="204" w:lineRule="exact"/>
      <w:jc w:val="center"/>
    </w:pPr>
    <w:rPr>
      <w:rFonts w:ascii="Palatino Linotype" w:hAnsi="Palatino Linotype" w:eastAsia="Palatino Linotype" w:cs="Palatino Linotype"/>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49"/>
    <customShpInfo spid="_x0000_s2050"/>
    <customShpInfo spid="_x0000_s1027"/>
    <customShpInfo spid="_x0000_s1028"/>
    <customShpInfo spid="_x0000_s1029"/>
    <customShpInfo spid="_x0000_s1026"/>
    <customShpInfo spid="_x0000_s1031"/>
    <customShpInfo spid="_x0000_s1032"/>
    <customShpInfo spid="_x0000_s1033"/>
    <customShpInfo spid="_x0000_s1034"/>
    <customShpInfo spid="_x0000_s1035"/>
    <customShpInfo spid="_x0000_s1036"/>
    <customShpInfo spid="_x0000_s1030"/>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2021-06-15T11:16:00Z</dcterms:created>
  <dc:creator>bahjan</dc:creator>
  <cp:lastModifiedBy>WPS_1482078067</cp:lastModifiedBy>
  <dcterms:modified xsi:type="dcterms:W3CDTF">2021-06-15T11:31:19Z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2020-04-06T00:00:00Z</vt:filetime>
  </property>
  <property fmtid="{D5CDD505-2E9C-101B-9397-08002B2CF9AE}" pid="3" name="LastSaved">
    <vt:filetime>2021-06-15T00:00:00Z</vt:filetime>
  </property>
  <property fmtid="{D5CDD505-2E9C-101B-9397-08002B2CF9AE}" pid="4" name="KSOProductBuildVer">
    <vt:lpwstr>2052-11.1.0.10577</vt:lpwstr>
  </property>
  <property fmtid="{D5CDD505-2E9C-101B-9397-08002B2CF9AE}" pid="5" name="ICV">
    <vt:lpwstr>7BF76F43A4384955A3CCBD022158627C</vt:lpwstr>
  </property>
</Properties>
</file>