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类型转换器的基本概念：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1）收集用户的请求参数时，将请求参数传递给控制器组件。此时存在一个问题，即所</w:t>
      </w:r>
      <w:r>
        <w:rPr>
          <w:rFonts w:hint="eastAsia"/>
          <w:lang w:val="en-US" w:eastAsia="zh-CN"/>
        </w:rPr>
        <w:tab/>
        <w:t xml:space="preserve">   有的请求参数都是字符串类型的，但Java是强类型的语言，所以Spring MVC需要将</w:t>
      </w:r>
      <w:r>
        <w:rPr>
          <w:rFonts w:hint="eastAsia"/>
          <w:lang w:val="en-US" w:eastAsia="zh-CN"/>
        </w:rPr>
        <w:tab/>
        <w:t xml:space="preserve">   这些字符串请求参数转换为相应的数据类型。为此，Spring MVC提供了类型转换器，</w:t>
      </w:r>
      <w:r>
        <w:rPr>
          <w:rFonts w:hint="eastAsia"/>
          <w:lang w:val="en-US" w:eastAsia="zh-CN"/>
        </w:rPr>
        <w:tab/>
        <w:t xml:space="preserve">   用于完成字符串和各种数据类型之间的转换。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2）对于Spring MVC框架而言，将请求参数转换成值对象类中各个属性对应的数据类型，</w:t>
      </w:r>
      <w:r>
        <w:rPr>
          <w:rFonts w:hint="eastAsia"/>
          <w:lang w:val="en-US" w:eastAsia="zh-CN"/>
        </w:rPr>
        <w:tab/>
        <w:t xml:space="preserve">  这就是类型转换的意义。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类型转换器的底层实现原理：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1）在Spring MVC中，类型转换器底层的实现原理依靠的是Converter&lt;S,T&gt;接口。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2）Converter&lt;S,T&gt;是一个可以将数据类型转换成另一种数据类型的接口，这里的S表示</w:t>
      </w:r>
      <w:r>
        <w:rPr>
          <w:rFonts w:hint="eastAsia"/>
          <w:lang w:val="en-US" w:eastAsia="zh-CN"/>
        </w:rPr>
        <w:tab/>
        <w:t xml:space="preserve">   源类型，T表示目标类型。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内置的类型转换器：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MVC中，对于常见的数据类型，开发者无需创建自己的类型转化器，因为在</w:t>
      </w:r>
      <w:r>
        <w:rPr>
          <w:rFonts w:hint="eastAsia"/>
          <w:lang w:val="en-US" w:eastAsia="zh-CN"/>
        </w:rPr>
        <w:tab/>
        <w:t>Spring MVC中已经提供了类型转换器用于完成常用的类型转换。Spring MVC提供的内置</w:t>
      </w:r>
      <w:r>
        <w:rPr>
          <w:rFonts w:hint="eastAsia"/>
          <w:lang w:val="en-US" w:eastAsia="zh-CN"/>
        </w:rPr>
        <w:tab/>
        <w:t>类型转换有以下几种类型：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标量转换器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·StringToBooleanConverter：String转换为boolean类型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·ObjectToStringConverter：Object转换为String类型（调用toString方法完成）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·StringToNuberConverterFactory：String转换为数字类型（如Interger、Long等）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·NumberToNumberConverterFactory：数字基本类型转换为数字包装类类型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·StringToCharacterConverter：String转换为Character，取字符串中的第一个字符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·NumberToCharacterConverter：数字基本类型转换为Character类型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·CharacterToNumberFactory：Character类型转换为数字基本类型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·StringToEnumConverterFactory：String转换为枚举类型，通过Enum.valueOf将字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符串转换为需要的枚举类型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·EnumToStringConverter：枚举类型转换为String类型，返回枚举对象的name值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·StringToLocationConverter：String类型转换为java.util.Locale类型。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·PropertiesToStringConverter：java.util.Properties类型转换为String类型，默认通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过ISO-8859-1解码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·StringToPropertiesConverter：String类型转换为java.util.Properties类型，默认使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用ISO-8859-1编码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集合、数组相关转换器：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·ArrayToCollectionConverter：任意类型数组转换为任意集合（List、Set）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·CollectionToArrayConverter：任意集合转换为任意数组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·ArrayToArrayConverter：任意数组转换为任意数组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·CollectionToCollectionConverter：任意集合转换为任意集合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·MapToMapConverter：任意Map集合转换为Map集合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·ArrayToStringConverter：任意数组转换为String类型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·StringToArrayConverter：String类型转换为数组，默认通过“，”分割，且去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除字符串两边的空格（trim）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·ArrayToObjectConverter：任意数组转换为Object类型，如果目标类型和源类型兼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容，直接返回源对象；否则返回数组第一个元素并进行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类型转换。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·ArrayToObjectConverter：Object类型转换为单元素数组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·CollectionToStringConverter：任意集合（List、Set）转换为String类型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·StringToCollectionConverter：String类型转换为集合（List、Set），默认通过“，”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分割，且去除字符串两边的空格（trim）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·CollectionToObjectConverter：任意集合转换为任意Object，如果目标类型和源类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型兼容，直接返回源对象；否则返回集合的第一个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元素并进行类型转换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·ObjectToCollectionConverter：Object类型转换为单元素集合的类型转换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自定义类型转换器：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当Spring MVC内置的类型转换器不能满足需求时，开发者可以开发自己的类型转换器。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大致步骤如下：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自定义类型转换器类并实现Converter&lt;S,T&gt;接口，覆写convert(S)接口方法，convert(S)</w:t>
      </w:r>
      <w:r>
        <w:rPr>
          <w:rFonts w:hint="eastAsia"/>
          <w:lang w:val="en-US" w:eastAsia="zh-CN"/>
        </w:rPr>
        <w:tab/>
        <w:t xml:space="preserve">  方法的功能是将元数据类型S转换为目标数据类型T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121920</wp:posOffset>
            </wp:positionV>
            <wp:extent cx="3690620" cy="1708150"/>
            <wp:effectExtent l="0" t="0" r="12700" b="139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定义好类型转换器后，还需要在Spring MVC的全局配置文件中对类型转换器进行注</w:t>
      </w:r>
      <w:r>
        <w:rPr>
          <w:rFonts w:hint="eastAsia"/>
          <w:lang w:val="en-US" w:eastAsia="zh-CN"/>
        </w:rPr>
        <w:tab/>
        <w:t xml:space="preserve">   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5267960" cy="1230630"/>
            <wp:effectExtent l="0" t="0" r="508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使用类型转换器：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541020</wp:posOffset>
            </wp:positionV>
            <wp:extent cx="5272405" cy="854710"/>
            <wp:effectExtent l="0" t="0" r="635" b="139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使用类型转换器是自动的，在控制层接收参数时会根据处理请求方法的形参类型自动寻</w:t>
      </w:r>
      <w:r>
        <w:rPr>
          <w:rFonts w:hint="eastAsia"/>
          <w:lang w:val="en-US" w:eastAsia="zh-CN"/>
        </w:rPr>
        <w:tab/>
        <w:t>找相应类型转换器进行转换。如下：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7620</wp:posOffset>
            </wp:positionV>
            <wp:extent cx="5271770" cy="1222375"/>
            <wp:effectExtent l="0" t="0" r="1270" b="1206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格式化转换器：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MVC的Formatter&lt;T&gt;与Converter&lt;S,T&gt;一样，也是一个可以将一种数据类型转</w:t>
      </w:r>
      <w:r>
        <w:rPr>
          <w:rFonts w:hint="eastAsia"/>
          <w:lang w:val="en-US" w:eastAsia="zh-CN"/>
        </w:rPr>
        <w:tab/>
        <w:t xml:space="preserve">   化为另一中数据类型的接口。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Formatter&lt;T&gt;的原数据类型必须是String类型，返回一个T类型的数据。T可以是任</w:t>
      </w:r>
      <w:r>
        <w:rPr>
          <w:rFonts w:hint="eastAsia"/>
          <w:lang w:val="en-US" w:eastAsia="zh-CN"/>
        </w:rPr>
        <w:tab/>
        <w:t xml:space="preserve">   意数据类型，表示的是字符串转换的目标数据类型。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Spring MVC内置的格式转换器：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MVC中提供了几个内置的格式转换器，如下：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·NumberFormatter：实现Number与String之间的解析与格式化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·NumberFormatter：实现Number与String之间的解析与格式化（带货币符号）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·PercentFormatter：实现Number与String之间的解析与格式化（带百分号）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·DateFormatter：实现Date与String之间的解析与格式化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自定义格式化转换器：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当Spring MVC提供的内置的格式化转换器不能满足需求时，开发者可以自定义格</w:t>
      </w:r>
      <w:r>
        <w:rPr>
          <w:rFonts w:hint="eastAsia"/>
          <w:lang w:val="en-US" w:eastAsia="zh-CN"/>
        </w:rPr>
        <w:tab/>
        <w:t>式</w:t>
      </w:r>
      <w:r>
        <w:rPr>
          <w:rFonts w:hint="eastAsia"/>
          <w:lang w:val="en-US" w:eastAsia="zh-CN"/>
        </w:rPr>
        <w:tab/>
        <w:t>化转换器。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编写一个类并实现org.springframework.format.Formatter接口，覆写Formatter接口</w:t>
      </w:r>
      <w:r>
        <w:rPr>
          <w:rFonts w:hint="eastAsia"/>
          <w:lang w:val="en-US" w:eastAsia="zh-CN"/>
        </w:rPr>
        <w:tab/>
        <w:t xml:space="preserve">   中parse( )方法和print( )方法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Formatter&lt;T&gt;( 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parse( String s, java.util.Locale locale 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print( T object , java.util.Locale locale 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 )方法的功能是利用指定的Localse将一个String类型转换为目标数据类型；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)方法与之相反，用于返回目标数据类型的字符串表示。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76200</wp:posOffset>
            </wp:positionV>
            <wp:extent cx="3144520" cy="1623695"/>
            <wp:effectExtent l="0" t="0" r="1016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MVC配置文件中注册类型转换器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51435</wp:posOffset>
            </wp:positionV>
            <wp:extent cx="5191760" cy="970915"/>
            <wp:effectExtent l="0" t="0" r="508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格式化转换器的使用方法：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格式化转换器在请求处理方法接收形参时自动使用，如下：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38100</wp:posOffset>
            </wp:positionV>
            <wp:extent cx="4340225" cy="796290"/>
            <wp:effectExtent l="0" t="0" r="3175" b="1143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121920</wp:posOffset>
            </wp:positionV>
            <wp:extent cx="3729990" cy="861695"/>
            <wp:effectExtent l="0" t="0" r="381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152400</wp:posOffset>
            </wp:positionV>
            <wp:extent cx="4030345" cy="1754505"/>
            <wp:effectExtent l="0" t="0" r="8255" b="1333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91440</wp:posOffset>
            </wp:positionV>
            <wp:extent cx="4015740" cy="1501140"/>
            <wp:effectExtent l="0" t="0" r="762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144780</wp:posOffset>
            </wp:positionV>
            <wp:extent cx="2453640" cy="1036955"/>
            <wp:effectExtent l="0" t="0" r="0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55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tabs>
          <w:tab w:val="left" w:pos="3553"/>
        </w:tabs>
        <w:bidi w:val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tabs>
          <w:tab w:val="left" w:pos="3553"/>
        </w:tabs>
        <w:bidi w:val="0"/>
        <w:ind w:left="840" w:leftChars="40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可以看出，通过格式化转换器将yyyy-mm-dd字符串类型的日期转换为Date类型的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日期。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565CE"/>
    <w:multiLevelType w:val="singleLevel"/>
    <w:tmpl w:val="8F7565C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D07C3AB"/>
    <w:multiLevelType w:val="singleLevel"/>
    <w:tmpl w:val="CD07C3A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FC117DE"/>
    <w:multiLevelType w:val="multilevel"/>
    <w:tmpl w:val="EFC117D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57A8277"/>
    <w:multiLevelType w:val="singleLevel"/>
    <w:tmpl w:val="357A827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12F86"/>
    <w:rsid w:val="020C5548"/>
    <w:rsid w:val="0221063C"/>
    <w:rsid w:val="026D5789"/>
    <w:rsid w:val="02D711A8"/>
    <w:rsid w:val="056639B2"/>
    <w:rsid w:val="068B3611"/>
    <w:rsid w:val="078C3BAE"/>
    <w:rsid w:val="07B10C14"/>
    <w:rsid w:val="08444A95"/>
    <w:rsid w:val="08643071"/>
    <w:rsid w:val="08A30EB7"/>
    <w:rsid w:val="0CB367DF"/>
    <w:rsid w:val="0D651247"/>
    <w:rsid w:val="0F9E5985"/>
    <w:rsid w:val="11202B6C"/>
    <w:rsid w:val="12106F52"/>
    <w:rsid w:val="14CD5451"/>
    <w:rsid w:val="14D33A0C"/>
    <w:rsid w:val="155C26DF"/>
    <w:rsid w:val="17CC0594"/>
    <w:rsid w:val="18620384"/>
    <w:rsid w:val="193A7AF7"/>
    <w:rsid w:val="1BAF2E82"/>
    <w:rsid w:val="1EE4629D"/>
    <w:rsid w:val="20392D88"/>
    <w:rsid w:val="20CE3E4E"/>
    <w:rsid w:val="22482411"/>
    <w:rsid w:val="23982E54"/>
    <w:rsid w:val="27C92E43"/>
    <w:rsid w:val="285141BE"/>
    <w:rsid w:val="2BB918EF"/>
    <w:rsid w:val="2CBA3C86"/>
    <w:rsid w:val="2F4D0769"/>
    <w:rsid w:val="314230E6"/>
    <w:rsid w:val="33150ECC"/>
    <w:rsid w:val="34075DE6"/>
    <w:rsid w:val="34812F86"/>
    <w:rsid w:val="34B069E1"/>
    <w:rsid w:val="353A2202"/>
    <w:rsid w:val="376F22E9"/>
    <w:rsid w:val="37D418CD"/>
    <w:rsid w:val="39663625"/>
    <w:rsid w:val="3CFC6CB3"/>
    <w:rsid w:val="3D45778A"/>
    <w:rsid w:val="3D5C5407"/>
    <w:rsid w:val="3D8722FE"/>
    <w:rsid w:val="4060438E"/>
    <w:rsid w:val="41DE4D59"/>
    <w:rsid w:val="4388510E"/>
    <w:rsid w:val="45AB5068"/>
    <w:rsid w:val="47343828"/>
    <w:rsid w:val="48717E35"/>
    <w:rsid w:val="49452217"/>
    <w:rsid w:val="4B232B09"/>
    <w:rsid w:val="4C33665C"/>
    <w:rsid w:val="4EB83FEB"/>
    <w:rsid w:val="4F6F70B4"/>
    <w:rsid w:val="52FA3E50"/>
    <w:rsid w:val="536C4380"/>
    <w:rsid w:val="5429385D"/>
    <w:rsid w:val="548E407A"/>
    <w:rsid w:val="55CB4067"/>
    <w:rsid w:val="57A07A12"/>
    <w:rsid w:val="5841471D"/>
    <w:rsid w:val="5AAD7FA1"/>
    <w:rsid w:val="5C3D2823"/>
    <w:rsid w:val="5DFF1CA0"/>
    <w:rsid w:val="5FA70A18"/>
    <w:rsid w:val="62C36B76"/>
    <w:rsid w:val="63D70D81"/>
    <w:rsid w:val="655674E6"/>
    <w:rsid w:val="68F856D0"/>
    <w:rsid w:val="695A7370"/>
    <w:rsid w:val="6A7727C7"/>
    <w:rsid w:val="6AB02CBD"/>
    <w:rsid w:val="6B2E244F"/>
    <w:rsid w:val="6C9074E7"/>
    <w:rsid w:val="6FDF2482"/>
    <w:rsid w:val="712446BC"/>
    <w:rsid w:val="75F64E1C"/>
    <w:rsid w:val="765729A2"/>
    <w:rsid w:val="79E00B0E"/>
    <w:rsid w:val="7B907F16"/>
    <w:rsid w:val="7DC54DBD"/>
    <w:rsid w:val="7E8C14D9"/>
    <w:rsid w:val="7F3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2020-02-16T03:12:00Z</dcterms:created>
  <dc:creator>18758</dc:creator>
  <cp:lastModifiedBy>18758</cp:lastModifiedBy>
  <dcterms:modified xsi:type="dcterms:W3CDTF">2020-02-16T09:41:35Z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