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Spark Streaming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shd w:val="clear" w:fill="e4e4ff"/>
          <w:rtl w:val="0"/>
        </w:rPr>
        <w:t xml:space="preserve">Twitter Stream Processor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Create twitter credentials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https://apps.twitter.com/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build scala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mvn scala:compile -DdisplayCmd=true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run scala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build java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mvn clean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 the equivalent java code is more verbose than the scala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verbosity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the fact or quality of using more words than needed; wordiness.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19"/>
        <w:contextualSpacing w:val="0"/>
      </w:pPr>
      <w:r w:rsidRPr="00000000" w:rsidR="00000000" w:rsidDel="00000000">
        <w:rPr>
          <w:color w:val="222222"/>
          <w:shd w:val="clear" w:fill="fff9e3"/>
          <w:rtl w:val="0"/>
        </w:rPr>
        <w:t xml:space="preserve">When an output operator is called, it triggers the computation of a stream.</w:t>
      </w:r>
    </w:p>
    <w:p w:rsidP="00000000" w:rsidRPr="00000000" w:rsidR="00000000" w:rsidDel="00000000" w:rsidRDefault="00000000">
      <w:pPr>
        <w:spacing w:lineRule="auto" w:after="220" w:line="31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Without output operator on DStream no computation is invoked. basically you will need to invoke any of below method on stream</w:t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shd w:val="clear" w:fill="eeeeee"/>
          <w:rtl w:val="0"/>
        </w:rPr>
        <w:t xml:space="preserve">print() </w:t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shd w:val="clear" w:fill="eeeeee"/>
          <w:rtl w:val="0"/>
        </w:rPr>
        <w:t xml:space="preserve">foreachRDD(func) </w:t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shd w:val="clear" w:fill="eeeeee"/>
          <w:rtl w:val="0"/>
        </w:rPr>
        <w:t xml:space="preserve">saveAsObjectFiles(prefix, [suffix]) </w:t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shd w:val="clear" w:fill="eeeeee"/>
          <w:rtl w:val="0"/>
        </w:rPr>
        <w:t xml:space="preserve">saveAsTextFiles(prefix, [suffix]) </w:t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shd w:val="clear" w:fill="eeeeee"/>
          <w:rtl w:val="0"/>
        </w:rPr>
        <w:t xml:space="preserve">saveAsHadoopFiles(prefix, [suffix])</w:t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An DStream is a collection of RDDs over time. Each RDD is composed of partitions of data distributed across the cluster of Spark workers.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drawing>
          <wp:inline distR="114300" distT="114300" distB="114300" distL="114300">
            <wp:extent cy="1968500" cx="5943600"/>
            <wp:effectExtent t="0" b="0" r="0" l="0"/>
            <wp:docPr id="1" name="image02.png" descr="Bqmi2.png"/>
            <a:graphic>
              <a:graphicData uri="http://schemas.openxmlformats.org/drawingml/2006/picture">
                <pic:pic>
                  <pic:nvPicPr>
                    <pic:cNvPr id="0" name="image02.png" descr="Bqmi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68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In this illustration, each colored line represents a stream of data. When it's bounded in an rdd, it's a partition of the RDD. The RDD is composed by the data collected at each time interval, represented here by the blue box.</w:t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DStream.saveAsTextFile will create a file for the RDD created at interval (bluc box) each part-file corresponds to the piece of the colored line bounded by such RDD (colored line within blue blox).</w:t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In a distributed file system, like hdfs, the fs will abstract out the partitioning, presenting you with a single logical file, or 1 file per RDD.</w:t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When you use the local file system, we will see the partitions as part-files </w:t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160" w:line="327" w:before="160"/>
        <w:contextualSpacing w:val="0"/>
      </w:pPr>
      <w:bookmarkStart w:id="0" w:colFirst="0" w:name="h.sel6uy9in95n" w:colLast="0"/>
      <w:bookmarkEnd w:id="0"/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highlight w:val="white"/>
          <w:u w:val="none"/>
          <w:rtl w:val="0"/>
        </w:rPr>
        <w:t xml:space="preserve">Window Operations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drawing>
          <wp:inline distR="114300" distT="114300" distB="114300" distL="114300">
            <wp:extent cy="2324100" cx="5943600"/>
            <wp:effectExtent t="0" b="0" r="0" l="0"/>
            <wp:docPr id="3" name="image05.png" descr="streaming-dstream-window.png"/>
            <a:graphic>
              <a:graphicData uri="http://schemas.openxmlformats.org/drawingml/2006/picture">
                <pic:pic>
                  <pic:nvPicPr>
                    <pic:cNvPr id="0" name="image05.png" descr="streaming-dstream-window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24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21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drawing>
          <wp:inline distR="114300" distT="114300" distB="114300" distL="114300">
            <wp:extent cy="3333750" cx="3933825"/>
            <wp:effectExtent t="0" b="0" r="0" l="0"/>
            <wp:docPr id="2" name="image03.png" descr="stream-join-microbatching-tx.png"/>
            <a:graphic>
              <a:graphicData uri="http://schemas.openxmlformats.org/drawingml/2006/picture">
                <pic:pic>
                  <pic:nvPicPr>
                    <pic:cNvPr id="0" name="image03.png" descr="stream-join-microbatching-tx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33750" cx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https://apps.twitter.com/" Type="http://schemas.openxmlformats.org/officeDocument/2006/relationships/hyperlink" TargetMode="External" Id="rId5"/><Relationship Target="media/image03.png" Type="http://schemas.openxmlformats.org/officeDocument/2006/relationships/image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Stream Processor Application.docx</dc:title>
</cp:coreProperties>
</file>