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C28E" w14:textId="10E0C59E" w:rsidR="00A75986" w:rsidRDefault="008D067F" w:rsidP="008D067F">
      <w:pPr>
        <w:pStyle w:val="a3"/>
        <w:jc w:val="center"/>
      </w:pPr>
      <w:r>
        <w:t>Войска ПВО</w:t>
      </w:r>
    </w:p>
    <w:p w14:paraId="0B266953" w14:textId="77777777" w:rsidR="008D067F" w:rsidRDefault="008D067F" w:rsidP="008D067F"/>
    <w:p w14:paraId="5FE1E851" w14:textId="77777777" w:rsidR="008D067F" w:rsidRDefault="008D067F" w:rsidP="008D067F">
      <w:pPr>
        <w:ind w:firstLine="708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Войска ПВО – войска противовоздушной обороны — </w:t>
      </w:r>
      <w:r w:rsidRPr="008D067F">
        <w:rPr>
          <w:rFonts w:ascii="Bahnschrift" w:hAnsi="Bahnschrift"/>
          <w:sz w:val="32"/>
          <w:szCs w:val="32"/>
        </w:rPr>
        <w:t>отдельный род Сухопутных войск, основная задача которого заключается в прикрытии войск и военных объектов от действий средств воздушного нападения врага при введении общевойсковыми объединениями и боевых действий, совершении марша (перегруппировок) и расположении на месте.</w:t>
      </w:r>
    </w:p>
    <w:p w14:paraId="524BC8C5" w14:textId="77777777" w:rsidR="008D067F" w:rsidRDefault="008D067F" w:rsidP="008D067F">
      <w:pPr>
        <w:rPr>
          <w:rFonts w:ascii="Bahnschrift" w:hAnsi="Bahnschrift"/>
          <w:sz w:val="32"/>
          <w:szCs w:val="32"/>
        </w:rPr>
      </w:pPr>
    </w:p>
    <w:p w14:paraId="6ED4C4FC" w14:textId="77777777" w:rsidR="008D067F" w:rsidRDefault="008D067F" w:rsidP="008D067F">
      <w:pPr>
        <w:pStyle w:val="a3"/>
        <w:jc w:val="center"/>
      </w:pPr>
      <w:r>
        <w:t>Основные задачи рода войск</w:t>
      </w:r>
    </w:p>
    <w:p w14:paraId="23194E31" w14:textId="77777777" w:rsidR="008D067F" w:rsidRPr="008D067F" w:rsidRDefault="008D067F" w:rsidP="008D067F"/>
    <w:p w14:paraId="7CB87761" w14:textId="7AAD125B" w:rsidR="008D067F" w:rsidRPr="008D067F" w:rsidRDefault="008D067F" w:rsidP="00F458CE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32"/>
          <w:szCs w:val="32"/>
        </w:rPr>
      </w:pPr>
      <w:r w:rsidRPr="008D067F">
        <w:rPr>
          <w:rFonts w:ascii="Bahnschrift" w:hAnsi="Bahnschrift"/>
          <w:sz w:val="32"/>
          <w:szCs w:val="32"/>
        </w:rPr>
        <w:t>Нанесение боевого дежурства по обеспечению противовоздушной обороны.</w:t>
      </w:r>
    </w:p>
    <w:p w14:paraId="4BC8B528" w14:textId="77777777" w:rsidR="008D067F" w:rsidRPr="008D067F" w:rsidRDefault="008D067F" w:rsidP="00F458CE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32"/>
          <w:szCs w:val="32"/>
        </w:rPr>
      </w:pPr>
      <w:r w:rsidRPr="008D067F">
        <w:rPr>
          <w:rFonts w:ascii="Bahnschrift" w:hAnsi="Bahnschrift"/>
          <w:sz w:val="32"/>
          <w:szCs w:val="32"/>
        </w:rPr>
        <w:t>Разведка на наличие воздушного противника и своевременное оповещение прикрываемых войск.</w:t>
      </w:r>
    </w:p>
    <w:p w14:paraId="6DDA8F2D" w14:textId="77777777" w:rsidR="008D067F" w:rsidRPr="008D067F" w:rsidRDefault="008D067F" w:rsidP="00F458CE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32"/>
          <w:szCs w:val="32"/>
        </w:rPr>
      </w:pPr>
      <w:r w:rsidRPr="008D067F">
        <w:rPr>
          <w:rFonts w:ascii="Bahnschrift" w:hAnsi="Bahnschrift"/>
          <w:sz w:val="32"/>
          <w:szCs w:val="32"/>
        </w:rPr>
        <w:t>Уничтожение средств воздушного нападения врага в полете.</w:t>
      </w:r>
    </w:p>
    <w:p w14:paraId="74B3B4C5" w14:textId="7061247C" w:rsidR="008D067F" w:rsidRDefault="008D067F" w:rsidP="00F458CE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32"/>
          <w:szCs w:val="32"/>
        </w:rPr>
      </w:pPr>
      <w:r w:rsidRPr="008D067F">
        <w:rPr>
          <w:rFonts w:ascii="Bahnschrift" w:hAnsi="Bahnschrift"/>
          <w:sz w:val="32"/>
          <w:szCs w:val="32"/>
        </w:rPr>
        <w:t>Участие в противоракетной обороне на театрах военных действий.</w:t>
      </w:r>
    </w:p>
    <w:p w14:paraId="74A8FA2C" w14:textId="77777777" w:rsidR="00F458CE" w:rsidRPr="00F458CE" w:rsidRDefault="00F458CE" w:rsidP="00F458CE"/>
    <w:p w14:paraId="3F485BD6" w14:textId="227546B5" w:rsidR="008D067F" w:rsidRPr="008D067F" w:rsidRDefault="00F458CE" w:rsidP="008D067F">
      <w:pPr>
        <w:pStyle w:val="a3"/>
        <w:jc w:val="center"/>
      </w:pPr>
      <w:r>
        <w:rPr>
          <w:noProof/>
        </w:rPr>
        <w:drawing>
          <wp:inline distT="0" distB="0" distL="0" distR="0" wp14:anchorId="0826474D" wp14:editId="4EC14E1C">
            <wp:extent cx="4352925" cy="2914650"/>
            <wp:effectExtent l="133350" t="114300" r="123825" b="171450"/>
            <wp:docPr id="195216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31" cy="2951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222CCC" w14:textId="77777777" w:rsidR="00F458CE" w:rsidRDefault="00F458CE" w:rsidP="00F458CE">
      <w:pPr>
        <w:pStyle w:val="a3"/>
        <w:jc w:val="center"/>
      </w:pPr>
      <w:r>
        <w:lastRenderedPageBreak/>
        <w:t>Важные даты из истории ПВО</w:t>
      </w:r>
    </w:p>
    <w:p w14:paraId="5253926C" w14:textId="77777777" w:rsidR="00F458CE" w:rsidRPr="00F458CE" w:rsidRDefault="00F458CE" w:rsidP="00F458CE"/>
    <w:p w14:paraId="4FB9D3F7" w14:textId="64225826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b/>
          <w:bCs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1930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 xml:space="preserve">первое Управление ПВО </w:t>
      </w:r>
    </w:p>
    <w:p w14:paraId="35D6E38D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27057E81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1941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образовались войска ПВО.</w:t>
      </w:r>
    </w:p>
    <w:p w14:paraId="4815B736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18D2D130" w14:textId="7E955166" w:rsidR="00F458CE" w:rsidRDefault="00F458CE" w:rsidP="00F458CE">
      <w:pPr>
        <w:spacing w:line="240" w:lineRule="auto"/>
        <w:ind w:left="360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1948</w:t>
      </w:r>
      <w:r w:rsidRPr="00F458CE">
        <w:rPr>
          <w:rFonts w:ascii="Bahnschrift" w:hAnsi="Bahnschrift"/>
          <w:sz w:val="32"/>
          <w:szCs w:val="32"/>
          <w:u w:val="single"/>
        </w:rPr>
        <w:t xml:space="preserve"> </w:t>
      </w:r>
      <w:r w:rsidRPr="00F458CE">
        <w:rPr>
          <w:rFonts w:ascii="Bahnschrift" w:hAnsi="Bahnschrift"/>
          <w:sz w:val="32"/>
          <w:szCs w:val="32"/>
          <w:u w:val="single"/>
        </w:rPr>
        <w:t>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выведение войск ПВО из подчинения командующего артиллерией и преобразованы в отдельный вид вооруженных сил.</w:t>
      </w:r>
    </w:p>
    <w:p w14:paraId="37DB53D9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6AAFEC5C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b/>
          <w:bCs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1954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сформировалось главнокомандование Войск ПВО.</w:t>
      </w:r>
    </w:p>
    <w:p w14:paraId="6B616588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7A0B8206" w14:textId="592A928F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1978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на вооружение поступила транспортируемая ЗРС С-300ПТ</w:t>
      </w:r>
      <w:r w:rsidR="00B71BC3">
        <w:rPr>
          <w:rFonts w:ascii="Bahnschrift" w:hAnsi="Bahnschrift"/>
          <w:b/>
          <w:bCs/>
          <w:sz w:val="32"/>
          <w:szCs w:val="32"/>
        </w:rPr>
        <w:t>,</w:t>
      </w:r>
      <w:r w:rsidRPr="00F458CE">
        <w:rPr>
          <w:rFonts w:ascii="Bahnschrift" w:hAnsi="Bahnschrift"/>
          <w:b/>
          <w:bCs/>
          <w:sz w:val="32"/>
          <w:szCs w:val="32"/>
        </w:rPr>
        <w:t xml:space="preserve"> она вытеснила старые аналоги</w:t>
      </w:r>
      <w:r w:rsidR="00B71BC3">
        <w:rPr>
          <w:rFonts w:ascii="Bahnschrift" w:hAnsi="Bahnschrift"/>
          <w:b/>
          <w:bCs/>
          <w:sz w:val="32"/>
          <w:szCs w:val="32"/>
        </w:rPr>
        <w:t>.</w:t>
      </w:r>
    </w:p>
    <w:p w14:paraId="7C9CBD73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26882302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Средина 80-х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комплекс ЗРС С-300ПТ прошел многочисленные модернизации, в результате, получив обозначение С-300ПТ-1.</w:t>
      </w:r>
    </w:p>
    <w:p w14:paraId="03B46112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4FB3BCE5" w14:textId="148644C4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1982 г</w:t>
      </w:r>
      <w:r w:rsidRPr="00F458CE">
        <w:rPr>
          <w:rFonts w:ascii="Bahnschrift" w:hAnsi="Bahnschrift"/>
          <w:sz w:val="32"/>
          <w:szCs w:val="32"/>
        </w:rPr>
        <w:t xml:space="preserve">. – </w:t>
      </w:r>
      <w:r w:rsidRPr="00F458CE">
        <w:rPr>
          <w:rFonts w:ascii="Bahnschrift" w:hAnsi="Bahnschrift"/>
          <w:b/>
          <w:bCs/>
          <w:sz w:val="32"/>
          <w:szCs w:val="32"/>
        </w:rPr>
        <w:t>на вооружение поступил новый вариант комплекса ЗРС С-300ПТ – С-300ПС (самоходный комплекс) с рекордным временем развертывания – пять минут, делающего его сложноуязвимым для авиации противника.</w:t>
      </w:r>
    </w:p>
    <w:p w14:paraId="2A885354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3D628DBC" w14:textId="695EAA93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1987</w:t>
      </w:r>
      <w:r>
        <w:rPr>
          <w:rFonts w:ascii="Bahnschrift" w:hAnsi="Bahnschrift"/>
          <w:sz w:val="32"/>
          <w:szCs w:val="32"/>
          <w:u w:val="single"/>
        </w:rPr>
        <w:t xml:space="preserve"> </w:t>
      </w:r>
      <w:r w:rsidRPr="00F458CE">
        <w:rPr>
          <w:rFonts w:ascii="Bahnschrift" w:hAnsi="Bahnschrift"/>
          <w:sz w:val="32"/>
          <w:szCs w:val="32"/>
          <w:u w:val="single"/>
        </w:rPr>
        <w:t>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 xml:space="preserve">не самый лучший в истории войск ПВО. 28 мая самолет Матиаса Руста совершил посадку на Красной площади в Москве. Это наглядно продемонстрировало уязвимость правовой основы для действий дежурных сил Войск ПВО. То есть стало очевидно, что задачи, возлагаемые на Войска ПВО были не выполнены. Тогда многие военные были снятые с должностей: пострадало три Маршала </w:t>
      </w:r>
      <w:r w:rsidRPr="00F458CE">
        <w:rPr>
          <w:rFonts w:ascii="Bahnschrift" w:hAnsi="Bahnschrift"/>
          <w:b/>
          <w:bCs/>
          <w:sz w:val="32"/>
          <w:szCs w:val="32"/>
        </w:rPr>
        <w:lastRenderedPageBreak/>
        <w:t>Советского Союза (среди них Соколов С.Л., Колдунов А.И.), а также около 300 генералов и офицеров. Армия не знала такого кадрового погрома с 1937 года.</w:t>
      </w:r>
    </w:p>
    <w:p w14:paraId="2D1DDFB6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08E43865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1991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Войска ПВО, в связи с распадом СССР были преобразованы в Войска ПВО РФ.</w:t>
      </w:r>
    </w:p>
    <w:p w14:paraId="478D0D27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36543F07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1993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на вооружение поступил усовершенствованный вариант С-300ПС – С-300 ПМ</w:t>
      </w:r>
      <w:r w:rsidRPr="00F458CE">
        <w:rPr>
          <w:rFonts w:ascii="Bahnschrift" w:hAnsi="Bahnschrift"/>
          <w:sz w:val="32"/>
          <w:szCs w:val="32"/>
        </w:rPr>
        <w:t>.</w:t>
      </w:r>
    </w:p>
    <w:p w14:paraId="38D5D1D5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5902BC32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b/>
          <w:bCs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1997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F458CE">
        <w:rPr>
          <w:rFonts w:ascii="Bahnschrift" w:hAnsi="Bahnschrift"/>
          <w:b/>
          <w:bCs/>
          <w:sz w:val="32"/>
          <w:szCs w:val="32"/>
        </w:rPr>
        <w:t>поступил на вооружение 3РС С-300МП2 «Фаворит».</w:t>
      </w:r>
    </w:p>
    <w:p w14:paraId="58FA9D09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b/>
          <w:bCs/>
          <w:sz w:val="32"/>
          <w:szCs w:val="32"/>
        </w:rPr>
      </w:pPr>
      <w:r w:rsidRPr="00F458CE">
        <w:rPr>
          <w:rFonts w:ascii="Bahnschrift" w:hAnsi="Bahnschrift"/>
          <w:b/>
          <w:bCs/>
          <w:sz w:val="32"/>
          <w:szCs w:val="32"/>
        </w:rPr>
        <w:t>До 2000 г. осуществлялась реорганизация многих видов вооруженных сил, количество которых сократилось с 5 до 3. Все это по причине ускорения физического старения боевой техники и оружия. В рамках организации произошло объединение двух видов вооруженных сил – Войск ПВО и Военно-воздушных сил.</w:t>
      </w:r>
    </w:p>
    <w:p w14:paraId="098B629B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21673811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1998 г</w:t>
      </w:r>
      <w:r w:rsidRPr="00F458CE">
        <w:rPr>
          <w:rFonts w:ascii="Bahnschrift" w:hAnsi="Bahnschrift"/>
          <w:sz w:val="32"/>
          <w:szCs w:val="32"/>
        </w:rPr>
        <w:t xml:space="preserve">. </w:t>
      </w:r>
      <w:r w:rsidRPr="00B71BC3">
        <w:rPr>
          <w:rFonts w:ascii="Bahnschrift" w:hAnsi="Bahnschrift"/>
          <w:b/>
          <w:bCs/>
          <w:sz w:val="32"/>
          <w:szCs w:val="32"/>
        </w:rPr>
        <w:t>на базе управления Войск ВВС и ПВО сформировали управление Главный штаб ВВС и Главнокомандующего ВВС, а войска ВВС и ПВО были объединены в новый тип – Военно-воздушные силы. На тот момент в состав Войск ПВО входили: оперативно-стратегическое объединение, два оперативных, четыре оперативно-тактических объединения, пять корпусов ПВО, десять дивизий ПВО, 25 истребительных авиаполков, 63 части зенитно-ракетных войск, 35 частей радиотехнических войск, 5 частей радиоэлектронной борьбы, 6 частей и соединений разведки. На вооружении было 20 самолетов авиакомплекса радиолокационного дозора и наведения А-50, больше 700 истребителей ПВО, 420 радиотехнических подразделений с</w:t>
      </w:r>
      <w:r w:rsidRPr="00F458CE">
        <w:rPr>
          <w:rFonts w:ascii="Bahnschrift" w:hAnsi="Bahnschrift"/>
          <w:sz w:val="32"/>
          <w:szCs w:val="32"/>
        </w:rPr>
        <w:t xml:space="preserve"> </w:t>
      </w:r>
      <w:r w:rsidRPr="00B71BC3">
        <w:rPr>
          <w:rFonts w:ascii="Bahnschrift" w:hAnsi="Bahnschrift"/>
          <w:b/>
          <w:bCs/>
          <w:sz w:val="32"/>
          <w:szCs w:val="32"/>
        </w:rPr>
        <w:t xml:space="preserve">радиолокационными станциями разных модификаций и больше 200 зенитных ракетных дивизионов. В результате всех мероприятий была создана новая организационная </w:t>
      </w:r>
      <w:r w:rsidRPr="00B71BC3">
        <w:rPr>
          <w:rFonts w:ascii="Bahnschrift" w:hAnsi="Bahnschrift"/>
          <w:b/>
          <w:bCs/>
          <w:sz w:val="32"/>
          <w:szCs w:val="32"/>
        </w:rPr>
        <w:lastRenderedPageBreak/>
        <w:t>структура ВВС. Вместо воздушных армий были сформованы армии ПВО и ВВС, оперативно подчиненные командующим войсками военных округов.</w:t>
      </w:r>
    </w:p>
    <w:p w14:paraId="50FEF261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0FDE96D5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2005 – 2006 гг.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B71BC3">
        <w:rPr>
          <w:rFonts w:ascii="Bahnschrift" w:hAnsi="Bahnschrift"/>
          <w:b/>
          <w:bCs/>
          <w:sz w:val="32"/>
          <w:szCs w:val="32"/>
        </w:rPr>
        <w:t>часть соединений и частей войсковой ПВО, оборудованных комплексами БК и зенитными ракетными системами С-300В была передана Военно-воздушным силам.</w:t>
      </w:r>
    </w:p>
    <w:p w14:paraId="7CDC1759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694D14C3" w14:textId="77777777" w:rsidR="00F458CE" w:rsidRPr="00B71BC3" w:rsidRDefault="00F458CE" w:rsidP="00F458CE">
      <w:pPr>
        <w:spacing w:line="240" w:lineRule="auto"/>
        <w:ind w:left="360"/>
        <w:jc w:val="both"/>
        <w:rPr>
          <w:rFonts w:ascii="Bahnschrift" w:hAnsi="Bahnschrift"/>
          <w:b/>
          <w:bCs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2007 г.</w:t>
      </w:r>
      <w:r w:rsidRPr="00F458CE">
        <w:rPr>
          <w:rFonts w:ascii="Bahnschrift" w:hAnsi="Bahnschrift"/>
          <w:sz w:val="32"/>
          <w:szCs w:val="32"/>
        </w:rPr>
        <w:t xml:space="preserve"> </w:t>
      </w:r>
      <w:r w:rsidRPr="00B71BC3">
        <w:rPr>
          <w:rFonts w:ascii="Bahnschrift" w:hAnsi="Bahnschrift"/>
          <w:b/>
          <w:bCs/>
          <w:sz w:val="32"/>
          <w:szCs w:val="32"/>
        </w:rPr>
        <w:t>на вооружение ВВС поступила зенитная ракетная система С-400 «Триумф», основная задача которой – поражение всех современных и перспективных средств воздушного и космического нападения.</w:t>
      </w:r>
    </w:p>
    <w:p w14:paraId="65007920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4D225D32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2008 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B71BC3">
        <w:rPr>
          <w:rFonts w:ascii="Bahnschrift" w:hAnsi="Bahnschrift"/>
          <w:b/>
          <w:bCs/>
          <w:sz w:val="32"/>
          <w:szCs w:val="32"/>
        </w:rPr>
        <w:t>на этот момент в состав ВВС входило: оперативно-стратегическое объединение (</w:t>
      </w:r>
      <w:proofErr w:type="spellStart"/>
      <w:r w:rsidRPr="00B71BC3">
        <w:rPr>
          <w:rFonts w:ascii="Bahnschrift" w:hAnsi="Bahnschrift"/>
          <w:b/>
          <w:bCs/>
          <w:sz w:val="32"/>
          <w:szCs w:val="32"/>
        </w:rPr>
        <w:t>КСпН</w:t>
      </w:r>
      <w:proofErr w:type="spellEnd"/>
      <w:r w:rsidRPr="00B71BC3">
        <w:rPr>
          <w:rFonts w:ascii="Bahnschrift" w:hAnsi="Bahnschrift"/>
          <w:b/>
          <w:bCs/>
          <w:sz w:val="32"/>
          <w:szCs w:val="32"/>
        </w:rPr>
        <w:t>), 5 оперативно-тактических и 8 оперативных объединений (корпуса ПВО), 165 частей и 15 соединений. В этом году начался переход к формированию нового образа Вооруженных СИЛ РФ (включая и ВВС). В результате Военно-воздушные силы перешли на другую организационно-штатную структуру. Сформировались командования ПВО и ВВС, подчиненные недавно созданным оперативно-стратегическим командованиям: Восточному (штаб в городе Хабаровск), Центральному (Екатеринбург), Южному (</w:t>
      </w:r>
      <w:proofErr w:type="spellStart"/>
      <w:r w:rsidRPr="00B71BC3">
        <w:rPr>
          <w:rFonts w:ascii="Bahnschrift" w:hAnsi="Bahnschrift"/>
          <w:b/>
          <w:bCs/>
          <w:sz w:val="32"/>
          <w:szCs w:val="32"/>
        </w:rPr>
        <w:t>Ростов</w:t>
      </w:r>
      <w:proofErr w:type="spellEnd"/>
      <w:r w:rsidRPr="00B71BC3">
        <w:rPr>
          <w:rFonts w:ascii="Bahnschrift" w:hAnsi="Bahnschrift"/>
          <w:b/>
          <w:bCs/>
          <w:sz w:val="32"/>
          <w:szCs w:val="32"/>
        </w:rPr>
        <w:t>-на-Дону) и Западному (Санкт-Петербург).</w:t>
      </w:r>
    </w:p>
    <w:p w14:paraId="0984FA70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3A5E37A2" w14:textId="7254B10C" w:rsidR="00F458CE" w:rsidRDefault="00F458CE" w:rsidP="00F458CE">
      <w:pPr>
        <w:spacing w:line="240" w:lineRule="auto"/>
        <w:ind w:left="360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2009-2010</w:t>
      </w:r>
      <w:r w:rsidRPr="00F458CE">
        <w:rPr>
          <w:rFonts w:ascii="Bahnschrift" w:hAnsi="Bahnschrift"/>
          <w:sz w:val="32"/>
          <w:szCs w:val="32"/>
          <w:u w:val="single"/>
        </w:rPr>
        <w:t xml:space="preserve"> </w:t>
      </w:r>
      <w:r w:rsidRPr="00F458CE">
        <w:rPr>
          <w:rFonts w:ascii="Bahnschrift" w:hAnsi="Bahnschrift"/>
          <w:sz w:val="32"/>
          <w:szCs w:val="32"/>
          <w:u w:val="single"/>
        </w:rPr>
        <w:t>гг.</w:t>
      </w:r>
      <w:r w:rsidRPr="00F458CE">
        <w:rPr>
          <w:rFonts w:ascii="Bahnschrift" w:hAnsi="Bahnschrift"/>
          <w:sz w:val="32"/>
          <w:szCs w:val="32"/>
        </w:rPr>
        <w:t xml:space="preserve"> – </w:t>
      </w:r>
      <w:r w:rsidRPr="00B71BC3">
        <w:rPr>
          <w:rFonts w:ascii="Bahnschrift" w:hAnsi="Bahnschrift"/>
          <w:b/>
          <w:bCs/>
          <w:sz w:val="32"/>
          <w:szCs w:val="32"/>
        </w:rPr>
        <w:t>переход к двухуровневой системе управления ВВС (система называлась бригадно-батальонная). Как следствие, общее количество соединений ВВС было сокращено с 8 до 6, все соединения ПВО (4 корпуса и 7 дивизий) были переформированы в 11 бригад воздушно-космической обороны.</w:t>
      </w:r>
    </w:p>
    <w:p w14:paraId="7F84E5F0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4B890DFA" w14:textId="77777777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lastRenderedPageBreak/>
        <w:t>2011 год</w:t>
      </w:r>
      <w:r w:rsidRPr="00F458CE">
        <w:rPr>
          <w:rFonts w:ascii="Bahnschrift" w:hAnsi="Bahnschrift"/>
          <w:sz w:val="32"/>
          <w:szCs w:val="32"/>
        </w:rPr>
        <w:t xml:space="preserve"> </w:t>
      </w:r>
      <w:r w:rsidRPr="00B71BC3">
        <w:rPr>
          <w:rFonts w:ascii="Bahnschrift" w:hAnsi="Bahnschrift"/>
          <w:b/>
          <w:bCs/>
          <w:sz w:val="32"/>
          <w:szCs w:val="32"/>
        </w:rPr>
        <w:t>три бригады противовоздушной обороны войск оперативно-стратегического командования воздушно-космической обороны вошли в состав нового типа войск – Войск ВКО.</w:t>
      </w:r>
    </w:p>
    <w:p w14:paraId="56B384C3" w14:textId="77777777" w:rsidR="00F458CE" w:rsidRP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448B727B" w14:textId="77777777" w:rsidR="00B71BC3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  <w:u w:val="single"/>
        </w:rPr>
        <w:t>2015 год</w:t>
      </w:r>
      <w:r w:rsidRPr="00F458CE">
        <w:rPr>
          <w:rFonts w:ascii="Bahnschrift" w:hAnsi="Bahnschrift"/>
          <w:sz w:val="32"/>
          <w:szCs w:val="32"/>
        </w:rPr>
        <w:t xml:space="preserve"> </w:t>
      </w:r>
      <w:r w:rsidRPr="00B71BC3">
        <w:rPr>
          <w:rFonts w:ascii="Bahnschrift" w:hAnsi="Bahnschrift"/>
          <w:b/>
          <w:bCs/>
          <w:sz w:val="32"/>
          <w:szCs w:val="32"/>
        </w:rPr>
        <w:t>Войска ВКО объединили с ВВС и сформировался новый вид – Воздушно-космические силы. В их составе организационно выделили новый тип войск – Войска ПВО-ПРО (войска противовоздушной и противоракетной обороны). Войска ПВО-ПРО представлены соединением противоракетной и противовоздушной обороны.</w:t>
      </w:r>
      <w:r w:rsidRPr="00F458CE">
        <w:rPr>
          <w:rFonts w:ascii="Bahnschrift" w:hAnsi="Bahnschrift"/>
          <w:sz w:val="32"/>
          <w:szCs w:val="32"/>
        </w:rPr>
        <w:t> </w:t>
      </w:r>
    </w:p>
    <w:p w14:paraId="63EA1EA3" w14:textId="25CAB701" w:rsidR="00F458CE" w:rsidRDefault="00F458CE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  <w:r w:rsidRPr="00F458CE">
        <w:rPr>
          <w:rFonts w:ascii="Bahnschrift" w:hAnsi="Bahnschrift"/>
          <w:sz w:val="32"/>
          <w:szCs w:val="32"/>
        </w:rPr>
        <w:br/>
      </w:r>
      <w:r w:rsidR="00B71BC3">
        <w:rPr>
          <w:noProof/>
        </w:rPr>
        <w:drawing>
          <wp:inline distT="0" distB="0" distL="0" distR="0" wp14:anchorId="0D711617" wp14:editId="29A5362A">
            <wp:extent cx="2528603" cy="1390015"/>
            <wp:effectExtent l="133350" t="114300" r="138430" b="153035"/>
            <wp:docPr id="214326684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38" cy="14130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71BC3">
        <w:rPr>
          <w:noProof/>
        </w:rPr>
        <w:drawing>
          <wp:inline distT="0" distB="0" distL="0" distR="0" wp14:anchorId="6CDB591C" wp14:editId="1311B6F9">
            <wp:extent cx="2600325" cy="1462630"/>
            <wp:effectExtent l="133350" t="114300" r="142875" b="156845"/>
            <wp:docPr id="2040988091" name="Рисунок 3" descr="п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в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60" cy="1477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5CF807" w14:textId="1C1DC43B" w:rsidR="00B71BC3" w:rsidRPr="00F458CE" w:rsidRDefault="00B71BC3" w:rsidP="00F458CE">
      <w:pPr>
        <w:spacing w:line="240" w:lineRule="auto"/>
        <w:ind w:left="360"/>
        <w:jc w:val="both"/>
        <w:rPr>
          <w:rFonts w:ascii="Bahnschrift" w:hAnsi="Bahnschrift"/>
          <w:sz w:val="32"/>
          <w:szCs w:val="32"/>
        </w:rPr>
      </w:pPr>
    </w:p>
    <w:p w14:paraId="24763F85" w14:textId="060063BB" w:rsidR="008D067F" w:rsidRPr="008D067F" w:rsidRDefault="008D067F" w:rsidP="00F458CE">
      <w:r w:rsidRPr="008D067F">
        <w:br/>
      </w:r>
    </w:p>
    <w:sectPr w:rsidR="008D067F" w:rsidRPr="008D0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1167"/>
    <w:multiLevelType w:val="multilevel"/>
    <w:tmpl w:val="836092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Bahnschrift" w:eastAsiaTheme="majorEastAsia" w:hAnsi="Bahnschrift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75451"/>
    <w:multiLevelType w:val="multilevel"/>
    <w:tmpl w:val="F1EA68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70A27"/>
    <w:multiLevelType w:val="multilevel"/>
    <w:tmpl w:val="F1EA68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155D8"/>
    <w:multiLevelType w:val="multilevel"/>
    <w:tmpl w:val="FC24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C1D87"/>
    <w:multiLevelType w:val="multilevel"/>
    <w:tmpl w:val="D98E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958596">
    <w:abstractNumId w:val="3"/>
  </w:num>
  <w:num w:numId="2" w16cid:durableId="30347664">
    <w:abstractNumId w:val="0"/>
  </w:num>
  <w:num w:numId="3" w16cid:durableId="440223291">
    <w:abstractNumId w:val="2"/>
  </w:num>
  <w:num w:numId="4" w16cid:durableId="1905288685">
    <w:abstractNumId w:val="4"/>
  </w:num>
  <w:num w:numId="5" w16cid:durableId="1584417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86"/>
    <w:rsid w:val="008D067F"/>
    <w:rsid w:val="00A75986"/>
    <w:rsid w:val="00B71BC3"/>
    <w:rsid w:val="00EE4440"/>
    <w:rsid w:val="00F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78E1"/>
  <w15:chartTrackingRefBased/>
  <w15:docId w15:val="{03DADF31-4BDB-4247-9CF2-EBCDCB23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0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8D06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06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4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Миневский</dc:creator>
  <cp:keywords/>
  <dc:description/>
  <cp:lastModifiedBy>Иван Миневский</cp:lastModifiedBy>
  <cp:revision>2</cp:revision>
  <dcterms:created xsi:type="dcterms:W3CDTF">2024-10-07T13:15:00Z</dcterms:created>
  <dcterms:modified xsi:type="dcterms:W3CDTF">2024-10-07T13:45:00Z</dcterms:modified>
</cp:coreProperties>
</file>