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Success endpoints across the full locked validation atlas.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Controller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Pairs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Baseline success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Controller success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Change in success (95% CI)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MDE (80% power)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Rescued / lost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0.541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-0.018 (-0.041 to 0.005)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0.121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0.033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535 / 620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0.511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-0.049 (-0.081 to -0.016)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0.046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688 / 912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0.553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-0.007 (-0.037 to 0.024)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0.659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0.044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703 / 735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0.127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-0.432 (-0.472 to -0.391)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16"/>
              </w:rPr>
              <w:t>0.058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sz w:val="16"/>
              </w:rPr>
              <w:t>273 / 2265</w:t>
            </w:r>
          </w:p>
        </w:tc>
      </w:tr>
    </w:tbl>
    <w:p>
      <w:r>
        <w:rPr>
          <w:i/>
          <w:sz w:val="18"/>
        </w:rPr>
        <w:t>All 4,608 paired trials per controller (384 clusters; 12 scenarios per cluster). Change is the paired risk difference against the same full-feedback baseline, with a 95% cluster-bootstrap interval (10,000 replicates) and a cluster-level sign-flip p-value (20,000 permutations). MDE is the minimum detectable effect at 80% power given the observed cluster-robust standard error. These all-stratum contrasts are descriptive; the pre-declared multiplicity-controlled family is the 12 controller x stratum tests reported in Table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