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2. Failure-mode and energy endpoints.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Controller</w:t>
            </w:r>
          </w:p>
        </w:tc>
        <w:tc>
          <w:tcPr>
            <w:tcW w:type="dxa" w:w="1944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Thermal failure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ROS failure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sz w:val="16"/>
              </w:rPr>
              <w:t>Overheating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Delivered energy (J cm^-2)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Pareto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1944"/>
          </w:tcPr>
          <w:p>
            <w:r/>
            <w:r>
              <w:rPr>
                <w:rFonts w:ascii="Times New Roman" w:hAnsi="Times New Roman"/>
                <w:sz w:val="16"/>
              </w:rPr>
              <w:t>+0.038 (0.016 to 0.060)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-0.023 (-0.036 to -0.013)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-0.012 (-0.024 to -0.000)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/>
                <w:sz w:val="16"/>
              </w:rPr>
              <w:t>-23.5 (-29.5 to -17.5)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Non-dominated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1944"/>
          </w:tcPr>
          <w:p>
            <w:r/>
            <w:r>
              <w:rPr>
                <w:rFonts w:ascii="Times New Roman" w:hAnsi="Times New Roman"/>
                <w:sz w:val="16"/>
              </w:rPr>
              <w:t>-0.037 (-0.067 to -0.006)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-0.017 (-0.028 to -0.007)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+0.095 (0.081 to 0.110)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/>
                <w:sz w:val="16"/>
              </w:rPr>
              <w:t>+44.2 (36.3 to 52.5)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Non-dominated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1944"/>
          </w:tcPr>
          <w:p>
            <w:r/>
            <w:r>
              <w:rPr>
                <w:rFonts w:ascii="Times New Roman" w:hAnsi="Times New Roman"/>
                <w:sz w:val="16"/>
              </w:rPr>
              <w:t>-0.010 (-0.042 to 0.021)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-0.002 (-0.012 to 0.009)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+0.020 (0.008 to 0.031)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/>
                <w:sz w:val="16"/>
              </w:rPr>
              <w:t>-59.1 (-63.4 to -54.8)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Non-dominated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1944"/>
          </w:tcPr>
          <w:p>
            <w:r/>
            <w:r>
              <w:rPr>
                <w:rFonts w:ascii="Times New Roman" w:hAnsi="Times New Roman"/>
                <w:sz w:val="16"/>
              </w:rPr>
              <w:t>-0.048 (-0.081 to -0.018)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-0.054 (-0.072 to -0.037)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+0.497 (0.471 to 0.523)</w:t>
            </w:r>
          </w:p>
        </w:tc>
        <w:tc>
          <w:tcPr>
            <w:tcW w:type="dxa" w:w="2232"/>
          </w:tcPr>
          <w:p>
            <w:r/>
            <w:r>
              <w:rPr>
                <w:rFonts w:ascii="Times New Roman" w:hAnsi="Times New Roman"/>
                <w:sz w:val="16"/>
              </w:rPr>
              <w:t>+549.7 (521.6 to 578.3)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16"/>
              </w:rPr>
              <w:t>Non-dominated</w:t>
            </w:r>
          </w:p>
        </w:tc>
      </w:tr>
    </w:tbl>
    <w:p>
      <w:r>
        <w:rPr>
          <w:i/>
          <w:sz w:val="18"/>
        </w:rPr>
        <w:t>Values are paired changes in the endpoint rate (or in delivered energy) against the full-feedback baseline, with 95% cluster-bootstrap intervals (10,000 replicates). Negative failure changes indicate fewer failures. Hypoxic failure did not change for any controller (all deltas 0.000, 95% CI 0.000 to 0.000) and is omitted. Pareto status is computed over the five objectives shown in Table 1 and this table; all four controllers are mutually non-dominated.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