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Table 3. Success change by predicted-baseline-success stratum.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Controller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Stratum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b/>
                <w:sz w:val="16"/>
              </w:rPr>
              <w:t>Pairs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/>
                <w:sz w:val="16"/>
              </w:rPr>
              <w:t>Baseline success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6"/>
              </w:rPr>
              <w:t>Change in success (95% CI)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b/>
                <w:sz w:val="16"/>
              </w:rPr>
              <w:t>Holm-adjusted p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b/>
                <w:sz w:val="16"/>
              </w:rPr>
              <w:t>MDE (80% power)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Smoothed predictive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All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-0.018 (-0.041 to 0.005)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0.121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n/a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0.033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Thermal-floor predictive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All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-0.049 (-0.081 to -0.016)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0.004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n/a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0.046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Constrained optimized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All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-0.007 (-0.037 to 0.024)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0.659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n/a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0.044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Reduced-order MPC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All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4608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0.560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-0.432 (-0.472 to -0.391)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n/a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0.058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Smoothed predictive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Predicted-low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1122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0.383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+0.031 (-0.012 to 0.075)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0.181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0.629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0.062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Thermal-floor predictive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Predicted-low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1122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0.383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+0.056 (-0.011 to 0.122)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0.126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0.629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0.095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Constrained optimized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Predicted-low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1122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0.383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+0.050 (-0.012 to 0.112)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0.132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0.629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0.089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Reduced-order MPC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Predicted-low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1122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0.383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-0.210 (-0.283 to -0.140)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0.102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Smoothed predictive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Predicted-intermediate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1674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0.477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-0.004 (-0.040 to 0.033)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0.872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0.052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Thermal-floor predictive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Predicted-intermediate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1674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0.477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-0.042 (-0.086 to 0.002)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0.060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0.360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0.062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Constrained optimized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Predicted-intermediate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1674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0.477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-0.001 (-0.044 to 0.042)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0.980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1.000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0.062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Reduced-order MPC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Predicted-intermediate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1674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0.477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-0.351 (-0.409 to -0.293)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0.084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Smoothed predictive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Predicted-high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1812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0.746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-0.063 (-0.096 to -0.028)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0.002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0.049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Thermal-floor predictive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Predicted-high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1812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0.746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-0.119 (-0.164 to -0.073)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0.065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Constrained optimized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Predicted-high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1812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0.746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-0.047 (-0.090 to -0.003)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0.035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0.245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0.062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Times New Roman" w:hAnsi="Times New Roman"/>
                <w:sz w:val="16"/>
              </w:rPr>
              <w:t>Reduced-order MPC</w:t>
            </w:r>
          </w:p>
        </w:tc>
        <w:tc>
          <w:tcPr>
            <w:tcW w:type="dxa" w:w="1656"/>
          </w:tcPr>
          <w:p>
            <w:r/>
            <w:r>
              <w:rPr>
                <w:rFonts w:ascii="Times New Roman" w:hAnsi="Times New Roman"/>
                <w:sz w:val="16"/>
              </w:rPr>
              <w:t>Predicted-high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1812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0.746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16"/>
              </w:rPr>
              <w:t>-0.645 (-0.691 to -0.596)</w:t>
            </w:r>
          </w:p>
        </w:tc>
        <w:tc>
          <w:tcPr>
            <w:tcW w:type="dxa" w:w="72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80"/>
          </w:tcPr>
          <w:p>
            <w:r/>
            <w:r>
              <w:rPr>
                <w:rFonts w:ascii="Times New Roman" w:hAnsi="Times New Roman"/>
                <w:sz w:val="16"/>
              </w:rPr>
              <w:t>&lt;0.001</w:t>
            </w:r>
          </w:p>
        </w:tc>
        <w:tc>
          <w:tcPr>
            <w:tcW w:type="dxa" w:w="1008"/>
          </w:tcPr>
          <w:p>
            <w:r/>
            <w:r>
              <w:rPr>
                <w:rFonts w:ascii="Times New Roman" w:hAnsi="Times New Roman"/>
                <w:sz w:val="16"/>
              </w:rPr>
              <w:t>0.069</w:t>
            </w:r>
          </w:p>
        </w:tc>
      </w:tr>
    </w:tbl>
    <w:p>
      <w:r>
        <w:rPr>
          <w:i/>
          <w:sz w:val="18"/>
        </w:rPr>
        <w:t>Strata are terciles of a frozen logistic scoring rule for predicted baseline success. The rule was fitted on independent seeds and applied unchanged here, so stratum membership depends only on pre-treatment design quantities and never on the controller outcome. The 12 controller x stratum tests form the primary family for Holm adjustment. Exact p-values are reported to three decimal places; the minimum attainable p-value with 20,000 permutations is 0.00005.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