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S2. Discrimination of the frozen scoring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Scope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Seed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Model family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AUC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Observed success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Mean predicted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seed_20260720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baseline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0.727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0.576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0.558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seed_20260720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large_geometry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0.604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0.602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seed_20260720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low_photosensitizer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0.534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0.476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seed_20260720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slow_recovery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0.681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0.620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0.534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seed_20260721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baseline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0.664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0.542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0.555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seed_20260721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large_geometry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0.695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0.542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0.596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seed_20260721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low_photosensitizer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0.705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0.409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0.478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seed_20260721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slow_recovery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0.691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0.568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0.533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seed_20260722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baseline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0.590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0.625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0.556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seed_20260722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large_geometry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0.607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0.633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seed_20260722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low_photosensitizer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0.702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0.474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0.469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locked validation (seeds 20260720-22)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seed_20260722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slow_recovery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0.709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0.591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baseline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960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0.586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0.525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0.497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large_geometry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960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0.598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0.521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low_photosensitizer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960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0.630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0.495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0.357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slow_recovery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960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0.668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0.463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0.543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576"/>
          </w:tcPr>
          <w:p>
            <w:r/>
            <w:r>
              <w:rPr>
                <w:rFonts w:ascii="Times New Roman" w:hAnsi="Times New Roman"/>
                <w:sz w:val="16"/>
              </w:rPr>
              <w:t>3840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16"/>
              </w:rPr>
              <w:t>0.610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0.501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0.492</w:t>
            </w:r>
          </w:p>
        </w:tc>
      </w:tr>
    </w:tbl>
    <w:p>
      <w:r>
        <w:rPr>
          <w:i/>
          <w:sz w:val="18"/>
        </w:rPr>
        <w:t>Discrimination of the frozen scoring rule. The locked validation rows are the analysis population; the external row is a fully held-out seed that was never used to fit or to tune the rule. Discrimination is modest, which is why strata are reported as predicted-baseline-success bands rather than as a validated controllability construct.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